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AEC4" w14:textId="7410003F" w:rsidR="00894C55" w:rsidRPr="00DA5167" w:rsidRDefault="00F82D29" w:rsidP="00D168D0">
      <w:pPr>
        <w:shd w:val="clear" w:color="auto" w:fill="FFFFFF" w:themeFill="background1"/>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 xml:space="preserve">Ministru kabineta noteikumu </w:t>
      </w:r>
      <w:r w:rsidR="00403EB7" w:rsidRPr="00DA5167">
        <w:rPr>
          <w:rFonts w:ascii="Times New Roman" w:hAnsi="Times New Roman" w:cs="Times New Roman"/>
          <w:b/>
          <w:bCs/>
          <w:sz w:val="24"/>
          <w:szCs w:val="24"/>
        </w:rPr>
        <w:t>projekta “</w:t>
      </w:r>
      <w:r w:rsidR="0075560B" w:rsidRPr="00DA5167">
        <w:rPr>
          <w:rFonts w:ascii="Times New Roman" w:hAnsi="Times New Roman" w:cs="Times New Roman"/>
          <w:b/>
          <w:bCs/>
          <w:sz w:val="24"/>
          <w:szCs w:val="24"/>
        </w:rPr>
        <w:t xml:space="preserve">Grozījumi Ministru kabineta 2020.gada 2.septembra noteikumos </w:t>
      </w:r>
      <w:r w:rsidR="008C397E" w:rsidRPr="008C397E">
        <w:rPr>
          <w:rFonts w:ascii="Times New Roman" w:hAnsi="Times New Roman" w:cs="Times New Roman"/>
          <w:b/>
          <w:bCs/>
          <w:sz w:val="24"/>
          <w:szCs w:val="24"/>
        </w:rPr>
        <w:t>Nr.560 “</w:t>
      </w:r>
      <w:r w:rsidR="008C397E" w:rsidRPr="008C397E">
        <w:rPr>
          <w:rFonts w:ascii="Times New Roman" w:hAnsi="Times New Roman" w:cs="Times New Roman"/>
          <w:b/>
          <w:bCs/>
          <w:sz w:val="24"/>
          <w:szCs w:val="24"/>
          <w:shd w:val="clear" w:color="auto" w:fill="FFFFFF"/>
        </w:rPr>
        <w:t>Noteikumi par elektroenerģijas ražošanu, izmantojot atjaunojamos energoresursus, kā arī par cenu noteikšanas kārtību un uzraudzību”</w:t>
      </w:r>
      <w:r w:rsidR="00403EB7" w:rsidRPr="00DA5167">
        <w:rPr>
          <w:rFonts w:ascii="Times New Roman" w:hAnsi="Times New Roman" w:cs="Times New Roman"/>
          <w:b/>
          <w:bCs/>
          <w:sz w:val="24"/>
          <w:szCs w:val="24"/>
        </w:rPr>
        <w:t>”</w:t>
      </w:r>
      <w:r w:rsidRPr="00DA5167">
        <w:rPr>
          <w:rFonts w:ascii="Times New Roman" w:hAnsi="Times New Roman" w:cs="Times New Roman"/>
          <w:b/>
          <w:bCs/>
          <w:sz w:val="24"/>
          <w:szCs w:val="24"/>
        </w:rPr>
        <w:t xml:space="preserve"> sākotnējās ietekmes novērtējuma ziņojums (anotācija)</w:t>
      </w:r>
    </w:p>
    <w:p w14:paraId="2A7B448D" w14:textId="5601A2EC" w:rsidR="004151E0" w:rsidRPr="00DA5167" w:rsidRDefault="004151E0" w:rsidP="00F82D29">
      <w:pPr>
        <w:shd w:val="clear" w:color="auto" w:fill="FFFFFF"/>
        <w:contextualSpacing/>
        <w:jc w:val="center"/>
        <w:rPr>
          <w:rFonts w:ascii="Times New Roman" w:hAnsi="Times New Roman" w:cs="Times New Roman"/>
          <w:b/>
          <w:bCs/>
          <w:sz w:val="24"/>
          <w:szCs w:val="24"/>
        </w:rPr>
      </w:pPr>
    </w:p>
    <w:tbl>
      <w:tblPr>
        <w:tblW w:w="505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00"/>
        <w:gridCol w:w="5947"/>
      </w:tblGrid>
      <w:tr w:rsidR="00240DAF" w:rsidRPr="00DA5167" w14:paraId="75A46FF9" w14:textId="77777777" w:rsidTr="00B4089C">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D5B60FC" w14:textId="77777777" w:rsidR="004151E0" w:rsidRPr="00DA5167" w:rsidRDefault="004151E0" w:rsidP="000A099C">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Tiesību akta projekta anotācijas kopsavilkums</w:t>
            </w:r>
          </w:p>
        </w:tc>
      </w:tr>
      <w:tr w:rsidR="00240DAF" w:rsidRPr="00DA5167" w14:paraId="5298D21C" w14:textId="77777777" w:rsidTr="00B4089C">
        <w:tc>
          <w:tcPr>
            <w:tcW w:w="1749" w:type="pct"/>
            <w:tcBorders>
              <w:top w:val="outset" w:sz="6" w:space="0" w:color="414142"/>
              <w:left w:val="outset" w:sz="6" w:space="0" w:color="414142"/>
              <w:bottom w:val="outset" w:sz="6" w:space="0" w:color="414142"/>
              <w:right w:val="outset" w:sz="6" w:space="0" w:color="414142"/>
            </w:tcBorders>
            <w:shd w:val="clear" w:color="auto" w:fill="FFFFFF"/>
            <w:hideMark/>
          </w:tcPr>
          <w:p w14:paraId="406887C9" w14:textId="77777777" w:rsidR="004151E0" w:rsidRPr="00DA5167" w:rsidRDefault="004151E0" w:rsidP="000A099C">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Mērķis, risinājums un projekta spēkā stāšanās laiks (500 zīmes bez atstarpēm)</w:t>
            </w:r>
          </w:p>
        </w:tc>
        <w:tc>
          <w:tcPr>
            <w:tcW w:w="3251" w:type="pct"/>
            <w:tcBorders>
              <w:top w:val="outset" w:sz="6" w:space="0" w:color="414142"/>
              <w:left w:val="outset" w:sz="6" w:space="0" w:color="414142"/>
              <w:bottom w:val="outset" w:sz="6" w:space="0" w:color="414142"/>
              <w:right w:val="outset" w:sz="6" w:space="0" w:color="414142"/>
            </w:tcBorders>
            <w:shd w:val="clear" w:color="auto" w:fill="FFFFFF"/>
            <w:hideMark/>
          </w:tcPr>
          <w:p w14:paraId="052E0C41" w14:textId="17A2A19F" w:rsidR="00A852B1" w:rsidRPr="00DA5167" w:rsidRDefault="00E649FB" w:rsidP="00072295">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2020. gada 15. februārī stājās spēkā grozījumi Elektroenerģijas tirgus likumā</w:t>
            </w:r>
            <w:r w:rsidR="009A3405" w:rsidRPr="00DA5167">
              <w:rPr>
                <w:rFonts w:ascii="Times New Roman" w:hAnsi="Times New Roman" w:cs="Times New Roman"/>
                <w:sz w:val="24"/>
                <w:szCs w:val="24"/>
              </w:rPr>
              <w:t xml:space="preserve"> (turpmāk - ETL)</w:t>
            </w:r>
            <w:r w:rsidRPr="00DA5167">
              <w:rPr>
                <w:rFonts w:ascii="Times New Roman" w:hAnsi="Times New Roman" w:cs="Times New Roman"/>
                <w:sz w:val="24"/>
                <w:szCs w:val="24"/>
              </w:rPr>
              <w:t xml:space="preserve">, </w:t>
            </w:r>
            <w:r w:rsidR="00042DE7" w:rsidRPr="00DA5167">
              <w:rPr>
                <w:rFonts w:ascii="Times New Roman" w:hAnsi="Times New Roman" w:cs="Times New Roman"/>
                <w:sz w:val="24"/>
                <w:szCs w:val="24"/>
              </w:rPr>
              <w:t>ar kuriem tika grozītas</w:t>
            </w:r>
            <w:r w:rsidR="00BA775A" w:rsidRPr="00DA5167">
              <w:rPr>
                <w:rFonts w:ascii="Times New Roman" w:hAnsi="Times New Roman" w:cs="Times New Roman"/>
                <w:sz w:val="24"/>
                <w:szCs w:val="24"/>
              </w:rPr>
              <w:t xml:space="preserve"> tās ETL normas</w:t>
            </w:r>
            <w:r w:rsidR="0075560B" w:rsidRPr="00DA5167">
              <w:rPr>
                <w:rFonts w:ascii="Times New Roman" w:hAnsi="Times New Roman" w:cs="Times New Roman"/>
                <w:sz w:val="24"/>
                <w:szCs w:val="24"/>
              </w:rPr>
              <w:t>, kas dod pilnvarojumu Ministru kabinetam noteikt kārtību</w:t>
            </w:r>
            <w:r w:rsidR="00BA775A" w:rsidRPr="00DA5167">
              <w:rPr>
                <w:rFonts w:ascii="Times New Roman" w:hAnsi="Times New Roman" w:cs="Times New Roman"/>
                <w:sz w:val="24"/>
                <w:szCs w:val="24"/>
              </w:rPr>
              <w:t xml:space="preserve"> </w:t>
            </w:r>
            <w:r w:rsidR="002D1801" w:rsidRPr="00DA5167">
              <w:rPr>
                <w:rFonts w:ascii="Times New Roman" w:hAnsi="Times New Roman" w:cs="Times New Roman"/>
                <w:sz w:val="24"/>
                <w:szCs w:val="24"/>
              </w:rPr>
              <w:t>attiecībā uz elektrostaciju vienotā tehnoloģiskā cikla principa piemērošanu,</w:t>
            </w:r>
            <w:r w:rsidR="0075560B" w:rsidRPr="00DA5167">
              <w:rPr>
                <w:rFonts w:ascii="Times New Roman" w:hAnsi="Times New Roman" w:cs="Times New Roman"/>
                <w:sz w:val="24"/>
                <w:szCs w:val="24"/>
              </w:rPr>
              <w:t xml:space="preserve"> līmeņatzīmju noteikšanu un</w:t>
            </w:r>
            <w:r w:rsidR="0048331B" w:rsidRPr="00DA5167">
              <w:rPr>
                <w:rFonts w:ascii="Times New Roman" w:hAnsi="Times New Roman" w:cs="Times New Roman"/>
                <w:sz w:val="24"/>
                <w:szCs w:val="24"/>
              </w:rPr>
              <w:t xml:space="preserve"> pārkompensācijas novēršanu</w:t>
            </w:r>
            <w:r w:rsidR="0075560B" w:rsidRPr="00DA5167">
              <w:rPr>
                <w:rFonts w:ascii="Times New Roman" w:hAnsi="Times New Roman" w:cs="Times New Roman"/>
                <w:sz w:val="24"/>
                <w:szCs w:val="24"/>
              </w:rPr>
              <w:t xml:space="preserve"> (turpmāk – IRR)</w:t>
            </w:r>
            <w:r w:rsidR="0048331B" w:rsidRPr="00DA5167">
              <w:rPr>
                <w:rFonts w:ascii="Times New Roman" w:hAnsi="Times New Roman" w:cs="Times New Roman"/>
                <w:sz w:val="24"/>
                <w:szCs w:val="24"/>
              </w:rPr>
              <w:t>.</w:t>
            </w:r>
          </w:p>
        </w:tc>
      </w:tr>
    </w:tbl>
    <w:p w14:paraId="48DF6610" w14:textId="77777777" w:rsidR="004151E0" w:rsidRPr="00DA5167" w:rsidRDefault="004151E0" w:rsidP="00F82D29">
      <w:pPr>
        <w:shd w:val="clear" w:color="auto" w:fill="FFFFFF"/>
        <w:contextualSpacing/>
        <w:jc w:val="center"/>
        <w:rPr>
          <w:rFonts w:ascii="Times New Roman" w:hAnsi="Times New Roman" w:cs="Times New Roman"/>
          <w:sz w:val="24"/>
          <w:szCs w:val="24"/>
        </w:rPr>
      </w:pPr>
    </w:p>
    <w:tbl>
      <w:tblPr>
        <w:tblpPr w:leftFromText="180" w:rightFromText="180" w:vertAnchor="text" w:tblpY="1"/>
        <w:tblOverlap w:val="neve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6"/>
      </w:tblGrid>
      <w:tr w:rsidR="00240DAF" w:rsidRPr="00DA5167" w14:paraId="4DE29AFC" w14:textId="77777777" w:rsidTr="002C436F">
        <w:trPr>
          <w:cantSplit/>
        </w:trPr>
        <w:tc>
          <w:tcPr>
            <w:tcW w:w="5000" w:type="pct"/>
            <w:gridSpan w:val="3"/>
            <w:vAlign w:val="center"/>
            <w:hideMark/>
          </w:tcPr>
          <w:p w14:paraId="28227B58" w14:textId="77777777" w:rsidR="00BD33E0" w:rsidRPr="00DA5167" w:rsidRDefault="00BD33E0" w:rsidP="00D93B68">
            <w:pPr>
              <w:keepLines/>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I. Tiesību akta projekta izstrādes nepieciešamība</w:t>
            </w:r>
          </w:p>
        </w:tc>
      </w:tr>
      <w:tr w:rsidR="00240DAF" w:rsidRPr="00DA5167" w14:paraId="0A19A3D6" w14:textId="77777777" w:rsidTr="008C6A64">
        <w:trPr>
          <w:cantSplit/>
        </w:trPr>
        <w:tc>
          <w:tcPr>
            <w:tcW w:w="309" w:type="pct"/>
            <w:hideMark/>
          </w:tcPr>
          <w:p w14:paraId="0960A259" w14:textId="77777777" w:rsidR="00BD33E0" w:rsidRPr="00DA5167" w:rsidRDefault="00BD33E0" w:rsidP="00D93B68">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6" w:type="pct"/>
            <w:hideMark/>
          </w:tcPr>
          <w:p w14:paraId="5B40D9EA" w14:textId="77777777" w:rsidR="00BD33E0" w:rsidRPr="00676642" w:rsidRDefault="00BD33E0" w:rsidP="00D93B68">
            <w:pPr>
              <w:keepLines/>
              <w:spacing w:after="0" w:line="240" w:lineRule="auto"/>
              <w:contextualSpacing/>
              <w:rPr>
                <w:rFonts w:ascii="Times New Roman" w:hAnsi="Times New Roman" w:cs="Times New Roman"/>
                <w:sz w:val="24"/>
                <w:szCs w:val="24"/>
              </w:rPr>
            </w:pPr>
            <w:r w:rsidRPr="00676642">
              <w:rPr>
                <w:rFonts w:ascii="Times New Roman" w:hAnsi="Times New Roman" w:cs="Times New Roman"/>
                <w:sz w:val="24"/>
                <w:szCs w:val="24"/>
              </w:rPr>
              <w:t>Pamatojums</w:t>
            </w:r>
          </w:p>
        </w:tc>
        <w:tc>
          <w:tcPr>
            <w:tcW w:w="3225" w:type="pct"/>
            <w:hideMark/>
          </w:tcPr>
          <w:p w14:paraId="61F4DEF1" w14:textId="0988EE08" w:rsidR="00E621F7" w:rsidRPr="00676642" w:rsidRDefault="00B35FDA" w:rsidP="00B20FC0">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 xml:space="preserve">Ministru kabineta noteikumu “Grozījumi Ministru kabineta 2020.gada 2.septembra noteikumos Nr.560 “Noteikumi par elektroenerģijas ražošanu, izmantojot atjaunojamos energoresursus, kā arī par cenu noteikšanas kārtību un uzraudzību””  projekts izstrādāts pēc </w:t>
            </w:r>
            <w:r w:rsidR="009E6181" w:rsidRPr="00676642">
              <w:rPr>
                <w:rFonts w:ascii="Times New Roman" w:hAnsi="Times New Roman" w:cs="Times New Roman"/>
                <w:sz w:val="24"/>
                <w:szCs w:val="24"/>
              </w:rPr>
              <w:t>Ekonomikas ministrijas iniciatīvas, pamatojoties uz</w:t>
            </w:r>
            <w:r w:rsidRPr="00676642">
              <w:rPr>
                <w:rFonts w:ascii="Times New Roman" w:hAnsi="Times New Roman" w:cs="Times New Roman"/>
                <w:sz w:val="24"/>
                <w:szCs w:val="24"/>
              </w:rPr>
              <w:t xml:space="preserve"> </w:t>
            </w:r>
            <w:r w:rsidR="0000723E" w:rsidRPr="00676642">
              <w:rPr>
                <w:rFonts w:ascii="Times New Roman" w:hAnsi="Times New Roman" w:cs="Times New Roman"/>
                <w:sz w:val="24"/>
                <w:szCs w:val="24"/>
              </w:rPr>
              <w:t>Elektroenerģijas tirgus likuma</w:t>
            </w:r>
            <w:r w:rsidRPr="00676642">
              <w:rPr>
                <w:rFonts w:ascii="Times New Roman" w:hAnsi="Times New Roman" w:cs="Times New Roman"/>
                <w:sz w:val="24"/>
                <w:szCs w:val="24"/>
              </w:rPr>
              <w:t xml:space="preserve"> </w:t>
            </w:r>
            <w:hyperlink r:id="rId11" w:anchor="p29" w:tgtFrame="_blank" w:history="1">
              <w:r w:rsidRPr="00676642">
                <w:rPr>
                  <w:rStyle w:val="Hyperlink"/>
                  <w:rFonts w:ascii="Times New Roman" w:hAnsi="Times New Roman" w:cs="Times New Roman"/>
                  <w:color w:val="auto"/>
                  <w:sz w:val="24"/>
                  <w:szCs w:val="24"/>
                  <w:u w:val="none"/>
                </w:rPr>
                <w:t>29.</w:t>
              </w:r>
            </w:hyperlink>
            <w:r w:rsidRPr="00676642">
              <w:rPr>
                <w:rFonts w:ascii="Times New Roman" w:hAnsi="Times New Roman" w:cs="Times New Roman"/>
                <w:sz w:val="24"/>
                <w:szCs w:val="24"/>
              </w:rPr>
              <w:t> panta ceturt</w:t>
            </w:r>
            <w:r w:rsidR="009E6181" w:rsidRPr="00676642">
              <w:rPr>
                <w:rFonts w:ascii="Times New Roman" w:hAnsi="Times New Roman" w:cs="Times New Roman"/>
                <w:sz w:val="24"/>
                <w:szCs w:val="24"/>
              </w:rPr>
              <w:t>o</w:t>
            </w:r>
            <w:r w:rsidRPr="00676642">
              <w:rPr>
                <w:rFonts w:ascii="Times New Roman" w:hAnsi="Times New Roman" w:cs="Times New Roman"/>
                <w:sz w:val="24"/>
                <w:szCs w:val="24"/>
              </w:rPr>
              <w:t xml:space="preserve"> daļ</w:t>
            </w:r>
            <w:r w:rsidR="009E6181" w:rsidRPr="00676642">
              <w:rPr>
                <w:rFonts w:ascii="Times New Roman" w:hAnsi="Times New Roman" w:cs="Times New Roman"/>
                <w:sz w:val="24"/>
                <w:szCs w:val="24"/>
              </w:rPr>
              <w:t>u</w:t>
            </w:r>
            <w:r w:rsidRPr="00676642">
              <w:rPr>
                <w:rFonts w:ascii="Times New Roman" w:hAnsi="Times New Roman" w:cs="Times New Roman"/>
                <w:sz w:val="24"/>
                <w:szCs w:val="24"/>
              </w:rPr>
              <w:t xml:space="preserve">, </w:t>
            </w:r>
            <w:hyperlink r:id="rId12" w:anchor="p31.1" w:tgtFrame="_blank" w:history="1">
              <w:r w:rsidRPr="00676642">
                <w:rPr>
                  <w:rStyle w:val="Hyperlink"/>
                  <w:rFonts w:ascii="Times New Roman" w:hAnsi="Times New Roman" w:cs="Times New Roman"/>
                  <w:color w:val="auto"/>
                  <w:sz w:val="24"/>
                  <w:szCs w:val="24"/>
                  <w:u w:val="none"/>
                </w:rPr>
                <w:t>31.</w:t>
              </w:r>
              <w:r w:rsidRPr="00676642">
                <w:rPr>
                  <w:rStyle w:val="Hyperlink"/>
                  <w:rFonts w:ascii="Times New Roman" w:hAnsi="Times New Roman" w:cs="Times New Roman"/>
                  <w:color w:val="auto"/>
                  <w:sz w:val="24"/>
                  <w:szCs w:val="24"/>
                  <w:u w:val="none"/>
                  <w:vertAlign w:val="superscript"/>
                </w:rPr>
                <w:t>1</w:t>
              </w:r>
              <w:r w:rsidRPr="00676642">
                <w:rPr>
                  <w:rStyle w:val="Hyperlink"/>
                  <w:rFonts w:ascii="Times New Roman" w:hAnsi="Times New Roman" w:cs="Times New Roman"/>
                  <w:color w:val="auto"/>
                  <w:sz w:val="24"/>
                  <w:szCs w:val="24"/>
                  <w:u w:val="none"/>
                </w:rPr>
                <w:t> panta</w:t>
              </w:r>
            </w:hyperlink>
            <w:r w:rsidRPr="00676642">
              <w:rPr>
                <w:rFonts w:ascii="Times New Roman" w:hAnsi="Times New Roman" w:cs="Times New Roman"/>
                <w:sz w:val="24"/>
                <w:szCs w:val="24"/>
              </w:rPr>
              <w:t> devīt</w:t>
            </w:r>
            <w:r w:rsidR="009E6181" w:rsidRPr="00676642">
              <w:rPr>
                <w:rFonts w:ascii="Times New Roman" w:hAnsi="Times New Roman" w:cs="Times New Roman"/>
                <w:sz w:val="24"/>
                <w:szCs w:val="24"/>
              </w:rPr>
              <w:t>o</w:t>
            </w:r>
            <w:r w:rsidRPr="00676642">
              <w:rPr>
                <w:rFonts w:ascii="Times New Roman" w:hAnsi="Times New Roman" w:cs="Times New Roman"/>
                <w:sz w:val="24"/>
                <w:szCs w:val="24"/>
              </w:rPr>
              <w:t xml:space="preserve"> daļ</w:t>
            </w:r>
            <w:r w:rsidR="009E6181" w:rsidRPr="00676642">
              <w:rPr>
                <w:rFonts w:ascii="Times New Roman" w:hAnsi="Times New Roman" w:cs="Times New Roman"/>
                <w:sz w:val="24"/>
                <w:szCs w:val="24"/>
              </w:rPr>
              <w:t>u</w:t>
            </w:r>
            <w:r w:rsidRPr="00676642">
              <w:rPr>
                <w:rFonts w:ascii="Times New Roman" w:hAnsi="Times New Roman" w:cs="Times New Roman"/>
                <w:sz w:val="24"/>
                <w:szCs w:val="24"/>
              </w:rPr>
              <w:t>, </w:t>
            </w:r>
            <w:hyperlink r:id="rId13" w:anchor="p31.2" w:tgtFrame="_blank" w:history="1">
              <w:r w:rsidRPr="00676642">
                <w:rPr>
                  <w:rStyle w:val="Hyperlink"/>
                  <w:rFonts w:ascii="Times New Roman" w:hAnsi="Times New Roman" w:cs="Times New Roman"/>
                  <w:color w:val="auto"/>
                  <w:sz w:val="24"/>
                  <w:szCs w:val="24"/>
                  <w:u w:val="none"/>
                </w:rPr>
                <w:t>31.</w:t>
              </w:r>
              <w:r w:rsidRPr="00676642">
                <w:rPr>
                  <w:rStyle w:val="Hyperlink"/>
                  <w:rFonts w:ascii="Times New Roman" w:hAnsi="Times New Roman" w:cs="Times New Roman"/>
                  <w:color w:val="auto"/>
                  <w:sz w:val="24"/>
                  <w:szCs w:val="24"/>
                  <w:u w:val="none"/>
                  <w:vertAlign w:val="superscript"/>
                </w:rPr>
                <w:t>2</w:t>
              </w:r>
              <w:r w:rsidRPr="00676642">
                <w:rPr>
                  <w:rStyle w:val="Hyperlink"/>
                  <w:rFonts w:ascii="Times New Roman" w:hAnsi="Times New Roman" w:cs="Times New Roman"/>
                  <w:color w:val="auto"/>
                  <w:sz w:val="24"/>
                  <w:szCs w:val="24"/>
                  <w:u w:val="none"/>
                </w:rPr>
                <w:t> panta</w:t>
              </w:r>
            </w:hyperlink>
            <w:r w:rsidRPr="00676642">
              <w:rPr>
                <w:rFonts w:ascii="Times New Roman" w:hAnsi="Times New Roman" w:cs="Times New Roman"/>
                <w:sz w:val="24"/>
                <w:szCs w:val="24"/>
              </w:rPr>
              <w:t> treš</w:t>
            </w:r>
            <w:r w:rsidR="009E6181" w:rsidRPr="00676642">
              <w:rPr>
                <w:rFonts w:ascii="Times New Roman" w:hAnsi="Times New Roman" w:cs="Times New Roman"/>
                <w:sz w:val="24"/>
                <w:szCs w:val="24"/>
              </w:rPr>
              <w:t>o</w:t>
            </w:r>
            <w:r w:rsidRPr="00676642">
              <w:rPr>
                <w:rFonts w:ascii="Times New Roman" w:hAnsi="Times New Roman" w:cs="Times New Roman"/>
                <w:sz w:val="24"/>
                <w:szCs w:val="24"/>
              </w:rPr>
              <w:t xml:space="preserve"> un piekt</w:t>
            </w:r>
            <w:r w:rsidR="009E6181" w:rsidRPr="00676642">
              <w:rPr>
                <w:rFonts w:ascii="Times New Roman" w:hAnsi="Times New Roman" w:cs="Times New Roman"/>
                <w:sz w:val="24"/>
                <w:szCs w:val="24"/>
              </w:rPr>
              <w:t>o</w:t>
            </w:r>
            <w:r w:rsidRPr="00676642">
              <w:rPr>
                <w:rFonts w:ascii="Times New Roman" w:hAnsi="Times New Roman" w:cs="Times New Roman"/>
                <w:sz w:val="24"/>
                <w:szCs w:val="24"/>
              </w:rPr>
              <w:t xml:space="preserve"> daļ</w:t>
            </w:r>
            <w:r w:rsidR="009E6181" w:rsidRPr="00676642">
              <w:rPr>
                <w:rFonts w:ascii="Times New Roman" w:hAnsi="Times New Roman" w:cs="Times New Roman"/>
                <w:sz w:val="24"/>
                <w:szCs w:val="24"/>
              </w:rPr>
              <w:t>u</w:t>
            </w:r>
            <w:r w:rsidRPr="00676642">
              <w:rPr>
                <w:rFonts w:ascii="Times New Roman" w:hAnsi="Times New Roman" w:cs="Times New Roman"/>
                <w:sz w:val="24"/>
                <w:szCs w:val="24"/>
              </w:rPr>
              <w:t>, </w:t>
            </w:r>
            <w:hyperlink r:id="rId14" w:anchor="p31.3" w:tgtFrame="_blank" w:history="1">
              <w:r w:rsidRPr="00676642">
                <w:rPr>
                  <w:rStyle w:val="Hyperlink"/>
                  <w:rFonts w:ascii="Times New Roman" w:hAnsi="Times New Roman" w:cs="Times New Roman"/>
                  <w:color w:val="auto"/>
                  <w:sz w:val="24"/>
                  <w:szCs w:val="24"/>
                  <w:u w:val="none"/>
                </w:rPr>
                <w:t>31.</w:t>
              </w:r>
              <w:r w:rsidRPr="00676642">
                <w:rPr>
                  <w:rStyle w:val="Hyperlink"/>
                  <w:rFonts w:ascii="Times New Roman" w:hAnsi="Times New Roman" w:cs="Times New Roman"/>
                  <w:color w:val="auto"/>
                  <w:sz w:val="24"/>
                  <w:szCs w:val="24"/>
                  <w:u w:val="none"/>
                  <w:vertAlign w:val="superscript"/>
                </w:rPr>
                <w:t>3</w:t>
              </w:r>
              <w:r w:rsidRPr="00676642">
                <w:rPr>
                  <w:rStyle w:val="Hyperlink"/>
                  <w:rFonts w:ascii="Times New Roman" w:hAnsi="Times New Roman" w:cs="Times New Roman"/>
                  <w:color w:val="auto"/>
                  <w:sz w:val="24"/>
                  <w:szCs w:val="24"/>
                  <w:u w:val="none"/>
                </w:rPr>
                <w:t> panta</w:t>
              </w:r>
            </w:hyperlink>
            <w:r w:rsidRPr="00676642">
              <w:rPr>
                <w:rFonts w:ascii="Times New Roman" w:hAnsi="Times New Roman" w:cs="Times New Roman"/>
                <w:sz w:val="24"/>
                <w:szCs w:val="24"/>
              </w:rPr>
              <w:t> treš</w:t>
            </w:r>
            <w:r w:rsidR="009E6181" w:rsidRPr="00676642">
              <w:rPr>
                <w:rFonts w:ascii="Times New Roman" w:hAnsi="Times New Roman" w:cs="Times New Roman"/>
                <w:sz w:val="24"/>
                <w:szCs w:val="24"/>
              </w:rPr>
              <w:t>o</w:t>
            </w:r>
            <w:r w:rsidRPr="00676642">
              <w:rPr>
                <w:rFonts w:ascii="Times New Roman" w:hAnsi="Times New Roman" w:cs="Times New Roman"/>
                <w:sz w:val="24"/>
                <w:szCs w:val="24"/>
              </w:rPr>
              <w:t xml:space="preserve"> daļ</w:t>
            </w:r>
            <w:r w:rsidR="009E6181" w:rsidRPr="00676642">
              <w:rPr>
                <w:rFonts w:ascii="Times New Roman" w:hAnsi="Times New Roman" w:cs="Times New Roman"/>
                <w:sz w:val="24"/>
                <w:szCs w:val="24"/>
              </w:rPr>
              <w:t>u</w:t>
            </w:r>
            <w:r w:rsidRPr="00676642">
              <w:rPr>
                <w:rFonts w:ascii="Times New Roman" w:hAnsi="Times New Roman" w:cs="Times New Roman"/>
                <w:sz w:val="24"/>
                <w:szCs w:val="24"/>
              </w:rPr>
              <w:t>,</w:t>
            </w:r>
            <w:r w:rsidR="0000723E" w:rsidRPr="00676642">
              <w:rPr>
                <w:rFonts w:ascii="Times New Roman" w:hAnsi="Times New Roman" w:cs="Times New Roman"/>
                <w:sz w:val="24"/>
                <w:szCs w:val="24"/>
              </w:rPr>
              <w:t xml:space="preserve"> </w:t>
            </w:r>
            <w:r w:rsidR="0000723E" w:rsidRPr="00676642">
              <w:rPr>
                <w:rFonts w:ascii="Times New Roman" w:eastAsia="Times New Roman" w:hAnsi="Times New Roman" w:cs="Times New Roman"/>
                <w:sz w:val="24"/>
                <w:szCs w:val="24"/>
                <w:lang w:eastAsia="lv-LV"/>
              </w:rPr>
              <w:t>31.</w:t>
            </w:r>
            <w:r w:rsidR="00912D56" w:rsidRPr="00676642">
              <w:rPr>
                <w:rFonts w:ascii="Times New Roman" w:eastAsia="Times New Roman" w:hAnsi="Times New Roman" w:cs="Times New Roman"/>
                <w:sz w:val="24"/>
                <w:szCs w:val="24"/>
                <w:vertAlign w:val="superscript"/>
                <w:lang w:eastAsia="lv-LV"/>
              </w:rPr>
              <w:t>4</w:t>
            </w:r>
            <w:r w:rsidR="0000723E" w:rsidRPr="00676642">
              <w:rPr>
                <w:rFonts w:ascii="Times New Roman" w:eastAsia="Times New Roman" w:hAnsi="Times New Roman" w:cs="Times New Roman"/>
                <w:sz w:val="24"/>
                <w:szCs w:val="24"/>
                <w:lang w:eastAsia="lv-LV"/>
              </w:rPr>
              <w:t xml:space="preserve"> panta </w:t>
            </w:r>
            <w:r w:rsidR="00ED5E79" w:rsidRPr="00676642">
              <w:rPr>
                <w:rFonts w:ascii="Times New Roman" w:eastAsia="Times New Roman" w:hAnsi="Times New Roman" w:cs="Times New Roman"/>
                <w:sz w:val="24"/>
                <w:szCs w:val="24"/>
                <w:lang w:eastAsia="lv-LV"/>
              </w:rPr>
              <w:t>ceturto</w:t>
            </w:r>
            <w:r w:rsidR="009E6181" w:rsidRPr="00676642">
              <w:rPr>
                <w:rFonts w:ascii="Times New Roman" w:eastAsia="Times New Roman" w:hAnsi="Times New Roman" w:cs="Times New Roman"/>
                <w:sz w:val="24"/>
                <w:szCs w:val="24"/>
                <w:lang w:eastAsia="lv-LV"/>
              </w:rPr>
              <w:t xml:space="preserve"> daļu </w:t>
            </w:r>
            <w:r w:rsidR="00E15969" w:rsidRPr="00676642">
              <w:rPr>
                <w:rFonts w:ascii="Times New Roman" w:eastAsia="Times New Roman" w:hAnsi="Times New Roman" w:cs="Times New Roman"/>
                <w:sz w:val="24"/>
                <w:szCs w:val="24"/>
                <w:lang w:eastAsia="lv-LV"/>
              </w:rPr>
              <w:t>un</w:t>
            </w:r>
            <w:r w:rsidR="0000723E" w:rsidRPr="00676642">
              <w:rPr>
                <w:rFonts w:ascii="Times New Roman" w:eastAsia="Times New Roman" w:hAnsi="Times New Roman" w:cs="Times New Roman"/>
                <w:sz w:val="24"/>
                <w:szCs w:val="24"/>
                <w:lang w:eastAsia="lv-LV"/>
              </w:rPr>
              <w:t xml:space="preserve"> </w:t>
            </w:r>
            <w:r w:rsidR="0000723E" w:rsidRPr="00676642">
              <w:rPr>
                <w:rFonts w:ascii="Times New Roman" w:hAnsi="Times New Roman" w:cs="Times New Roman"/>
                <w:sz w:val="24"/>
                <w:szCs w:val="24"/>
                <w:shd w:val="clear" w:color="auto" w:fill="FFFFFF"/>
              </w:rPr>
              <w:t>31.</w:t>
            </w:r>
            <w:r w:rsidR="00912D56" w:rsidRPr="00676642">
              <w:rPr>
                <w:rFonts w:ascii="Times New Roman" w:hAnsi="Times New Roman" w:cs="Times New Roman"/>
                <w:sz w:val="24"/>
                <w:szCs w:val="24"/>
                <w:shd w:val="clear" w:color="auto" w:fill="FFFFFF"/>
                <w:vertAlign w:val="superscript"/>
              </w:rPr>
              <w:t>5</w:t>
            </w:r>
            <w:r w:rsidR="0000723E" w:rsidRPr="00676642">
              <w:rPr>
                <w:rFonts w:ascii="Times New Roman" w:hAnsi="Times New Roman" w:cs="Times New Roman"/>
                <w:sz w:val="24"/>
                <w:szCs w:val="24"/>
                <w:shd w:val="clear" w:color="auto" w:fill="FFFFFF"/>
              </w:rPr>
              <w:t> </w:t>
            </w:r>
            <w:r w:rsidR="00E15969" w:rsidRPr="00676642">
              <w:rPr>
                <w:rFonts w:ascii="Times New Roman" w:hAnsi="Times New Roman" w:cs="Times New Roman"/>
                <w:sz w:val="24"/>
                <w:szCs w:val="24"/>
                <w:shd w:val="clear" w:color="auto" w:fill="FFFFFF"/>
              </w:rPr>
              <w:t xml:space="preserve">panta </w:t>
            </w:r>
            <w:r w:rsidR="009E6181" w:rsidRPr="00676642">
              <w:rPr>
                <w:rFonts w:ascii="Times New Roman" w:hAnsi="Times New Roman" w:cs="Times New Roman"/>
                <w:sz w:val="24"/>
                <w:szCs w:val="24"/>
                <w:shd w:val="clear" w:color="auto" w:fill="FFFFFF"/>
              </w:rPr>
              <w:t>trešo daļu</w:t>
            </w:r>
            <w:r w:rsidR="0000723E" w:rsidRPr="00676642">
              <w:rPr>
                <w:rFonts w:ascii="Times New Roman" w:hAnsi="Times New Roman" w:cs="Times New Roman"/>
                <w:sz w:val="24"/>
                <w:szCs w:val="24"/>
              </w:rPr>
              <w:t>.</w:t>
            </w:r>
          </w:p>
        </w:tc>
      </w:tr>
      <w:tr w:rsidR="00240DAF" w:rsidRPr="00DA5167" w14:paraId="6C2AC262" w14:textId="77777777" w:rsidTr="0017011A">
        <w:trPr>
          <w:cantSplit/>
          <w:trHeight w:val="669"/>
        </w:trPr>
        <w:tc>
          <w:tcPr>
            <w:tcW w:w="309" w:type="pct"/>
            <w:hideMark/>
          </w:tcPr>
          <w:p w14:paraId="14AF0BE2" w14:textId="77777777" w:rsidR="00BD33E0" w:rsidRPr="00676642" w:rsidRDefault="00BD33E0" w:rsidP="00CD7C3F">
            <w:pPr>
              <w:keepLines/>
              <w:spacing w:after="0" w:line="240" w:lineRule="auto"/>
              <w:contextualSpacing/>
              <w:jc w:val="center"/>
              <w:rPr>
                <w:rFonts w:ascii="Times New Roman" w:hAnsi="Times New Roman" w:cs="Times New Roman"/>
                <w:sz w:val="24"/>
                <w:szCs w:val="24"/>
              </w:rPr>
            </w:pPr>
            <w:r w:rsidRPr="00676642">
              <w:rPr>
                <w:rFonts w:ascii="Times New Roman" w:hAnsi="Times New Roman" w:cs="Times New Roman"/>
                <w:sz w:val="24"/>
                <w:szCs w:val="24"/>
              </w:rPr>
              <w:t>2.</w:t>
            </w:r>
          </w:p>
        </w:tc>
        <w:tc>
          <w:tcPr>
            <w:tcW w:w="1466" w:type="pct"/>
            <w:hideMark/>
          </w:tcPr>
          <w:p w14:paraId="1A6786FD" w14:textId="77777777" w:rsidR="00BD33E0" w:rsidRPr="00676642" w:rsidRDefault="00BD33E0" w:rsidP="00CD7C3F">
            <w:pPr>
              <w:keepLines/>
              <w:spacing w:after="0" w:line="240" w:lineRule="auto"/>
              <w:contextualSpacing/>
              <w:rPr>
                <w:rFonts w:ascii="Times New Roman" w:hAnsi="Times New Roman" w:cs="Times New Roman"/>
                <w:sz w:val="24"/>
                <w:szCs w:val="24"/>
              </w:rPr>
            </w:pPr>
            <w:r w:rsidRPr="00676642">
              <w:rPr>
                <w:rFonts w:ascii="Times New Roman" w:hAnsi="Times New Roman" w:cs="Times New Roman"/>
                <w:sz w:val="24"/>
                <w:szCs w:val="24"/>
              </w:rPr>
              <w:t>Pašreizējā situācija un problēmas, kuru risināšanai tiesību akta projekts izstrādāts, tiesiskā regulējuma mērķis un būtība</w:t>
            </w:r>
          </w:p>
        </w:tc>
        <w:tc>
          <w:tcPr>
            <w:tcW w:w="3225" w:type="pct"/>
          </w:tcPr>
          <w:p w14:paraId="62D1AD24" w14:textId="2CC290F3" w:rsidR="000910DE" w:rsidRPr="000910DE" w:rsidRDefault="004141C1" w:rsidP="000910DE">
            <w:pPr>
              <w:spacing w:before="120" w:after="0" w:line="240" w:lineRule="auto"/>
              <w:ind w:right="115"/>
              <w:jc w:val="both"/>
              <w:rPr>
                <w:rFonts w:ascii="Times New Roman" w:eastAsia="Times New Roman" w:hAnsi="Times New Roman" w:cs="Times New Roman"/>
                <w:sz w:val="24"/>
                <w:szCs w:val="24"/>
                <w:lang w:eastAsia="lv-LV"/>
              </w:rPr>
            </w:pPr>
            <w:r w:rsidRPr="00676642">
              <w:rPr>
                <w:rFonts w:ascii="Times New Roman" w:hAnsi="Times New Roman" w:cs="Times New Roman"/>
                <w:sz w:val="24"/>
                <w:szCs w:val="24"/>
              </w:rPr>
              <w:t xml:space="preserve">2020. gada 15. februārī stājās spēkā grozījumi ETL, ar kuriem tika </w:t>
            </w:r>
            <w:r w:rsidR="00ED5E79" w:rsidRPr="00676642">
              <w:rPr>
                <w:rFonts w:ascii="Times New Roman" w:hAnsi="Times New Roman" w:cs="Times New Roman"/>
                <w:sz w:val="24"/>
                <w:szCs w:val="24"/>
              </w:rPr>
              <w:t xml:space="preserve">grozīti vairāki </w:t>
            </w:r>
            <w:r w:rsidRPr="00676642">
              <w:rPr>
                <w:rFonts w:ascii="Times New Roman" w:hAnsi="Times New Roman" w:cs="Times New Roman"/>
                <w:sz w:val="24"/>
                <w:szCs w:val="24"/>
              </w:rPr>
              <w:t>ETL</w:t>
            </w:r>
            <w:r w:rsidR="00ED5E79" w:rsidRPr="00676642">
              <w:rPr>
                <w:rFonts w:ascii="Times New Roman" w:hAnsi="Times New Roman" w:cs="Times New Roman"/>
                <w:sz w:val="24"/>
                <w:szCs w:val="24"/>
              </w:rPr>
              <w:t xml:space="preserve"> panti, uz kuru </w:t>
            </w:r>
            <w:r w:rsidRPr="00676642">
              <w:rPr>
                <w:rFonts w:ascii="Times New Roman" w:hAnsi="Times New Roman" w:cs="Times New Roman"/>
                <w:sz w:val="24"/>
                <w:szCs w:val="24"/>
              </w:rPr>
              <w:t>, uz kur</w:t>
            </w:r>
            <w:r w:rsidR="00072295" w:rsidRPr="00676642">
              <w:rPr>
                <w:rFonts w:ascii="Times New Roman" w:hAnsi="Times New Roman" w:cs="Times New Roman"/>
                <w:sz w:val="24"/>
                <w:szCs w:val="24"/>
              </w:rPr>
              <w:t>u</w:t>
            </w:r>
            <w:r w:rsidRPr="00676642">
              <w:rPr>
                <w:rFonts w:ascii="Times New Roman" w:hAnsi="Times New Roman" w:cs="Times New Roman"/>
                <w:sz w:val="24"/>
                <w:szCs w:val="24"/>
              </w:rPr>
              <w:t xml:space="preserve"> pamata ir izdoti </w:t>
            </w:r>
            <w:r w:rsidR="00ED5E79" w:rsidRPr="00676642">
              <w:rPr>
                <w:rFonts w:ascii="Times New Roman" w:eastAsia="Times New Roman" w:hAnsi="Times New Roman" w:cs="Times New Roman"/>
                <w:sz w:val="24"/>
                <w:szCs w:val="24"/>
                <w:lang w:eastAsia="lv-LV"/>
              </w:rPr>
              <w:t xml:space="preserve"> šobrīd spēkā esošie MK noteikumi Nr.560</w:t>
            </w:r>
            <w:r w:rsidR="00ED5E79" w:rsidRPr="00676642">
              <w:rPr>
                <w:rStyle w:val="FootnoteReference"/>
                <w:rFonts w:ascii="Times New Roman" w:eastAsia="Times New Roman" w:hAnsi="Times New Roman" w:cs="Times New Roman"/>
                <w:sz w:val="24"/>
                <w:szCs w:val="24"/>
                <w:lang w:eastAsia="lv-LV"/>
              </w:rPr>
              <w:footnoteReference w:id="2"/>
            </w:r>
            <w:r w:rsidR="00ED5E79" w:rsidRPr="00676642">
              <w:rPr>
                <w:rFonts w:ascii="Times New Roman" w:eastAsia="Times New Roman" w:hAnsi="Times New Roman" w:cs="Times New Roman"/>
                <w:sz w:val="24"/>
                <w:szCs w:val="24"/>
                <w:lang w:eastAsia="lv-LV"/>
              </w:rPr>
              <w:t>.</w:t>
            </w:r>
            <w:r w:rsidR="00ED5E79" w:rsidRPr="00676642">
              <w:rPr>
                <w:rFonts w:ascii="Times New Roman" w:hAnsi="Times New Roman" w:cs="Times New Roman"/>
                <w:sz w:val="24"/>
                <w:szCs w:val="24"/>
              </w:rPr>
              <w:t xml:space="preserve">Taču pilnvarojums vēl nav izpildīts, kas izriet no ETL </w:t>
            </w:r>
            <w:r w:rsidR="00ED5E79" w:rsidRPr="00676642">
              <w:rPr>
                <w:rFonts w:ascii="Times New Roman" w:eastAsia="Times New Roman" w:hAnsi="Times New Roman" w:cs="Times New Roman"/>
                <w:sz w:val="24"/>
                <w:szCs w:val="24"/>
                <w:lang w:eastAsia="lv-LV"/>
              </w:rPr>
              <w:t>31.</w:t>
            </w:r>
            <w:r w:rsidR="00ED5E79" w:rsidRPr="00676642">
              <w:rPr>
                <w:rFonts w:ascii="Times New Roman" w:eastAsia="Times New Roman" w:hAnsi="Times New Roman" w:cs="Times New Roman"/>
                <w:sz w:val="24"/>
                <w:szCs w:val="24"/>
                <w:vertAlign w:val="superscript"/>
                <w:lang w:eastAsia="lv-LV"/>
              </w:rPr>
              <w:t>4</w:t>
            </w:r>
            <w:r w:rsidR="00ED5E79" w:rsidRPr="00676642">
              <w:rPr>
                <w:rFonts w:ascii="Times New Roman" w:eastAsia="Times New Roman" w:hAnsi="Times New Roman" w:cs="Times New Roman"/>
                <w:sz w:val="24"/>
                <w:szCs w:val="24"/>
                <w:lang w:eastAsia="lv-LV"/>
              </w:rPr>
              <w:t xml:space="preserve"> panta ceturtās daļas un </w:t>
            </w:r>
            <w:r w:rsidR="00ED5E79" w:rsidRPr="00676642">
              <w:rPr>
                <w:rFonts w:ascii="Times New Roman" w:hAnsi="Times New Roman" w:cs="Times New Roman"/>
                <w:sz w:val="24"/>
                <w:szCs w:val="24"/>
                <w:shd w:val="clear" w:color="auto" w:fill="FFFFFF"/>
              </w:rPr>
              <w:t>31.</w:t>
            </w:r>
            <w:r w:rsidR="00ED5E79" w:rsidRPr="00676642">
              <w:rPr>
                <w:rFonts w:ascii="Times New Roman" w:hAnsi="Times New Roman" w:cs="Times New Roman"/>
                <w:sz w:val="24"/>
                <w:szCs w:val="24"/>
                <w:shd w:val="clear" w:color="auto" w:fill="FFFFFF"/>
                <w:vertAlign w:val="superscript"/>
              </w:rPr>
              <w:t>5</w:t>
            </w:r>
            <w:r w:rsidR="00ED5E79" w:rsidRPr="00676642">
              <w:rPr>
                <w:rFonts w:ascii="Times New Roman" w:hAnsi="Times New Roman" w:cs="Times New Roman"/>
                <w:sz w:val="24"/>
                <w:szCs w:val="24"/>
                <w:shd w:val="clear" w:color="auto" w:fill="FFFFFF"/>
              </w:rPr>
              <w:t> panta trešās daļas</w:t>
            </w:r>
            <w:r w:rsidR="00ED5E79" w:rsidRPr="00676642">
              <w:rPr>
                <w:rFonts w:ascii="Times New Roman" w:hAnsi="Times New Roman" w:cs="Times New Roman"/>
                <w:sz w:val="24"/>
                <w:szCs w:val="24"/>
              </w:rPr>
              <w:t>.</w:t>
            </w:r>
          </w:p>
          <w:p w14:paraId="38108E5B" w14:textId="79076BE1" w:rsidR="000910DE" w:rsidRPr="00013A20" w:rsidRDefault="000910DE" w:rsidP="000910DE">
            <w:pPr>
              <w:pStyle w:val="NormalWeb"/>
              <w:spacing w:before="300" w:beforeAutospacing="0" w:after="300" w:afterAutospacing="0"/>
              <w:jc w:val="both"/>
              <w:rPr>
                <w:lang w:val="lv-LV"/>
              </w:rPr>
            </w:pPr>
            <w:r w:rsidRPr="00013A20">
              <w:rPr>
                <w:lang w:val="lv-LV" w:eastAsia="lv-LV"/>
              </w:rPr>
              <w:t xml:space="preserve">Ņemot vērā, ka ETL </w:t>
            </w:r>
            <w:r w:rsidRPr="00013A20">
              <w:rPr>
                <w:shd w:val="clear" w:color="auto" w:fill="FFFFFF"/>
                <w:lang w:val="lv-LV"/>
              </w:rPr>
              <w:t>31.</w:t>
            </w:r>
            <w:r w:rsidRPr="00013A20">
              <w:rPr>
                <w:shd w:val="clear" w:color="auto" w:fill="FFFFFF"/>
                <w:vertAlign w:val="superscript"/>
                <w:lang w:val="lv-LV"/>
              </w:rPr>
              <w:t>5</w:t>
            </w:r>
            <w:r w:rsidRPr="00013A20">
              <w:rPr>
                <w:shd w:val="clear" w:color="auto" w:fill="FFFFFF"/>
                <w:lang w:val="lv-LV"/>
              </w:rPr>
              <w:t xml:space="preserve"> pants, </w:t>
            </w:r>
            <w:r>
              <w:rPr>
                <w:shd w:val="clear" w:color="auto" w:fill="FFFFFF"/>
                <w:lang w:val="lv-LV"/>
              </w:rPr>
              <w:t>k</w:t>
            </w:r>
            <w:r w:rsidRPr="00013A20">
              <w:rPr>
                <w:shd w:val="clear" w:color="auto" w:fill="FFFFFF"/>
                <w:lang w:val="lv-LV"/>
              </w:rPr>
              <w:t>as definē vienoto tehnoloģisko ciklu un dod deleģējumu Ministru kabinetam noteikt elektrostacijas darbības vienotā tehnoloģiskā cikla principa piemērošanas nosacījumus un kārtību, stājas spēkā 2020.gada 1.janvārī</w:t>
            </w:r>
            <w:r>
              <w:rPr>
                <w:shd w:val="clear" w:color="auto" w:fill="FFFFFF"/>
                <w:lang w:val="lv-LV"/>
              </w:rPr>
              <w:t>.</w:t>
            </w:r>
          </w:p>
          <w:p w14:paraId="6E320D47" w14:textId="27D593DC" w:rsidR="000910DE" w:rsidRPr="00013A20" w:rsidRDefault="000910DE" w:rsidP="000910DE">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Projekts paredz, ka vienotā tehnoloģiskā cikla princips tiek piemērots, nosakot elektrostacijā saražotās elektroenerģijas atlikumu, saražotās siltumenerģijas lietderīgu izmantošanu, kā arī veicot elektrostacijā saražotās elektroenerģijas cenas aprēķinu. Tāpat tiek paredzēts, ka  vienotā tehnoloģiskā cikla principu piemēro, nosakot elektrostacijas principiālajā pieslēguma shēmā norādāmās iekārtas, ierīces u.c. objektus.</w:t>
            </w:r>
          </w:p>
          <w:p w14:paraId="11343CEE" w14:textId="479625BB" w:rsidR="000910DE" w:rsidRPr="00013A20" w:rsidRDefault="000910DE" w:rsidP="000910DE">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Saskaņā ar projektu vienotais tehnoloģiskais cikls aptver visas elektrostacijas lietu kopībā ietilpstošās iekārtas, ierīces un būves, tostarp:</w:t>
            </w:r>
          </w:p>
          <w:p w14:paraId="1C122BBD"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1) izejvielu sagatavošanas iekārtas;</w:t>
            </w:r>
            <w:r w:rsidRPr="00013A20">
              <w:rPr>
                <w:rStyle w:val="eop"/>
              </w:rPr>
              <w:t> </w:t>
            </w:r>
          </w:p>
          <w:p w14:paraId="0024AAC2"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lastRenderedPageBreak/>
              <w:t>2) izejvielu padeves iekārtas;</w:t>
            </w:r>
            <w:r w:rsidRPr="00013A20">
              <w:rPr>
                <w:rStyle w:val="eop"/>
              </w:rPr>
              <w:t> </w:t>
            </w:r>
          </w:p>
          <w:p w14:paraId="19B797B1"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3) biogāzes ražošanas iekārtas;</w:t>
            </w:r>
            <w:r w:rsidRPr="00013A20">
              <w:rPr>
                <w:rStyle w:val="eop"/>
              </w:rPr>
              <w:t> </w:t>
            </w:r>
          </w:p>
          <w:p w14:paraId="33431228"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4) biogāzes attīrīšanas iekārtas;</w:t>
            </w:r>
            <w:r w:rsidRPr="00013A20">
              <w:rPr>
                <w:rStyle w:val="eop"/>
              </w:rPr>
              <w:t> </w:t>
            </w:r>
          </w:p>
          <w:p w14:paraId="2F1C5ADC"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5) biogāzes uzglabāšanas iekārtas;</w:t>
            </w:r>
            <w:r w:rsidRPr="00013A20">
              <w:rPr>
                <w:rStyle w:val="eop"/>
              </w:rPr>
              <w:t> </w:t>
            </w:r>
          </w:p>
          <w:p w14:paraId="6DD67D2A"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6) turbīnas;</w:t>
            </w:r>
            <w:r w:rsidRPr="00013A20">
              <w:rPr>
                <w:rStyle w:val="eop"/>
              </w:rPr>
              <w:t> </w:t>
            </w:r>
          </w:p>
          <w:p w14:paraId="588CACE4"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7) ģeneratorus;</w:t>
            </w:r>
            <w:r w:rsidRPr="00013A20">
              <w:rPr>
                <w:rStyle w:val="eop"/>
              </w:rPr>
              <w:t> </w:t>
            </w:r>
          </w:p>
          <w:p w14:paraId="27D191C1"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8) </w:t>
            </w:r>
            <w:r w:rsidRPr="00013A20">
              <w:rPr>
                <w:rStyle w:val="spellingerror"/>
              </w:rPr>
              <w:t>dūmgāzu</w:t>
            </w:r>
            <w:r w:rsidRPr="00013A20">
              <w:rPr>
                <w:rStyle w:val="normaltextrun"/>
              </w:rPr>
              <w:t> aizvadīšanas iekārtas;</w:t>
            </w:r>
            <w:r w:rsidRPr="00013A20">
              <w:rPr>
                <w:rStyle w:val="eop"/>
              </w:rPr>
              <w:t> </w:t>
            </w:r>
          </w:p>
          <w:p w14:paraId="2DD1544F"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9) saražotās elektroenerģijas un siltumenerģijas nodošanas iekārtas;</w:t>
            </w:r>
            <w:r w:rsidRPr="00013A20">
              <w:rPr>
                <w:rStyle w:val="eop"/>
              </w:rPr>
              <w:t> </w:t>
            </w:r>
          </w:p>
          <w:p w14:paraId="529C2135" w14:textId="77777777" w:rsidR="000910DE" w:rsidRPr="00013A20" w:rsidRDefault="000910DE" w:rsidP="000910DE">
            <w:pPr>
              <w:pStyle w:val="paragraph"/>
              <w:shd w:val="clear" w:color="auto" w:fill="FFFFFF"/>
              <w:spacing w:before="0" w:beforeAutospacing="0" w:after="0" w:afterAutospacing="0"/>
              <w:ind w:left="266"/>
              <w:jc w:val="both"/>
              <w:textAlignment w:val="baseline"/>
            </w:pPr>
            <w:r w:rsidRPr="00013A20">
              <w:rPr>
                <w:rStyle w:val="normaltextrun"/>
              </w:rPr>
              <w:t>10) citas iekārtas,</w:t>
            </w:r>
            <w:r w:rsidRPr="00013A20">
              <w:rPr>
                <w:rStyle w:val="spellingerror"/>
              </w:rPr>
              <w:t xml:space="preserve"> palīgiekārtas </w:t>
            </w:r>
            <w:r w:rsidRPr="00013A20">
              <w:rPr>
                <w:rStyle w:val="normaltextrun"/>
              </w:rPr>
              <w:t xml:space="preserve">un infrastruktūras objektus un to </w:t>
            </w:r>
            <w:r w:rsidRPr="00013A20">
              <w:rPr>
                <w:rStyle w:val="spellingerror"/>
              </w:rPr>
              <w:t xml:space="preserve">pieslēgumu </w:t>
            </w:r>
            <w:r w:rsidRPr="00013A20">
              <w:rPr>
                <w:rStyle w:val="normaltextrun"/>
              </w:rPr>
              <w:t xml:space="preserve">punktus elektrostacijas </w:t>
            </w:r>
            <w:r w:rsidRPr="00013A20">
              <w:rPr>
                <w:rStyle w:val="findhit"/>
              </w:rPr>
              <w:t>tehnoloģisk</w:t>
            </w:r>
            <w:r w:rsidRPr="00013A20">
              <w:rPr>
                <w:rStyle w:val="normaltextrun"/>
              </w:rPr>
              <w:t>ā procesa nodrošināšanai;</w:t>
            </w:r>
            <w:r w:rsidRPr="00013A20">
              <w:rPr>
                <w:rStyle w:val="eop"/>
              </w:rPr>
              <w:t> </w:t>
            </w:r>
          </w:p>
          <w:p w14:paraId="4AB2C52C" w14:textId="77777777" w:rsidR="000910DE" w:rsidRPr="00013A20" w:rsidRDefault="000910DE" w:rsidP="000910DE">
            <w:pPr>
              <w:pStyle w:val="paragraph"/>
              <w:shd w:val="clear" w:color="auto" w:fill="FFFFFF"/>
              <w:spacing w:before="0" w:beforeAutospacing="0" w:after="0" w:afterAutospacing="0"/>
              <w:ind w:left="266"/>
              <w:jc w:val="both"/>
              <w:textAlignment w:val="baseline"/>
              <w:rPr>
                <w:rStyle w:val="normaltextrun"/>
              </w:rPr>
            </w:pPr>
            <w:r w:rsidRPr="00013A20">
              <w:rPr>
                <w:rStyle w:val="normaltextrun"/>
              </w:rPr>
              <w:t xml:space="preserve">11) palīgtelpas elektrostacijas </w:t>
            </w:r>
            <w:r w:rsidRPr="00013A20">
              <w:rPr>
                <w:rStyle w:val="findhit"/>
              </w:rPr>
              <w:t>tehnoloģisk</w:t>
            </w:r>
            <w:r w:rsidRPr="00013A20">
              <w:rPr>
                <w:rStyle w:val="normaltextrun"/>
              </w:rPr>
              <w:t>ā procesa nodrošināšanai.</w:t>
            </w:r>
          </w:p>
          <w:p w14:paraId="4742F76F" w14:textId="77777777" w:rsidR="000910DE" w:rsidRPr="00013A20" w:rsidRDefault="000910DE" w:rsidP="000910DE">
            <w:pPr>
              <w:pStyle w:val="paragraph"/>
              <w:shd w:val="clear" w:color="auto" w:fill="FFFFFF"/>
              <w:spacing w:before="0" w:beforeAutospacing="0" w:after="0" w:afterAutospacing="0"/>
              <w:ind w:left="266"/>
              <w:jc w:val="both"/>
              <w:textAlignment w:val="baseline"/>
            </w:pPr>
          </w:p>
          <w:p w14:paraId="6F1B3DFB" w14:textId="3753E06D" w:rsidR="000910DE" w:rsidRPr="00013A20" w:rsidRDefault="000910DE" w:rsidP="000910DE">
            <w:pPr>
              <w:pStyle w:val="paragraph"/>
              <w:shd w:val="clear" w:color="auto" w:fill="FFFFFF"/>
              <w:spacing w:before="0" w:beforeAutospacing="0" w:after="0" w:afterAutospacing="0"/>
              <w:jc w:val="both"/>
              <w:textAlignment w:val="baseline"/>
              <w:rPr>
                <w:rStyle w:val="eop"/>
              </w:rPr>
            </w:pPr>
            <w:r w:rsidRPr="00013A20">
              <w:rPr>
                <w:rStyle w:val="eop"/>
              </w:rPr>
              <w:t xml:space="preserve">Ievērojot vienotā tehnoloģiskā cikla principu, par </w:t>
            </w:r>
            <w:r w:rsidR="00BF7C3D">
              <w:rPr>
                <w:rStyle w:val="eop"/>
              </w:rPr>
              <w:t>elektro</w:t>
            </w:r>
            <w:r w:rsidRPr="00013A20">
              <w:rPr>
                <w:rStyle w:val="eop"/>
              </w:rPr>
              <w:t xml:space="preserve">stacijas sastāvdaļu uzskatāmas arī viena vai vairāku komersantu īpašumā vai lietojumā esošas būves, tehnoloģiskās iekārtas, ierīces un infrastruktūra, kas paredzētas </w:t>
            </w:r>
            <w:r w:rsidR="0031580C">
              <w:rPr>
                <w:rStyle w:val="eop"/>
              </w:rPr>
              <w:t>elektro</w:t>
            </w:r>
            <w:r w:rsidRPr="00013A20">
              <w:rPr>
                <w:rStyle w:val="eop"/>
              </w:rPr>
              <w:t>stacijā izmantojamā kurināmā sagatavošanai un padevei elektrostacijas vajadzībām.</w:t>
            </w:r>
          </w:p>
          <w:p w14:paraId="0325AC2A" w14:textId="77777777" w:rsidR="000910DE" w:rsidRPr="00013A20" w:rsidRDefault="000910DE" w:rsidP="000910DE">
            <w:pPr>
              <w:pStyle w:val="paragraph"/>
              <w:shd w:val="clear" w:color="auto" w:fill="FFFFFF"/>
              <w:spacing w:before="0" w:beforeAutospacing="0" w:after="0" w:afterAutospacing="0"/>
              <w:ind w:firstLine="300"/>
              <w:jc w:val="both"/>
              <w:textAlignment w:val="baseline"/>
              <w:rPr>
                <w:rStyle w:val="eop"/>
              </w:rPr>
            </w:pPr>
            <w:r w:rsidRPr="00013A20">
              <w:rPr>
                <w:rStyle w:val="eop"/>
              </w:rPr>
              <w:t> </w:t>
            </w:r>
          </w:p>
          <w:p w14:paraId="574A82F9" w14:textId="77777777" w:rsidR="000910DE" w:rsidRPr="00013A20" w:rsidRDefault="000910DE" w:rsidP="000910DE">
            <w:pPr>
              <w:shd w:val="clear" w:color="auto" w:fill="FFFFFF"/>
              <w:spacing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Gadījumā, ja Būvniecības valsts kontroles birojs (turpmāk – BVKB) konstatē, ka elektrostacijā netiek nodrošināta saražotās elektroenerģijas izlietošana elektrostacijas darbības nodrošināšanai saskaņā ar šiem noteikumiem un vienotā tehnoloģiskā cikla principu, BVKB aptur valsts atbalst</w:t>
            </w:r>
            <w:r>
              <w:rPr>
                <w:rFonts w:ascii="Times New Roman" w:eastAsia="Times New Roman" w:hAnsi="Times New Roman" w:cs="Times New Roman"/>
                <w:sz w:val="24"/>
                <w:szCs w:val="24"/>
                <w:lang w:eastAsia="lv-LV"/>
              </w:rPr>
              <w:t>a izmaks</w:t>
            </w:r>
            <w:r w:rsidRPr="00013A20">
              <w:rPr>
                <w:rFonts w:ascii="Times New Roman" w:eastAsia="Times New Roman" w:hAnsi="Times New Roman" w:cs="Times New Roman"/>
                <w:sz w:val="24"/>
                <w:szCs w:val="24"/>
                <w:lang w:eastAsia="lv-LV"/>
              </w:rPr>
              <w:t>u līdz 6 mēnešiem, kuru laikā komersants var novērst neatbilstību, tajā skaitā apvienojot vairākus komersantus</w:t>
            </w:r>
            <w:r>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t>vai elektrostacijas</w:t>
            </w:r>
            <w:r>
              <w:rPr>
                <w:rFonts w:ascii="Times New Roman" w:eastAsia="Times New Roman" w:hAnsi="Times New Roman" w:cs="Times New Roman"/>
                <w:sz w:val="24"/>
                <w:szCs w:val="24"/>
                <w:lang w:eastAsia="lv-LV"/>
              </w:rPr>
              <w:t>, neatkarīgi no tā vai elektrostacijas saņem valsts atbalstu, pamatojoties uz MK 561 vai MK 560</w:t>
            </w:r>
            <w:r w:rsidRPr="00013A20">
              <w:rPr>
                <w:rFonts w:ascii="Times New Roman" w:eastAsia="Times New Roman" w:hAnsi="Times New Roman" w:cs="Times New Roman"/>
                <w:sz w:val="24"/>
                <w:szCs w:val="24"/>
                <w:lang w:eastAsia="lv-LV"/>
              </w:rPr>
              <w:t>.</w:t>
            </w:r>
          </w:p>
          <w:p w14:paraId="608F81BE" w14:textId="77777777" w:rsidR="000910DE" w:rsidRPr="00013A20" w:rsidRDefault="000910DE" w:rsidP="000910DE">
            <w:pPr>
              <w:shd w:val="clear" w:color="auto" w:fill="FFFFFF"/>
              <w:spacing w:after="0" w:line="240" w:lineRule="auto"/>
              <w:jc w:val="both"/>
              <w:rPr>
                <w:rFonts w:ascii="Times New Roman" w:eastAsia="Times New Roman" w:hAnsi="Times New Roman" w:cs="Times New Roman"/>
                <w:sz w:val="24"/>
                <w:szCs w:val="24"/>
                <w:lang w:eastAsia="lv-LV"/>
              </w:rPr>
            </w:pPr>
          </w:p>
          <w:p w14:paraId="21B56FE0" w14:textId="386DA92B" w:rsidR="000910DE" w:rsidRDefault="000910DE" w:rsidP="000910DE">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Ja komersants 6 mēnešu laikā nenovērš minēto neatbilstību, tiek pieņemts lēmums par obligātā iepirkuma tiesību vai garantētās maksas tiesību atcelšanu.</w:t>
            </w:r>
          </w:p>
          <w:p w14:paraId="61FFB195" w14:textId="77777777" w:rsidR="000910DE" w:rsidRDefault="000910DE" w:rsidP="000910DE">
            <w:pPr>
              <w:spacing w:before="120" w:after="0" w:line="240" w:lineRule="auto"/>
              <w:jc w:val="both"/>
              <w:rPr>
                <w:rFonts w:ascii="Times New Roman" w:eastAsia="Times New Roman" w:hAnsi="Times New Roman" w:cs="Times New Roman"/>
                <w:sz w:val="24"/>
                <w:szCs w:val="24"/>
                <w:lang w:eastAsia="lv-LV"/>
              </w:rPr>
            </w:pPr>
          </w:p>
          <w:p w14:paraId="4891AD48" w14:textId="77777777" w:rsidR="000910DE" w:rsidRPr="00013A20" w:rsidRDefault="000910DE" w:rsidP="000910DE">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minēto neatbilstību novērstu, tiek paredzēts izņēmums noteikumam, ka obligātā iepirkuma tiesības un garantētās maksas tiesības nav nododamas vai atsavināmas, ļaujot komersantiem apvienoties, līdz ar šo apvienošanos arī nododot obligātā iepirkuma tiesības vai garantētās maksas tiesības (bet tikai tādu komersantu starpā, kam ir obligātā iepirkuma vai garantētās maksas tiesības).</w:t>
            </w:r>
          </w:p>
          <w:p w14:paraId="17B172E2" w14:textId="12CB5A2B" w:rsidR="000910DE" w:rsidRPr="00013A20" w:rsidRDefault="000910DE" w:rsidP="000910DE">
            <w:pPr>
              <w:pStyle w:val="NormalWeb"/>
              <w:spacing w:after="165" w:afterAutospacing="0"/>
              <w:jc w:val="both"/>
              <w:rPr>
                <w:lang w:val="lv-LV" w:eastAsia="lv-LV"/>
              </w:rPr>
            </w:pPr>
            <w:r>
              <w:rPr>
                <w:lang w:val="lv-LV" w:eastAsia="lv-LV"/>
              </w:rPr>
              <w:t>J</w:t>
            </w:r>
            <w:r w:rsidRPr="00013A20">
              <w:rPr>
                <w:lang w:val="lv-LV" w:eastAsia="lv-LV"/>
              </w:rPr>
              <w:t>a komersants, lai novērstu minēto neatbilstību, veic elektrostaciju vai komersantu apvienošanu, BVKB, atjaunojot valsts atbalstu, vienlaikus groza MK 56</w:t>
            </w:r>
            <w:r>
              <w:rPr>
                <w:lang w:val="lv-LV" w:eastAsia="lv-LV"/>
              </w:rPr>
              <w:t>0</w:t>
            </w:r>
            <w:r w:rsidRPr="00013A20">
              <w:rPr>
                <w:lang w:val="lv-LV" w:eastAsia="lv-LV"/>
              </w:rPr>
              <w:t>. not. 2.2. apakšpunktā minēto lēmumu, tajā pārrēķinot elektroenerģijas apjomu. Šo aprēķinu veic atbilstoši tiem termiņiem un elektroenerģijas apjomam, kāds piešķirts katrai no elektrostacij</w:t>
            </w:r>
            <w:r>
              <w:rPr>
                <w:lang w:val="lv-LV" w:eastAsia="lv-LV"/>
              </w:rPr>
              <w:t>ām, kuras tiek apvienotas</w:t>
            </w:r>
            <w:r w:rsidRPr="00013A20">
              <w:rPr>
                <w:lang w:val="lv-LV" w:eastAsia="lv-LV"/>
              </w:rPr>
              <w:t xml:space="preserve">.  </w:t>
            </w:r>
            <w:r>
              <w:rPr>
                <w:lang w:val="lv-LV" w:eastAsia="lv-LV"/>
              </w:rPr>
              <w:t>Attiecīgi paliek tikai viena elektrostacija ar tiesības dodošu lēmumu, bet pārējie lēmumi tiek atcelti, jo tie ir attiecināti uz vairs neeksistējošām elektrostacijām</w:t>
            </w:r>
            <w:r w:rsidRPr="00013A20">
              <w:rPr>
                <w:lang w:val="lv-LV" w:eastAsia="lv-LV"/>
              </w:rPr>
              <w:t>.</w:t>
            </w:r>
          </w:p>
          <w:p w14:paraId="0D9105C5" w14:textId="77777777" w:rsidR="000910DE" w:rsidRPr="00013A20" w:rsidRDefault="000910DE" w:rsidP="000910DE">
            <w:pPr>
              <w:pStyle w:val="NormalWeb"/>
              <w:spacing w:after="165" w:afterAutospacing="0"/>
              <w:jc w:val="both"/>
              <w:rPr>
                <w:lang w:val="lv-LV" w:eastAsia="lv-LV"/>
              </w:rPr>
            </w:pPr>
            <w:r w:rsidRPr="00013A20">
              <w:rPr>
                <w:lang w:val="lv-LV" w:eastAsia="lv-LV"/>
              </w:rPr>
              <w:t xml:space="preserve">Tiek paredzēts, ka, ja tiek apvienotas elektrostacijas, kuras līdz šim atbilst MK 561. not. regulējuma elektrostacijām, ar tādām elektrostacijām, kuras līdz šim  atbilst MK 560. not. regulējuma elektrostacijām, tad pēc apvienošanas elektrostacija </w:t>
            </w:r>
            <w:r>
              <w:rPr>
                <w:lang w:val="lv-LV" w:eastAsia="lv-LV"/>
              </w:rPr>
              <w:t>tiks uzskatīta kā</w:t>
            </w:r>
            <w:r w:rsidRPr="00013A20">
              <w:rPr>
                <w:lang w:val="lv-LV" w:eastAsia="lv-LV"/>
              </w:rPr>
              <w:t xml:space="preserve"> atbilstoša MK 561. not. regulējumam, attiecīgi tai izvirzītās prasības, tās cenas noteikšana, uzraudzība u</w:t>
            </w:r>
            <w:r>
              <w:rPr>
                <w:lang w:val="lv-LV" w:eastAsia="lv-LV"/>
              </w:rPr>
              <w:t>n pārējie noteikumi</w:t>
            </w:r>
            <w:r w:rsidRPr="00013A20">
              <w:rPr>
                <w:lang w:val="lv-LV" w:eastAsia="lv-LV"/>
              </w:rPr>
              <w:t xml:space="preserve"> tiks piemērot</w:t>
            </w:r>
            <w:r>
              <w:rPr>
                <w:lang w:val="lv-LV" w:eastAsia="lv-LV"/>
              </w:rPr>
              <w:t>i</w:t>
            </w:r>
            <w:r w:rsidRPr="00013A20">
              <w:rPr>
                <w:lang w:val="lv-LV" w:eastAsia="lv-LV"/>
              </w:rPr>
              <w:t xml:space="preserve"> atbilstoši MK 561. not.</w:t>
            </w:r>
          </w:p>
          <w:p w14:paraId="333A9935" w14:textId="6C68654F" w:rsidR="000910DE" w:rsidRPr="000910DE" w:rsidRDefault="000910DE" w:rsidP="000910DE">
            <w:pPr>
              <w:spacing w:before="120" w:after="0" w:line="240" w:lineRule="auto"/>
              <w:ind w:right="113"/>
              <w:jc w:val="both"/>
              <w:rPr>
                <w:rFonts w:ascii="Times New Roman" w:hAnsi="Times New Roman" w:cs="Times New Roman"/>
                <w:sz w:val="24"/>
                <w:szCs w:val="24"/>
              </w:rPr>
            </w:pPr>
            <w:r w:rsidRPr="00013A20">
              <w:rPr>
                <w:rFonts w:ascii="Times New Roman" w:hAnsi="Times New Roman" w:cs="Times New Roman"/>
                <w:sz w:val="24"/>
                <w:szCs w:val="24"/>
              </w:rPr>
              <w:t xml:space="preserve">Attiecībā uz termiņiem, kas arīdzan ir noteikti dažādi abos noteikumos, apvienošana neko neietekmēs, jo kopējais atbalsts tiks skatīts pēc tās stacijas, kurai termiņš ir visgarākais (tā arī ir tā stacijas, kura turpmāk būs vienīgā, apvienojot pārējās), savukārt izmaksas ilgums par konkrētu apjomu tiks </w:t>
            </w:r>
            <w:r>
              <w:rPr>
                <w:rFonts w:ascii="Times New Roman" w:hAnsi="Times New Roman" w:cs="Times New Roman"/>
                <w:sz w:val="24"/>
                <w:szCs w:val="24"/>
              </w:rPr>
              <w:t>ap</w:t>
            </w:r>
            <w:r w:rsidRPr="00013A20">
              <w:rPr>
                <w:rFonts w:ascii="Times New Roman" w:hAnsi="Times New Roman" w:cs="Times New Roman"/>
                <w:sz w:val="24"/>
                <w:szCs w:val="24"/>
              </w:rPr>
              <w:t xml:space="preserve">rēķināts un noteikts </w:t>
            </w:r>
            <w:r>
              <w:rPr>
                <w:rFonts w:ascii="Times New Roman" w:hAnsi="Times New Roman" w:cs="Times New Roman"/>
                <w:sz w:val="24"/>
                <w:szCs w:val="24"/>
              </w:rPr>
              <w:t xml:space="preserve">ar grozījumiem šo </w:t>
            </w:r>
            <w:r w:rsidRPr="00013A20">
              <w:rPr>
                <w:rFonts w:ascii="Times New Roman" w:hAnsi="Times New Roman" w:cs="Times New Roman"/>
                <w:sz w:val="24"/>
                <w:szCs w:val="24"/>
              </w:rPr>
              <w:t>noteikumu 2.2. apakšpunktā minētajā lēmumā</w:t>
            </w:r>
            <w:r>
              <w:rPr>
                <w:rFonts w:ascii="Times New Roman" w:hAnsi="Times New Roman" w:cs="Times New Roman"/>
                <w:sz w:val="24"/>
                <w:szCs w:val="24"/>
              </w:rPr>
              <w:t>, lai piešķirtās tiesības netiktu nedz paplašinātas, nedz sašaurinātas</w:t>
            </w:r>
            <w:r w:rsidRPr="00013A20">
              <w:rPr>
                <w:rFonts w:ascii="Times New Roman" w:hAnsi="Times New Roman" w:cs="Times New Roman"/>
                <w:sz w:val="24"/>
                <w:szCs w:val="24"/>
              </w:rPr>
              <w:t xml:space="preserve">. </w:t>
            </w:r>
          </w:p>
          <w:p w14:paraId="4A8EB644" w14:textId="6108650B" w:rsidR="0097124C" w:rsidRPr="00B215A7" w:rsidRDefault="000910DE" w:rsidP="0097124C">
            <w:pPr>
              <w:pStyle w:val="NormalWeb"/>
              <w:spacing w:after="165" w:afterAutospacing="0"/>
              <w:jc w:val="both"/>
              <w:rPr>
                <w:lang w:val="lv-LV" w:eastAsia="lv-LV"/>
              </w:rPr>
            </w:pPr>
            <w:r w:rsidRPr="000910DE">
              <w:rPr>
                <w:shd w:val="clear" w:color="auto" w:fill="FFFFFF"/>
                <w:lang w:val="lv-LV"/>
              </w:rPr>
              <w:t xml:space="preserve">Ņemot vērā, ka obligātā iepirkuma tiesības un garantētās maksas tiesības tiek piešķirtas ne ilgāk kā līdz elektrostacijas pamatlīdzekļu pilnam nolietojumam saskaņā ar normatīvajiem aktiem par grāmatvedības prasībām, apvienošanas gadījumā, ja </w:t>
            </w:r>
            <w:r w:rsidRPr="000910DE">
              <w:rPr>
                <w:lang w:val="lv-LV" w:eastAsia="lv-LV"/>
              </w:rPr>
              <w:t>kādai no apvienotās stacijas daļām ir pamatlīdzekļu pilns nolietojums, tad OI maksājumu par šo stacijas daļu pārtrauc.</w:t>
            </w:r>
          </w:p>
          <w:p w14:paraId="0675F107" w14:textId="77777777" w:rsidR="00ED5E79" w:rsidRPr="00676642" w:rsidRDefault="00ED5E79" w:rsidP="00F11BBE">
            <w:pPr>
              <w:spacing w:before="120" w:after="0" w:line="240" w:lineRule="auto"/>
              <w:ind w:right="113"/>
              <w:jc w:val="both"/>
              <w:rPr>
                <w:rFonts w:ascii="Times New Roman" w:eastAsia="Times New Roman" w:hAnsi="Times New Roman" w:cs="Times New Roman"/>
                <w:sz w:val="24"/>
                <w:szCs w:val="24"/>
                <w:u w:val="single"/>
                <w:lang w:eastAsia="lv-LV"/>
              </w:rPr>
            </w:pPr>
          </w:p>
          <w:p w14:paraId="5234EB4D" w14:textId="7F0455D4" w:rsidR="00D2764F" w:rsidRPr="00676642" w:rsidRDefault="00A64F1D" w:rsidP="006A6A7D">
            <w:pPr>
              <w:spacing w:before="120" w:after="0" w:line="240" w:lineRule="auto"/>
              <w:ind w:right="113"/>
              <w:jc w:val="both"/>
              <w:rPr>
                <w:rFonts w:ascii="Times New Roman" w:eastAsia="Times New Roman" w:hAnsi="Times New Roman" w:cs="Times New Roman"/>
                <w:sz w:val="24"/>
                <w:szCs w:val="24"/>
                <w:u w:val="single"/>
                <w:lang w:eastAsia="lv-LV"/>
              </w:rPr>
            </w:pPr>
            <w:r w:rsidRPr="00676642">
              <w:rPr>
                <w:rFonts w:ascii="Times New Roman" w:eastAsia="Times New Roman" w:hAnsi="Times New Roman" w:cs="Times New Roman"/>
                <w:sz w:val="24"/>
                <w:szCs w:val="24"/>
                <w:u w:val="single"/>
                <w:lang w:eastAsia="lv-LV"/>
              </w:rPr>
              <w:t>Elektrostaciju pārkompensācijas novēršana</w:t>
            </w:r>
          </w:p>
          <w:p w14:paraId="7B30FE31" w14:textId="4C842FF9" w:rsidR="00951C11" w:rsidRPr="00676642" w:rsidRDefault="00A2637B" w:rsidP="006A6A7D">
            <w:pPr>
              <w:spacing w:before="120" w:after="0" w:line="240" w:lineRule="auto"/>
              <w:ind w:right="113"/>
              <w:jc w:val="both"/>
              <w:rPr>
                <w:rFonts w:ascii="Times New Roman" w:eastAsia="Times New Roman" w:hAnsi="Times New Roman" w:cs="Times New Roman"/>
                <w:sz w:val="24"/>
                <w:szCs w:val="24"/>
                <w:lang w:eastAsia="lv-LV"/>
              </w:rPr>
            </w:pPr>
            <w:r w:rsidRPr="00676642">
              <w:rPr>
                <w:rFonts w:ascii="Times New Roman" w:eastAsia="Times New Roman" w:hAnsi="Times New Roman" w:cs="Times New Roman"/>
                <w:sz w:val="24"/>
                <w:szCs w:val="24"/>
                <w:lang w:eastAsia="lv-LV"/>
              </w:rPr>
              <w:t>Elektrostaciju</w:t>
            </w:r>
            <w:r w:rsidR="005343F9" w:rsidRPr="00676642">
              <w:rPr>
                <w:rFonts w:ascii="Times New Roman" w:eastAsia="Times New Roman" w:hAnsi="Times New Roman" w:cs="Times New Roman"/>
                <w:sz w:val="24"/>
                <w:szCs w:val="24"/>
                <w:lang w:eastAsia="lv-LV"/>
              </w:rPr>
              <w:t>, kas darbojas obligātā iepirkuma ietvaros</w:t>
            </w:r>
            <w:r w:rsidRPr="00676642">
              <w:rPr>
                <w:rFonts w:ascii="Times New Roman" w:eastAsia="Times New Roman" w:hAnsi="Times New Roman" w:cs="Times New Roman"/>
                <w:sz w:val="24"/>
                <w:szCs w:val="24"/>
                <w:lang w:eastAsia="lv-LV"/>
              </w:rPr>
              <w:t>,</w:t>
            </w:r>
            <w:r w:rsidR="005343F9" w:rsidRPr="00676642">
              <w:rPr>
                <w:rFonts w:ascii="Times New Roman" w:eastAsia="Times New Roman" w:hAnsi="Times New Roman" w:cs="Times New Roman"/>
                <w:sz w:val="24"/>
                <w:szCs w:val="24"/>
                <w:lang w:eastAsia="lv-LV"/>
              </w:rPr>
              <w:t xml:space="preserve"> pārkompensācij</w:t>
            </w:r>
            <w:r w:rsidRPr="00676642">
              <w:rPr>
                <w:rFonts w:ascii="Times New Roman" w:eastAsia="Times New Roman" w:hAnsi="Times New Roman" w:cs="Times New Roman"/>
                <w:sz w:val="24"/>
                <w:szCs w:val="24"/>
                <w:lang w:eastAsia="lv-LV"/>
              </w:rPr>
              <w:t>as novēršanas mehānisms tika ieviests 2016. gadā, veicot grozījumus MK noteikumos Nr. </w:t>
            </w:r>
            <w:r w:rsidR="00ED5E79" w:rsidRPr="00676642">
              <w:rPr>
                <w:rFonts w:ascii="Times New Roman" w:eastAsia="Times New Roman" w:hAnsi="Times New Roman" w:cs="Times New Roman"/>
                <w:sz w:val="24"/>
                <w:szCs w:val="24"/>
                <w:lang w:eastAsia="lv-LV"/>
              </w:rPr>
              <w:t>262</w:t>
            </w:r>
            <w:r w:rsidRPr="00676642">
              <w:rPr>
                <w:rFonts w:ascii="Times New Roman" w:eastAsia="Times New Roman" w:hAnsi="Times New Roman" w:cs="Times New Roman"/>
                <w:sz w:val="24"/>
                <w:szCs w:val="24"/>
                <w:lang w:eastAsia="lv-LV"/>
              </w:rPr>
              <w:t xml:space="preserve">. Šī mehānisma ieviešana bija priekšnosacījums, lai Eiropas Komisija lemtu </w:t>
            </w:r>
            <w:r w:rsidRPr="00676642">
              <w:rPr>
                <w:rFonts w:ascii="Times New Roman" w:hAnsi="Times New Roman" w:cs="Times New Roman"/>
                <w:sz w:val="24"/>
                <w:szCs w:val="24"/>
              </w:rPr>
              <w:t xml:space="preserve"> </w:t>
            </w:r>
            <w:r w:rsidRPr="00676642">
              <w:rPr>
                <w:rFonts w:ascii="Times New Roman" w:eastAsia="Times New Roman" w:hAnsi="Times New Roman" w:cs="Times New Roman"/>
                <w:sz w:val="24"/>
                <w:szCs w:val="24"/>
                <w:lang w:eastAsia="lv-LV"/>
              </w:rPr>
              <w:t>Latvijas iesniegtā valsts atbalsta lietas SA.42854 (2015/N) “Atbalsts energointensīvajiem apstrādes rūpniecības komersantiem” atbilstību ES iekšējā tirgus nosacījumiem.</w:t>
            </w:r>
          </w:p>
          <w:p w14:paraId="6CA80657" w14:textId="1A192F30" w:rsidR="00773D20" w:rsidRPr="00676642" w:rsidRDefault="00773D20" w:rsidP="00773D20">
            <w:pPr>
              <w:spacing w:before="120" w:after="0" w:line="240" w:lineRule="auto"/>
              <w:ind w:right="113"/>
              <w:jc w:val="both"/>
              <w:rPr>
                <w:rFonts w:ascii="Times New Roman" w:eastAsia="Times New Roman" w:hAnsi="Times New Roman" w:cs="Times New Roman"/>
                <w:sz w:val="24"/>
                <w:szCs w:val="24"/>
                <w:lang w:eastAsia="lv-LV"/>
              </w:rPr>
            </w:pPr>
            <w:r w:rsidRPr="00676642">
              <w:rPr>
                <w:rFonts w:ascii="Times New Roman" w:eastAsia="Times New Roman" w:hAnsi="Times New Roman" w:cs="Times New Roman"/>
                <w:sz w:val="24"/>
                <w:szCs w:val="24"/>
                <w:lang w:eastAsia="lv-LV"/>
              </w:rPr>
              <w:t>Lai nodrošinātu vienlīdzīgu pieeju visiem atbalstu saņēmušajiem komersantu projektiem, MK noteikum</w:t>
            </w:r>
            <w:r w:rsidR="00203988">
              <w:rPr>
                <w:rFonts w:ascii="Times New Roman" w:eastAsia="Times New Roman" w:hAnsi="Times New Roman" w:cs="Times New Roman"/>
                <w:sz w:val="24"/>
                <w:szCs w:val="24"/>
                <w:lang w:eastAsia="lv-LV"/>
              </w:rPr>
              <w:t>i</w:t>
            </w:r>
            <w:r w:rsidRPr="00676642">
              <w:rPr>
                <w:rFonts w:ascii="Times New Roman" w:eastAsia="Times New Roman" w:hAnsi="Times New Roman" w:cs="Times New Roman"/>
                <w:sz w:val="24"/>
                <w:szCs w:val="24"/>
                <w:lang w:eastAsia="lv-LV"/>
              </w:rPr>
              <w:t xml:space="preserve"> Nr. 2</w:t>
            </w:r>
            <w:r w:rsidR="00676642" w:rsidRPr="00676642">
              <w:rPr>
                <w:rFonts w:ascii="Times New Roman" w:eastAsia="Times New Roman" w:hAnsi="Times New Roman" w:cs="Times New Roman"/>
                <w:sz w:val="24"/>
                <w:szCs w:val="24"/>
                <w:lang w:eastAsia="lv-LV"/>
              </w:rPr>
              <w:t>62</w:t>
            </w:r>
            <w:r w:rsidRPr="00676642">
              <w:rPr>
                <w:rFonts w:ascii="Times New Roman" w:eastAsia="Times New Roman" w:hAnsi="Times New Roman" w:cs="Times New Roman"/>
                <w:sz w:val="24"/>
                <w:szCs w:val="24"/>
                <w:lang w:eastAsia="lv-LV"/>
              </w:rPr>
              <w:t xml:space="preserve"> tika papildināti ar normām, kas paredz projektu kopējo kapitālieguldījumu iekšējās peļņas normas (turpmāk – IRR) izvērtēšanu, izmantojot fiksētas līmaņatzīmes. Īstenojot šādu pieeju, tiek veicināta komersantu interese nodrošināt efektīvāku elektrostaciju darbību. </w:t>
            </w:r>
          </w:p>
          <w:p w14:paraId="727B5EB8" w14:textId="223CCB3D" w:rsidR="004C0F18" w:rsidRPr="00676642" w:rsidRDefault="00773D20" w:rsidP="00B46F31">
            <w:pPr>
              <w:spacing w:before="120" w:after="0" w:line="240" w:lineRule="auto"/>
              <w:ind w:right="113"/>
              <w:jc w:val="both"/>
              <w:rPr>
                <w:rFonts w:ascii="Times New Roman" w:eastAsia="Times New Roman" w:hAnsi="Times New Roman" w:cs="Times New Roman"/>
                <w:sz w:val="24"/>
                <w:szCs w:val="24"/>
                <w:lang w:eastAsia="lv-LV"/>
              </w:rPr>
            </w:pPr>
            <w:r w:rsidRPr="00676642">
              <w:rPr>
                <w:rFonts w:ascii="Times New Roman" w:eastAsia="Times New Roman" w:hAnsi="Times New Roman" w:cs="Times New Roman"/>
                <w:sz w:val="24"/>
                <w:szCs w:val="24"/>
                <w:lang w:eastAsia="lv-LV"/>
              </w:rPr>
              <w:t xml:space="preserve">Vienlaikus </w:t>
            </w:r>
            <w:r w:rsidR="005B0C74" w:rsidRPr="00676642">
              <w:rPr>
                <w:rFonts w:ascii="Times New Roman" w:eastAsia="Times New Roman" w:hAnsi="Times New Roman" w:cs="Times New Roman"/>
                <w:sz w:val="24"/>
                <w:szCs w:val="24"/>
                <w:lang w:eastAsia="lv-LV"/>
              </w:rPr>
              <w:t xml:space="preserve">ar minētajiem grozījumiem </w:t>
            </w:r>
            <w:r w:rsidRPr="00676642">
              <w:rPr>
                <w:rFonts w:ascii="Times New Roman" w:eastAsia="Times New Roman" w:hAnsi="Times New Roman" w:cs="Times New Roman"/>
                <w:sz w:val="24"/>
                <w:szCs w:val="24"/>
                <w:lang w:eastAsia="lv-LV"/>
              </w:rPr>
              <w:t xml:space="preserve">komersantiem tika noteikta IRR likme </w:t>
            </w:r>
            <w:r w:rsidR="00A2637B" w:rsidRPr="00676642">
              <w:rPr>
                <w:rFonts w:ascii="Times New Roman" w:eastAsia="Times New Roman" w:hAnsi="Times New Roman" w:cs="Times New Roman"/>
                <w:sz w:val="24"/>
                <w:szCs w:val="24"/>
                <w:lang w:eastAsia="lv-LV"/>
              </w:rPr>
              <w:t>9% apmērā</w:t>
            </w:r>
            <w:r w:rsidR="00677FD8" w:rsidRPr="00676642">
              <w:rPr>
                <w:rFonts w:ascii="Times New Roman" w:eastAsia="Times New Roman" w:hAnsi="Times New Roman" w:cs="Times New Roman"/>
                <w:sz w:val="24"/>
                <w:szCs w:val="24"/>
                <w:lang w:eastAsia="lv-LV"/>
              </w:rPr>
              <w:t>, kuru pārsniedzot, komersanta nākotnes atbalstam tiek piemērots samazinošs koeficients - cenas diferencēšanas koeficients pārkompensācijas novēršanai, nodrošinot, ka projekta kopējais IRR līmenis atbalsta perioda beigās nepārsniedz 9%.</w:t>
            </w:r>
          </w:p>
          <w:p w14:paraId="240AC1D2" w14:textId="1046C94E" w:rsidR="00C35C91" w:rsidRDefault="00BF3359" w:rsidP="00B46F31">
            <w:pPr>
              <w:spacing w:before="120" w:after="0" w:line="240" w:lineRule="auto"/>
              <w:ind w:right="113"/>
              <w:jc w:val="both"/>
              <w:rPr>
                <w:rFonts w:ascii="Times New Roman" w:eastAsia="Times New Roman" w:hAnsi="Times New Roman" w:cs="Times New Roman"/>
                <w:sz w:val="24"/>
                <w:szCs w:val="24"/>
                <w:lang w:eastAsia="lv-LV"/>
              </w:rPr>
            </w:pPr>
            <w:r w:rsidRPr="00676642">
              <w:rPr>
                <w:rFonts w:ascii="Times New Roman" w:eastAsia="Times New Roman" w:hAnsi="Times New Roman" w:cs="Times New Roman"/>
                <w:sz w:val="24"/>
                <w:szCs w:val="24"/>
                <w:lang w:eastAsia="lv-LV"/>
              </w:rPr>
              <w:t>Līdz ar grozījumiem ETL, kas stājās spēkā 2020. gada 15. februārī, pārkompensācijas novēršanas mehānisms tika nostiprināts arī likumā</w:t>
            </w:r>
            <w:r w:rsidR="00EA062F" w:rsidRPr="00676642">
              <w:rPr>
                <w:rFonts w:ascii="Times New Roman" w:eastAsia="Times New Roman" w:hAnsi="Times New Roman" w:cs="Times New Roman"/>
                <w:sz w:val="24"/>
                <w:szCs w:val="24"/>
                <w:lang w:eastAsia="lv-LV"/>
              </w:rPr>
              <w:t xml:space="preserve">, precizējot nosacījumus IRR aprēķināšanai, kā arī uzdodot Ministru kabinetam noteikt IRR aprēķina veikšanas kārtību. </w:t>
            </w:r>
            <w:r w:rsidR="009254A3" w:rsidRPr="00676642">
              <w:rPr>
                <w:rFonts w:ascii="Times New Roman" w:eastAsia="Times New Roman" w:hAnsi="Times New Roman" w:cs="Times New Roman"/>
                <w:sz w:val="24"/>
                <w:szCs w:val="24"/>
                <w:lang w:eastAsia="lv-LV"/>
              </w:rPr>
              <w:t xml:space="preserve"> </w:t>
            </w:r>
            <w:r w:rsidR="00B22B51">
              <w:rPr>
                <w:rFonts w:ascii="Times New Roman" w:eastAsia="Times New Roman" w:hAnsi="Times New Roman" w:cs="Times New Roman"/>
                <w:sz w:val="24"/>
                <w:szCs w:val="24"/>
                <w:lang w:eastAsia="lv-LV"/>
              </w:rPr>
              <w:t xml:space="preserve"> Ņemot vērā jauno likuma deleģējumu</w:t>
            </w:r>
            <w:r w:rsidR="00B22B51" w:rsidRPr="00013A20">
              <w:rPr>
                <w:rFonts w:ascii="Times New Roman" w:eastAsia="Times New Roman" w:hAnsi="Times New Roman" w:cs="Times New Roman"/>
                <w:sz w:val="24"/>
                <w:szCs w:val="24"/>
                <w:lang w:eastAsia="lv-LV"/>
              </w:rPr>
              <w:t>,</w:t>
            </w:r>
            <w:r w:rsidR="00A64F1D" w:rsidRPr="00676642">
              <w:rPr>
                <w:rFonts w:ascii="Times New Roman" w:eastAsia="Times New Roman" w:hAnsi="Times New Roman" w:cs="Times New Roman"/>
                <w:sz w:val="24"/>
                <w:szCs w:val="24"/>
                <w:lang w:eastAsia="lv-LV"/>
              </w:rPr>
              <w:t xml:space="preserve"> </w:t>
            </w:r>
            <w:r w:rsidR="00150B2C" w:rsidRPr="00676642">
              <w:rPr>
                <w:rFonts w:ascii="Times New Roman" w:eastAsia="Times New Roman" w:hAnsi="Times New Roman" w:cs="Times New Roman"/>
                <w:sz w:val="24"/>
                <w:szCs w:val="24"/>
                <w:lang w:eastAsia="lv-LV"/>
              </w:rPr>
              <w:t xml:space="preserve">līdz ar šiem grozījumiem </w:t>
            </w:r>
            <w:r w:rsidR="00A64F1D" w:rsidRPr="00676642">
              <w:rPr>
                <w:rFonts w:ascii="Times New Roman" w:eastAsia="Times New Roman" w:hAnsi="Times New Roman" w:cs="Times New Roman"/>
                <w:sz w:val="24"/>
                <w:szCs w:val="24"/>
                <w:lang w:eastAsia="lv-LV"/>
              </w:rPr>
              <w:t xml:space="preserve">ministrija </w:t>
            </w:r>
            <w:r w:rsidR="00DA5167" w:rsidRPr="00676642">
              <w:rPr>
                <w:rFonts w:ascii="Times New Roman" w:eastAsia="Times New Roman" w:hAnsi="Times New Roman" w:cs="Times New Roman"/>
                <w:sz w:val="24"/>
                <w:szCs w:val="24"/>
                <w:lang w:eastAsia="lv-LV"/>
              </w:rPr>
              <w:t>ir</w:t>
            </w:r>
            <w:r w:rsidR="009254A3" w:rsidRPr="00676642">
              <w:rPr>
                <w:rFonts w:ascii="Times New Roman" w:eastAsia="Times New Roman" w:hAnsi="Times New Roman" w:cs="Times New Roman"/>
                <w:sz w:val="24"/>
                <w:szCs w:val="24"/>
                <w:lang w:eastAsia="lv-LV"/>
              </w:rPr>
              <w:t xml:space="preserve"> pārskatī</w:t>
            </w:r>
            <w:r w:rsidR="00DA5167" w:rsidRPr="00676642">
              <w:rPr>
                <w:rFonts w:ascii="Times New Roman" w:eastAsia="Times New Roman" w:hAnsi="Times New Roman" w:cs="Times New Roman"/>
                <w:sz w:val="24"/>
                <w:szCs w:val="24"/>
                <w:lang w:eastAsia="lv-LV"/>
              </w:rPr>
              <w:t>jusi</w:t>
            </w:r>
            <w:r w:rsidR="00A64F1D" w:rsidRPr="00676642">
              <w:rPr>
                <w:rFonts w:ascii="Times New Roman" w:eastAsia="Times New Roman" w:hAnsi="Times New Roman" w:cs="Times New Roman"/>
                <w:sz w:val="24"/>
                <w:szCs w:val="24"/>
                <w:lang w:eastAsia="lv-LV"/>
              </w:rPr>
              <w:t xml:space="preserve"> </w:t>
            </w:r>
            <w:r w:rsidR="00150B2C" w:rsidRPr="00676642">
              <w:rPr>
                <w:rFonts w:ascii="Times New Roman" w:eastAsia="Times New Roman" w:hAnsi="Times New Roman" w:cs="Times New Roman"/>
                <w:sz w:val="24"/>
                <w:szCs w:val="24"/>
                <w:lang w:eastAsia="lv-LV"/>
              </w:rPr>
              <w:t xml:space="preserve">IRR </w:t>
            </w:r>
            <w:r w:rsidR="00A64F1D" w:rsidRPr="00676642">
              <w:rPr>
                <w:rFonts w:ascii="Times New Roman" w:eastAsia="Times New Roman" w:hAnsi="Times New Roman" w:cs="Times New Roman"/>
                <w:sz w:val="24"/>
                <w:szCs w:val="24"/>
                <w:lang w:eastAsia="lv-LV"/>
              </w:rPr>
              <w:t>un cenas diferencēšanas koeficienta pārkompensācijas novēršanai aprēķina metodik</w:t>
            </w:r>
            <w:r w:rsidR="00150B2C" w:rsidRPr="00676642">
              <w:rPr>
                <w:rFonts w:ascii="Times New Roman" w:eastAsia="Times New Roman" w:hAnsi="Times New Roman" w:cs="Times New Roman"/>
                <w:sz w:val="24"/>
                <w:szCs w:val="24"/>
                <w:lang w:eastAsia="lv-LV"/>
              </w:rPr>
              <w:t>u</w:t>
            </w:r>
            <w:r w:rsidR="00A64F1D" w:rsidRPr="00676642">
              <w:rPr>
                <w:rFonts w:ascii="Times New Roman" w:eastAsia="Times New Roman" w:hAnsi="Times New Roman" w:cs="Times New Roman"/>
                <w:sz w:val="24"/>
                <w:szCs w:val="24"/>
                <w:lang w:eastAsia="lv-LV"/>
              </w:rPr>
              <w:t xml:space="preserve"> un līmeņatzīmju vērtīb</w:t>
            </w:r>
            <w:r w:rsidR="00150B2C" w:rsidRPr="00676642">
              <w:rPr>
                <w:rFonts w:ascii="Times New Roman" w:eastAsia="Times New Roman" w:hAnsi="Times New Roman" w:cs="Times New Roman"/>
                <w:sz w:val="24"/>
                <w:szCs w:val="24"/>
                <w:lang w:eastAsia="lv-LV"/>
              </w:rPr>
              <w:t xml:space="preserve">as, aktualizējot tās atbilstoši faktiskajai situācijai atjaunojamās enerģijas ražošanas nozarē. </w:t>
            </w:r>
          </w:p>
          <w:p w14:paraId="63BC6E62" w14:textId="4B7B5464" w:rsidR="00AA7F71" w:rsidRDefault="00AA7F71" w:rsidP="00AA7F7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MK noteikumu projektā saglabāts nosacījums, ka </w:t>
            </w:r>
            <w:r w:rsidR="009710AC">
              <w:rPr>
                <w:rFonts w:ascii="Times New Roman" w:eastAsia="Times New Roman" w:hAnsi="Times New Roman" w:cs="Times New Roman"/>
                <w:sz w:val="24"/>
                <w:szCs w:val="24"/>
                <w:lang w:eastAsia="lv-LV"/>
              </w:rPr>
              <w:t>elektro</w:t>
            </w:r>
            <w:r>
              <w:rPr>
                <w:rFonts w:ascii="Times New Roman" w:eastAsia="Times New Roman" w:hAnsi="Times New Roman" w:cs="Times New Roman"/>
                <w:sz w:val="24"/>
                <w:szCs w:val="24"/>
                <w:lang w:eastAsia="lv-LV"/>
              </w:rPr>
              <w:t xml:space="preserve">stacijas </w:t>
            </w:r>
            <w:r w:rsidRPr="00013A20">
              <w:rPr>
                <w:rFonts w:ascii="Times New Roman" w:eastAsia="Times New Roman" w:hAnsi="Times New Roman" w:cs="Times New Roman"/>
                <w:sz w:val="24"/>
                <w:szCs w:val="24"/>
                <w:lang w:eastAsia="lv-LV"/>
              </w:rPr>
              <w:t xml:space="preserve">projekta kopējais IRR līmenis atbalsta perioda beigās </w:t>
            </w:r>
            <w:r>
              <w:rPr>
                <w:rFonts w:ascii="Times New Roman" w:eastAsia="Times New Roman" w:hAnsi="Times New Roman" w:cs="Times New Roman"/>
                <w:sz w:val="24"/>
                <w:szCs w:val="24"/>
                <w:lang w:eastAsia="lv-LV"/>
              </w:rPr>
              <w:t>nevar pārsniegt</w:t>
            </w:r>
            <w:r w:rsidRPr="00013A20">
              <w:rPr>
                <w:rFonts w:ascii="Times New Roman" w:eastAsia="Times New Roman" w:hAnsi="Times New Roman" w:cs="Times New Roman"/>
                <w:sz w:val="24"/>
                <w:szCs w:val="24"/>
                <w:lang w:eastAsia="lv-LV"/>
              </w:rPr>
              <w:t xml:space="preserve"> 9%</w:t>
            </w:r>
            <w:r>
              <w:rPr>
                <w:rFonts w:ascii="Times New Roman" w:eastAsia="Times New Roman" w:hAnsi="Times New Roman" w:cs="Times New Roman"/>
                <w:sz w:val="24"/>
                <w:szCs w:val="24"/>
                <w:lang w:eastAsia="lv-LV"/>
              </w:rPr>
              <w:t xml:space="preserve">. IRR aprēķins tiek veikts, ņemot vērā </w:t>
            </w:r>
            <w:r w:rsidR="009710AC">
              <w:rPr>
                <w:rFonts w:ascii="Times New Roman" w:eastAsia="Times New Roman" w:hAnsi="Times New Roman" w:cs="Times New Roman"/>
                <w:sz w:val="24"/>
                <w:szCs w:val="24"/>
                <w:lang w:eastAsia="lv-LV"/>
              </w:rPr>
              <w:t>elektro</w:t>
            </w:r>
            <w:r>
              <w:rPr>
                <w:rFonts w:ascii="Times New Roman" w:eastAsia="Times New Roman" w:hAnsi="Times New Roman" w:cs="Times New Roman"/>
                <w:sz w:val="24"/>
                <w:szCs w:val="24"/>
                <w:lang w:eastAsia="lv-LV"/>
              </w:rPr>
              <w:t>stacijas vienotā tehnoloģiskā cikla principu.</w:t>
            </w:r>
          </w:p>
          <w:p w14:paraId="4EE38C2E" w14:textId="77777777" w:rsidR="00AA7F71" w:rsidRPr="00013A20" w:rsidRDefault="00AA7F71" w:rsidP="00AA7F71">
            <w:pPr>
              <w:spacing w:before="120" w:after="0" w:line="240" w:lineRule="auto"/>
              <w:ind w:right="113"/>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Aprēķinā turpmāk plānots izmantot šādus rādītājus:</w:t>
            </w:r>
            <w:r w:rsidRPr="00013A20">
              <w:rPr>
                <w:rFonts w:ascii="Times New Roman" w:eastAsia="Times New Roman" w:hAnsi="Times New Roman" w:cs="Times New Roman"/>
                <w:sz w:val="24"/>
                <w:szCs w:val="24"/>
                <w:lang w:eastAsia="lv-LV"/>
              </w:rPr>
              <w:t xml:space="preserve"> </w:t>
            </w:r>
          </w:p>
          <w:p w14:paraId="0A858DBE" w14:textId="521E0813" w:rsidR="00AA7F71" w:rsidRPr="008E2236" w:rsidRDefault="009710AC" w:rsidP="00AA7F7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w:t>
            </w:r>
            <w:r w:rsidR="00AA7F71" w:rsidRPr="008E2236">
              <w:rPr>
                <w:rFonts w:ascii="Times New Roman" w:eastAsia="Times New Roman" w:hAnsi="Times New Roman" w:cs="Times New Roman"/>
                <w:sz w:val="24"/>
                <w:szCs w:val="24"/>
                <w:lang w:eastAsia="lv-LV"/>
              </w:rPr>
              <w:t>stacijā veikto investīciju apjoma faktiskās vērtības, kas vienlaikus nedrīkstēs pārsniegt MK noteikumos noteiktās līmeņatzīmes.</w:t>
            </w:r>
            <w:r w:rsidR="00AA7F71">
              <w:rPr>
                <w:rFonts w:ascii="Times New Roman" w:eastAsia="Times New Roman" w:hAnsi="Times New Roman" w:cs="Times New Roman"/>
                <w:sz w:val="24"/>
                <w:szCs w:val="24"/>
                <w:lang w:eastAsia="lv-LV"/>
              </w:rPr>
              <w:t xml:space="preserve"> Aprēķinā tiek ņemtas vērā tās investīcijas, kas veiktas </w:t>
            </w:r>
            <w:r>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stacijā atbilstoši vienotā tehnoloģiskā cikla principam.</w:t>
            </w:r>
            <w:r w:rsidR="00AA7F71" w:rsidRPr="008E2236">
              <w:rPr>
                <w:rFonts w:ascii="Times New Roman" w:eastAsia="Times New Roman" w:hAnsi="Times New Roman" w:cs="Times New Roman"/>
                <w:sz w:val="24"/>
                <w:szCs w:val="24"/>
                <w:lang w:eastAsia="lv-LV"/>
              </w:rPr>
              <w:t xml:space="preserve"> Šāda pieeja izvēlēta, lai novērstu nepamatoti palielinātu investīciju izmaksu iekļaušanu aprēķinos un vienlaikus nodrošinātu iespēju aprēķinu veikt pēc objektīviem faktiskajiem datiem, kas katrai </w:t>
            </w:r>
            <w:r w:rsidR="007833C1">
              <w:rPr>
                <w:rFonts w:ascii="Times New Roman" w:eastAsia="Times New Roman" w:hAnsi="Times New Roman" w:cs="Times New Roman"/>
                <w:sz w:val="24"/>
                <w:szCs w:val="24"/>
                <w:lang w:eastAsia="lv-LV"/>
              </w:rPr>
              <w:t>elektro</w:t>
            </w:r>
            <w:r w:rsidR="00AA7F71" w:rsidRPr="008E2236">
              <w:rPr>
                <w:rFonts w:ascii="Times New Roman" w:eastAsia="Times New Roman" w:hAnsi="Times New Roman" w:cs="Times New Roman"/>
                <w:sz w:val="24"/>
                <w:szCs w:val="24"/>
                <w:lang w:eastAsia="lv-LV"/>
              </w:rPr>
              <w:t>stacijai var atšķirties;</w:t>
            </w:r>
          </w:p>
          <w:p w14:paraId="409B5B02" w14:textId="595A49E6" w:rsidR="00AA7F71" w:rsidRPr="008E2236" w:rsidRDefault="009710AC" w:rsidP="00AA7F7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w:t>
            </w:r>
            <w:r w:rsidR="00AA7F71" w:rsidRPr="008E2236">
              <w:rPr>
                <w:rFonts w:ascii="Times New Roman" w:eastAsia="Times New Roman" w:hAnsi="Times New Roman" w:cs="Times New Roman"/>
                <w:sz w:val="24"/>
                <w:szCs w:val="24"/>
                <w:lang w:eastAsia="lv-LV"/>
              </w:rPr>
              <w:t xml:space="preserve">stacijas darba stundu skaita faktiskās vērtības. Tā kā šis rādītājs ir atkarīgs no </w:t>
            </w:r>
            <w:r w:rsidR="0050106B">
              <w:rPr>
                <w:rFonts w:ascii="Times New Roman" w:eastAsia="Times New Roman" w:hAnsi="Times New Roman" w:cs="Times New Roman"/>
                <w:sz w:val="24"/>
                <w:szCs w:val="24"/>
                <w:lang w:eastAsia="lv-LV"/>
              </w:rPr>
              <w:t>elektro</w:t>
            </w:r>
            <w:r w:rsidR="00AA7F71" w:rsidRPr="008E2236">
              <w:rPr>
                <w:rFonts w:ascii="Times New Roman" w:eastAsia="Times New Roman" w:hAnsi="Times New Roman" w:cs="Times New Roman"/>
                <w:sz w:val="24"/>
                <w:szCs w:val="24"/>
                <w:lang w:eastAsia="lv-LV"/>
              </w:rPr>
              <w:t>stacijas tehniskajiem parametriem un tā atbilstību kontrolējošā iestāde var dokumentāli pārbaudīt, nav pamata minētajam rādītājam noteikt līmeņatzīmes;</w:t>
            </w:r>
          </w:p>
          <w:p w14:paraId="22FF4348" w14:textId="6E01E6B0" w:rsidR="00AA7F71" w:rsidRPr="008E2236" w:rsidRDefault="0050106B" w:rsidP="00AA7F7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stacijas</w:t>
            </w:r>
            <w:r w:rsidR="00AA7F71" w:rsidRPr="008E2236">
              <w:rPr>
                <w:rFonts w:ascii="Times New Roman" w:eastAsia="Times New Roman" w:hAnsi="Times New Roman" w:cs="Times New Roman"/>
                <w:sz w:val="24"/>
                <w:szCs w:val="24"/>
                <w:lang w:eastAsia="lv-LV"/>
              </w:rPr>
              <w:t xml:space="preserve"> ekspluatācijas izmaksu līmeņatzīme, ko plānots sasaistīt ar </w:t>
            </w:r>
            <w:r>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stacijā</w:t>
            </w:r>
            <w:r w:rsidR="00AA7F71" w:rsidRPr="008E2236">
              <w:rPr>
                <w:rFonts w:ascii="Times New Roman" w:eastAsia="Times New Roman" w:hAnsi="Times New Roman" w:cs="Times New Roman"/>
                <w:sz w:val="24"/>
                <w:szCs w:val="24"/>
                <w:lang w:eastAsia="lv-LV"/>
              </w:rPr>
              <w:t xml:space="preserve"> veikto investīciju apjomu. Šī pieeja izvēlēta, vadoties pēc pasaulē pieņemtās prakses šādu izmaksu veikšanai atjaunojamās enerģijas ražošanas jomā, kā arī ņemot vērā, ka ne visas izmaksas visām </w:t>
            </w:r>
            <w:r w:rsidR="00AA7F71">
              <w:rPr>
                <w:rFonts w:ascii="Times New Roman" w:eastAsia="Times New Roman" w:hAnsi="Times New Roman" w:cs="Times New Roman"/>
                <w:sz w:val="24"/>
                <w:szCs w:val="24"/>
                <w:lang w:eastAsia="lv-LV"/>
              </w:rPr>
              <w:t xml:space="preserve"> </w:t>
            </w:r>
            <w:r w:rsidR="00E403D5">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stacijām</w:t>
            </w:r>
            <w:r w:rsidR="00AA7F71" w:rsidRPr="008E2236">
              <w:rPr>
                <w:rFonts w:ascii="Times New Roman" w:eastAsia="Times New Roman" w:hAnsi="Times New Roman" w:cs="Times New Roman"/>
                <w:sz w:val="24"/>
                <w:szCs w:val="24"/>
                <w:lang w:eastAsia="lv-LV"/>
              </w:rPr>
              <w:t xml:space="preserve"> ir iespējams atsevišķi izdalīt;</w:t>
            </w:r>
          </w:p>
          <w:p w14:paraId="35C4D5AF" w14:textId="77777777" w:rsidR="00AA7F71" w:rsidRPr="008E2236" w:rsidRDefault="00AA7F71" w:rsidP="00AA7F7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kurināmā izmaksu līmeņatzīme, ņemt vērā, ka pieejamie dati par kurināmā cenu ļauj objektīvi noteikt situācijai nozarē atbilstošas līmeņatzīmes;</w:t>
            </w:r>
          </w:p>
          <w:p w14:paraId="5B465AB6" w14:textId="77777777" w:rsidR="00AA7F71" w:rsidRPr="008E2236" w:rsidRDefault="00AA7F71" w:rsidP="00AA7F7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siltumenerģijas ražošanas tarifa līmeņatzīme, ko paredzēts noteikt kā siltumenerģijas vidējo cenu gala patērētājam, kas reizināta ar ražošanas tarifa īpatsvaru gala tarifā;</w:t>
            </w:r>
          </w:p>
          <w:p w14:paraId="1525BC7B" w14:textId="16551469" w:rsidR="00AA7F71" w:rsidRPr="008750E4" w:rsidRDefault="00E403D5" w:rsidP="00B46F31">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stacijas</w:t>
            </w:r>
            <w:r w:rsidR="00AA7F71" w:rsidRPr="008E2236">
              <w:rPr>
                <w:rFonts w:ascii="Times New Roman" w:eastAsia="Times New Roman" w:hAnsi="Times New Roman" w:cs="Times New Roman"/>
                <w:sz w:val="24"/>
                <w:szCs w:val="24"/>
                <w:lang w:eastAsia="lv-LV"/>
              </w:rPr>
              <w:t xml:space="preserve"> lietderības koeficienta līmeņatzīme. MK noteikumos tiek paredzēts noteikt vienotus lietderības koeficientus, lai uz visām vienas tehnoloģijas </w:t>
            </w:r>
            <w:r w:rsidR="00AA7F7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elektro</w:t>
            </w:r>
            <w:r w:rsidR="00AA7F71">
              <w:rPr>
                <w:rFonts w:ascii="Times New Roman" w:eastAsia="Times New Roman" w:hAnsi="Times New Roman" w:cs="Times New Roman"/>
                <w:sz w:val="24"/>
                <w:szCs w:val="24"/>
                <w:lang w:eastAsia="lv-LV"/>
              </w:rPr>
              <w:t>stacijām</w:t>
            </w:r>
            <w:r w:rsidR="00AA7F71" w:rsidRPr="008E2236">
              <w:rPr>
                <w:rFonts w:ascii="Times New Roman" w:eastAsia="Times New Roman" w:hAnsi="Times New Roman" w:cs="Times New Roman"/>
                <w:sz w:val="24"/>
                <w:szCs w:val="24"/>
                <w:lang w:eastAsia="lv-LV"/>
              </w:rPr>
              <w:t xml:space="preserve"> varētu attiecināt vienādus efektivitātes principus.</w:t>
            </w:r>
          </w:p>
          <w:p w14:paraId="215C00DA" w14:textId="4B87C6EA" w:rsidR="00DA5167" w:rsidRPr="00676642" w:rsidRDefault="00794C69"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IRR aprēķinu kvalitāti, </w:t>
            </w:r>
            <w:r w:rsidR="00FD355B">
              <w:rPr>
                <w:rFonts w:ascii="Times New Roman" w:eastAsia="Times New Roman" w:hAnsi="Times New Roman" w:cs="Times New Roman"/>
                <w:sz w:val="24"/>
                <w:szCs w:val="24"/>
                <w:lang w:eastAsia="lv-LV"/>
              </w:rPr>
              <w:t>n</w:t>
            </w:r>
            <w:r w:rsidR="00FD355B" w:rsidRPr="00676642">
              <w:rPr>
                <w:rFonts w:ascii="Times New Roman" w:eastAsia="Times New Roman" w:hAnsi="Times New Roman" w:cs="Times New Roman"/>
                <w:sz w:val="24"/>
                <w:szCs w:val="24"/>
                <w:lang w:eastAsia="lv-LV"/>
              </w:rPr>
              <w:t xml:space="preserve">oteikumu </w:t>
            </w:r>
            <w:r w:rsidR="00E16DC0" w:rsidRPr="00013A20">
              <w:rPr>
                <w:rFonts w:ascii="Times New Roman" w:eastAsia="Times New Roman" w:hAnsi="Times New Roman" w:cs="Times New Roman"/>
                <w:sz w:val="24"/>
                <w:szCs w:val="24"/>
                <w:lang w:eastAsia="lv-LV"/>
              </w:rPr>
              <w:t xml:space="preserve"> projekt</w:t>
            </w:r>
            <w:r w:rsidR="00E16DC0">
              <w:rPr>
                <w:rFonts w:ascii="Times New Roman" w:eastAsia="Times New Roman" w:hAnsi="Times New Roman" w:cs="Times New Roman"/>
                <w:sz w:val="24"/>
                <w:szCs w:val="24"/>
                <w:lang w:eastAsia="lv-LV"/>
              </w:rPr>
              <w:t>s paredz, ka turpmāk IRR aprēķinu veiks BVKB, nepieciešamības gadījumā piesaistot ārējo ekspertu.</w:t>
            </w:r>
            <w:r w:rsidR="00E16DC0" w:rsidRPr="00013A20">
              <w:rPr>
                <w:rFonts w:ascii="Times New Roman" w:eastAsia="Times New Roman" w:hAnsi="Times New Roman" w:cs="Times New Roman"/>
                <w:sz w:val="24"/>
                <w:szCs w:val="24"/>
                <w:lang w:eastAsia="lv-LV"/>
              </w:rPr>
              <w:t xml:space="preserve"> </w:t>
            </w:r>
            <w:r w:rsidR="00E16DC0">
              <w:rPr>
                <w:rFonts w:ascii="Times New Roman" w:eastAsia="Times New Roman" w:hAnsi="Times New Roman" w:cs="Times New Roman"/>
                <w:sz w:val="24"/>
                <w:szCs w:val="24"/>
                <w:lang w:eastAsia="lv-LV"/>
              </w:rPr>
              <w:t xml:space="preserve">Vienlaikus no regulējuma tiks svītrotas normas, kas paredzēja iespēju komersantam iesniegt </w:t>
            </w:r>
            <w:r w:rsidR="009B2061" w:rsidRPr="00676642">
              <w:rPr>
                <w:rFonts w:ascii="Times New Roman" w:eastAsia="Times New Roman" w:hAnsi="Times New Roman" w:cs="Times New Roman"/>
                <w:sz w:val="24"/>
                <w:szCs w:val="24"/>
                <w:lang w:eastAsia="lv-LV"/>
              </w:rPr>
              <w:t xml:space="preserve">zvērināta revidenta apstiprinātu aprēķinu. </w:t>
            </w:r>
          </w:p>
          <w:p w14:paraId="738CA46B" w14:textId="2D2C76E5" w:rsidR="006C6E20" w:rsidRDefault="006C6E20" w:rsidP="006C6E20">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Turpmāk IRR pārrēķinu BVKB varēs veikt pēc nepieciešamības, kā arī </w:t>
            </w:r>
            <w:r>
              <w:t xml:space="preserve"> </w:t>
            </w:r>
            <w:r w:rsidRPr="00F24C68">
              <w:rPr>
                <w:rFonts w:ascii="Times New Roman" w:eastAsia="Times New Roman" w:hAnsi="Times New Roman" w:cs="Times New Roman"/>
                <w:sz w:val="24"/>
                <w:szCs w:val="24"/>
                <w:lang w:eastAsia="lv-LV"/>
              </w:rPr>
              <w:t>konstatē</w:t>
            </w:r>
            <w:r>
              <w:rPr>
                <w:rFonts w:ascii="Times New Roman" w:eastAsia="Times New Roman" w:hAnsi="Times New Roman" w:cs="Times New Roman"/>
                <w:sz w:val="24"/>
                <w:szCs w:val="24"/>
                <w:lang w:eastAsia="lv-LV"/>
              </w:rPr>
              <w:t>jot</w:t>
            </w:r>
            <w:r w:rsidRPr="00F24C68">
              <w:rPr>
                <w:rFonts w:ascii="Times New Roman" w:eastAsia="Times New Roman" w:hAnsi="Times New Roman" w:cs="Times New Roman"/>
                <w:sz w:val="24"/>
                <w:szCs w:val="24"/>
                <w:lang w:eastAsia="lv-LV"/>
              </w:rPr>
              <w:t xml:space="preserve"> </w:t>
            </w:r>
            <w:r w:rsidR="00E403D5">
              <w:rPr>
                <w:rFonts w:ascii="Times New Roman" w:eastAsia="Times New Roman" w:hAnsi="Times New Roman" w:cs="Times New Roman"/>
                <w:sz w:val="24"/>
                <w:szCs w:val="24"/>
                <w:lang w:eastAsia="lv-LV"/>
              </w:rPr>
              <w:t>elektro</w:t>
            </w:r>
            <w:r w:rsidRPr="00F24C68">
              <w:rPr>
                <w:rFonts w:ascii="Times New Roman" w:eastAsia="Times New Roman" w:hAnsi="Times New Roman" w:cs="Times New Roman"/>
                <w:sz w:val="24"/>
                <w:szCs w:val="24"/>
                <w:lang w:eastAsia="lv-LV"/>
              </w:rPr>
              <w:t>stacijas uzstādītās elektriskās vai siltuma jaudas izmaiņas</w:t>
            </w:r>
            <w:r>
              <w:rPr>
                <w:rFonts w:ascii="Times New Roman" w:eastAsia="Times New Roman" w:hAnsi="Times New Roman" w:cs="Times New Roman"/>
                <w:sz w:val="24"/>
                <w:szCs w:val="24"/>
                <w:lang w:eastAsia="lv-LV"/>
              </w:rPr>
              <w:t xml:space="preserve">, mainoties IRR aprēķinā izmantojamajām vērtībām, vienu gadu pirms obligātā iepirkuma vai garantētās maksas tiesību datuma, kā arī beidzoties minētajām tiesībām vai atsakoties no tām. Tāpat BVKB varēs veikt IRR pārrēķinu pēc komersanta lūguma, lai sniegtu iespēju komersantam savlaicīgi deklarēt izmaiņas </w:t>
            </w:r>
            <w:r w:rsidR="00E403D5">
              <w:rPr>
                <w:rFonts w:ascii="Times New Roman" w:eastAsia="Times New Roman" w:hAnsi="Times New Roman" w:cs="Times New Roman"/>
                <w:sz w:val="24"/>
                <w:szCs w:val="24"/>
                <w:lang w:eastAsia="lv-LV"/>
              </w:rPr>
              <w:t>elektro</w:t>
            </w:r>
            <w:r>
              <w:rPr>
                <w:rFonts w:ascii="Times New Roman" w:eastAsia="Times New Roman" w:hAnsi="Times New Roman" w:cs="Times New Roman"/>
                <w:sz w:val="24"/>
                <w:szCs w:val="24"/>
                <w:lang w:eastAsia="lv-LV"/>
              </w:rPr>
              <w:t xml:space="preserve">stacijas darbībā. Šīs MK noteikumu normas ir papildinātas ar mērķi nodrošināt iespējami precīzu informāciju </w:t>
            </w:r>
            <w:r w:rsidR="00F53EE8">
              <w:rPr>
                <w:rFonts w:ascii="Times New Roman" w:eastAsia="Times New Roman" w:hAnsi="Times New Roman" w:cs="Times New Roman"/>
                <w:sz w:val="24"/>
                <w:szCs w:val="24"/>
                <w:lang w:eastAsia="lv-LV"/>
              </w:rPr>
              <w:t>elektro</w:t>
            </w:r>
            <w:r>
              <w:rPr>
                <w:rFonts w:ascii="Times New Roman" w:eastAsia="Times New Roman" w:hAnsi="Times New Roman" w:cs="Times New Roman"/>
                <w:sz w:val="24"/>
                <w:szCs w:val="24"/>
                <w:lang w:eastAsia="lv-LV"/>
              </w:rPr>
              <w:t>staciju IRR novērtēšanai, lai samazinātu iespēju, ka komersantam atbalsta perioda beigās tiek konstatēta pārkompensācija ar no tā izrietošu pienākumu veikt pārmaksātā valsts atbalsta atmaksu.</w:t>
            </w:r>
          </w:p>
          <w:p w14:paraId="758C9DBF" w14:textId="059496DD" w:rsidR="006C6E20" w:rsidRPr="00013A20" w:rsidRDefault="006C6E20" w:rsidP="006C6E20">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precizē regulējumu situācijām, kurās tiek konstatēta </w:t>
            </w:r>
            <w:r w:rsidR="00F53EE8">
              <w:rPr>
                <w:rFonts w:ascii="Times New Roman" w:eastAsia="Times New Roman" w:hAnsi="Times New Roman" w:cs="Times New Roman"/>
                <w:sz w:val="24"/>
                <w:szCs w:val="24"/>
                <w:lang w:eastAsia="lv-LV"/>
              </w:rPr>
              <w:t>elektro</w:t>
            </w:r>
            <w:r>
              <w:rPr>
                <w:rFonts w:ascii="Times New Roman" w:eastAsia="Times New Roman" w:hAnsi="Times New Roman" w:cs="Times New Roman"/>
                <w:sz w:val="24"/>
                <w:szCs w:val="24"/>
                <w:lang w:eastAsia="lv-LV"/>
              </w:rPr>
              <w:t>stacijas pārkompensācija. Ja</w:t>
            </w:r>
            <w:r>
              <w:t xml:space="preserve"> </w:t>
            </w:r>
            <w:r w:rsidRPr="002A0D0F">
              <w:rPr>
                <w:rFonts w:ascii="Times New Roman" w:eastAsia="Times New Roman" w:hAnsi="Times New Roman" w:cs="Times New Roman"/>
                <w:sz w:val="24"/>
                <w:szCs w:val="24"/>
                <w:lang w:eastAsia="lv-LV"/>
              </w:rPr>
              <w:t>cenas diferencēšanas koeficient</w:t>
            </w:r>
            <w:r>
              <w:rPr>
                <w:rFonts w:ascii="Times New Roman" w:eastAsia="Times New Roman" w:hAnsi="Times New Roman" w:cs="Times New Roman"/>
                <w:sz w:val="24"/>
                <w:szCs w:val="24"/>
                <w:lang w:eastAsia="lv-LV"/>
              </w:rPr>
              <w:t>s</w:t>
            </w:r>
            <w:r w:rsidRPr="002A0D0F">
              <w:rPr>
                <w:rFonts w:ascii="Times New Roman" w:eastAsia="Times New Roman" w:hAnsi="Times New Roman" w:cs="Times New Roman"/>
                <w:sz w:val="24"/>
                <w:szCs w:val="24"/>
                <w:lang w:eastAsia="lv-LV"/>
              </w:rPr>
              <w:t xml:space="preserve"> </w:t>
            </w:r>
            <w:r w:rsidRPr="00190AAE">
              <w:rPr>
                <w:rFonts w:ascii="Times New Roman" w:eastAsia="Times New Roman" w:hAnsi="Times New Roman" w:cs="Times New Roman"/>
                <w:sz w:val="24"/>
                <w:szCs w:val="24"/>
                <w:lang w:eastAsia="lv-LV"/>
              </w:rPr>
              <w:t xml:space="preserve">pārkompensācijas novēršanai ir vienāds ar 0, </w:t>
            </w:r>
            <w:r>
              <w:rPr>
                <w:rFonts w:ascii="Times New Roman" w:eastAsia="Times New Roman" w:hAnsi="Times New Roman" w:cs="Times New Roman"/>
                <w:sz w:val="24"/>
                <w:szCs w:val="24"/>
                <w:lang w:eastAsia="lv-LV"/>
              </w:rPr>
              <w:t>BVKB</w:t>
            </w:r>
            <w:r w:rsidRPr="00190AAE">
              <w:rPr>
                <w:rFonts w:ascii="Times New Roman" w:eastAsia="Times New Roman" w:hAnsi="Times New Roman" w:cs="Times New Roman"/>
                <w:sz w:val="24"/>
                <w:szCs w:val="24"/>
                <w:lang w:eastAsia="lv-LV"/>
              </w:rPr>
              <w:t xml:space="preserve"> veic aprēķinu par atgūstamā valsts atbalsta apmēru un pieņem lēmumu par nelikumīgi saņemtā valsts atbalsta atgūšanu</w:t>
            </w:r>
            <w:r>
              <w:rPr>
                <w:rFonts w:ascii="Times New Roman" w:eastAsia="Times New Roman" w:hAnsi="Times New Roman" w:cs="Times New Roman"/>
                <w:sz w:val="24"/>
                <w:szCs w:val="24"/>
                <w:lang w:eastAsia="lv-LV"/>
              </w:rPr>
              <w:t>. Šī norma tiks īstenota saskaņā ar Elektroenerģijas tirgus likuma 31.</w:t>
            </w:r>
            <w:r w:rsidRPr="00E860C3">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panta trešo daļu, kas paredz, ka</w:t>
            </w:r>
            <w:r w:rsidR="005B5B33">
              <w:rPr>
                <w:rFonts w:ascii="Times New Roman" w:eastAsia="Times New Roman" w:hAnsi="Times New Roman" w:cs="Times New Roman"/>
                <w:sz w:val="24"/>
                <w:szCs w:val="24"/>
                <w:lang w:eastAsia="lv-LV"/>
              </w:rPr>
              <w:t>,</w:t>
            </w:r>
            <w:r w:rsidR="005B5B33">
              <w:t xml:space="preserve"> </w:t>
            </w:r>
            <w:r w:rsidR="005B5B33">
              <w:rPr>
                <w:rFonts w:ascii="Times New Roman" w:eastAsia="Times New Roman" w:hAnsi="Times New Roman" w:cs="Times New Roman"/>
                <w:sz w:val="24"/>
                <w:szCs w:val="24"/>
                <w:lang w:eastAsia="lv-LV"/>
              </w:rPr>
              <w:t>l</w:t>
            </w:r>
            <w:r w:rsidR="005B5B33" w:rsidRPr="005B5B33">
              <w:rPr>
                <w:rFonts w:ascii="Times New Roman" w:eastAsia="Times New Roman" w:hAnsi="Times New Roman" w:cs="Times New Roman"/>
                <w:sz w:val="24"/>
                <w:szCs w:val="24"/>
                <w:lang w:eastAsia="lv-LV"/>
              </w:rPr>
              <w:t>emjot par piešķirto tiesību atcelšanu, vienlaikus izlemjams jautājums par pienākuma uzlikšanu elektroenerģijas ražotājam atmaksāt nepamatoti vai nelikumīgi saņemto valsts atbalstu.</w:t>
            </w:r>
          </w:p>
          <w:p w14:paraId="3DEA8F16" w14:textId="77777777" w:rsidR="00577D0C" w:rsidRPr="00676642" w:rsidRDefault="00577D0C" w:rsidP="00C35C91">
            <w:pPr>
              <w:spacing w:before="120" w:after="0" w:line="240" w:lineRule="auto"/>
              <w:ind w:right="113"/>
              <w:jc w:val="both"/>
              <w:rPr>
                <w:rFonts w:ascii="Times New Roman" w:eastAsia="Times New Roman" w:hAnsi="Times New Roman" w:cs="Times New Roman"/>
                <w:sz w:val="24"/>
                <w:szCs w:val="24"/>
                <w:lang w:eastAsia="lv-LV"/>
              </w:rPr>
            </w:pPr>
          </w:p>
          <w:p w14:paraId="116BD810" w14:textId="77777777" w:rsidR="008354EF" w:rsidRPr="00676642" w:rsidRDefault="009254A3" w:rsidP="009254A3">
            <w:pPr>
              <w:spacing w:before="120" w:after="0" w:line="240" w:lineRule="auto"/>
              <w:ind w:right="113"/>
              <w:jc w:val="both"/>
              <w:rPr>
                <w:rFonts w:ascii="Times New Roman" w:hAnsi="Times New Roman" w:cs="Times New Roman"/>
                <w:sz w:val="24"/>
                <w:szCs w:val="24"/>
                <w:u w:val="single"/>
              </w:rPr>
            </w:pPr>
            <w:r w:rsidRPr="00676642">
              <w:rPr>
                <w:rFonts w:ascii="Times New Roman" w:hAnsi="Times New Roman" w:cs="Times New Roman"/>
                <w:sz w:val="24"/>
                <w:szCs w:val="24"/>
                <w:u w:val="single"/>
              </w:rPr>
              <w:t>Projekta atbilstība Satversmei</w:t>
            </w:r>
          </w:p>
          <w:p w14:paraId="1B2695E7"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 xml:space="preserve">Izstrādājot projektu, tika vērtēta tās atbilstība Satversmei. </w:t>
            </w:r>
          </w:p>
          <w:p w14:paraId="325176BE"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Saskaņā ar Satversmes tiesas judikatūrā norādīto, tiesiskās paļāvības princips neizslēdz valstij iespēju grozīt pastāvošo tiesisko regulējumu. Grozot tiesisko regulējumu, valstij ir jāņem vērā tās tiesības, uz kuru saglabāšanu vai īstenošanu personai var būt izveidojusies paļāvība. Tiesiskās paļāvības princips prasa, lai valsts, mainot normatīvo regulējumu, ievērotu saprātīgu līdzsvaru starp personas paļāvību un tām interesēm, kuru nodrošināšanas labad regulējums mainīts (</w:t>
            </w:r>
            <w:r w:rsidRPr="00676642">
              <w:rPr>
                <w:rFonts w:ascii="Times New Roman" w:hAnsi="Times New Roman" w:cs="Times New Roman"/>
                <w:i/>
                <w:sz w:val="24"/>
                <w:szCs w:val="24"/>
              </w:rPr>
              <w:t>sk. Satversmes tiesas 2010. gada 25. marta sprieduma lietā Nr. 2009-44-01 15.punktu</w:t>
            </w:r>
            <w:r w:rsidRPr="00676642">
              <w:rPr>
                <w:rFonts w:ascii="Times New Roman" w:hAnsi="Times New Roman" w:cs="Times New Roman"/>
                <w:sz w:val="24"/>
                <w:szCs w:val="24"/>
              </w:rPr>
              <w:t>).</w:t>
            </w:r>
          </w:p>
          <w:p w14:paraId="7A4516DC"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Atsevišķas noteikumu projekta normas ir vērtējamas kā nelabvēlīgākas privātpersonām, kurām saskaņā ar iepriekš pieņemtajiem lēmumiem ir piešķirtas tiesības pārdot saražoto elektroenerģiju obligātā iepirkuma ietvaros, jo paredz papildu nosacījumus valsts atbalsta saņemšanai, kādi nebija spēkā attiecīgo tiesību piešķiršanas brīdī, kā arī regulējumu elektrostaciju kontroles mehānisma stiprināšanai.</w:t>
            </w:r>
          </w:p>
          <w:p w14:paraId="478AECD5"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 xml:space="preserve">Tiesiskās paļāvības princips noteic arī to, ka indivīda reiz iegūtās tiesības nevar pastāvēt neierobežoti ilgi. Proti, šis princips nedod pamatu ticēt, ka reiz noteiktā tiesiskā situācija nekad nemainīsies. Būtiski ir tas, ka tiesiskās paļāvības princips nodrošina indivīdam tiesisko aizsardzību tikai likumdevēja noteiktajā pārejas periodā. Tiesiskās paļāvības princips negarantē indivīdam pastāvīgu </w:t>
            </w:r>
            <w:r w:rsidRPr="00676642">
              <w:rPr>
                <w:rFonts w:ascii="Times New Roman" w:hAnsi="Times New Roman" w:cs="Times New Roman"/>
                <w:i/>
                <w:sz w:val="24"/>
                <w:szCs w:val="24"/>
              </w:rPr>
              <w:t>status quo,</w:t>
            </w:r>
            <w:r w:rsidRPr="00676642">
              <w:rPr>
                <w:rFonts w:ascii="Times New Roman" w:hAnsi="Times New Roman" w:cs="Times New Roman"/>
                <w:sz w:val="24"/>
                <w:szCs w:val="24"/>
              </w:rPr>
              <w:t xml:space="preserve"> t.i., nedod tiesības uz pastāvīgu izņēmuma situāciju jaunajā tiesiskajā regulējumā (</w:t>
            </w:r>
            <w:r w:rsidRPr="00676642">
              <w:rPr>
                <w:rFonts w:ascii="Times New Roman" w:hAnsi="Times New Roman" w:cs="Times New Roman"/>
                <w:i/>
                <w:sz w:val="24"/>
                <w:szCs w:val="24"/>
              </w:rPr>
              <w:t>sk. Satversmes tiesas 2004. gada 25. oktobra sprieduma lietā Nr. 2004-03-01 9.3.apakšpunktu</w:t>
            </w:r>
            <w:r w:rsidRPr="00676642">
              <w:rPr>
                <w:rFonts w:ascii="Times New Roman" w:hAnsi="Times New Roman" w:cs="Times New Roman"/>
                <w:sz w:val="24"/>
                <w:szCs w:val="24"/>
              </w:rPr>
              <w:t>).</w:t>
            </w:r>
          </w:p>
          <w:p w14:paraId="37AC8B69" w14:textId="77777777" w:rsidR="009254A3" w:rsidRPr="00676642" w:rsidRDefault="009254A3" w:rsidP="009254A3">
            <w:pPr>
              <w:pStyle w:val="naislab"/>
              <w:tabs>
                <w:tab w:val="left" w:pos="0"/>
              </w:tabs>
              <w:spacing w:before="0" w:after="0"/>
              <w:contextualSpacing/>
              <w:jc w:val="both"/>
              <w:rPr>
                <w:color w:val="000000" w:themeColor="text1"/>
              </w:rPr>
            </w:pPr>
            <w:r w:rsidRPr="00676642">
              <w:rPr>
                <w:color w:val="000000" w:themeColor="text1"/>
              </w:rPr>
              <w:t xml:space="preserve">Ņemot vērā </w:t>
            </w:r>
            <w:r w:rsidRPr="00676642">
              <w:rPr>
                <w:i/>
                <w:color w:val="000000" w:themeColor="text1"/>
              </w:rPr>
              <w:t>feed-in</w:t>
            </w:r>
            <w:r w:rsidRPr="00676642">
              <w:rPr>
                <w:color w:val="000000" w:themeColor="text1"/>
              </w:rPr>
              <w:t xml:space="preserve"> piešķiršanas principu, atbalstam ir jābūt terminētam, lai to varētu pārskatīt saskaņā ar tehnoloģisko attīstību, nosakot atbalsta saņēmējiem ierobežojumus.</w:t>
            </w:r>
          </w:p>
          <w:p w14:paraId="716D016D" w14:textId="77777777" w:rsidR="009254A3" w:rsidRPr="00676642" w:rsidRDefault="009254A3" w:rsidP="009254A3">
            <w:pPr>
              <w:pStyle w:val="PlainText"/>
              <w:jc w:val="both"/>
              <w:rPr>
                <w:rFonts w:ascii="Times New Roman" w:hAnsi="Times New Roman"/>
                <w:sz w:val="24"/>
                <w:szCs w:val="24"/>
                <w:lang w:val="lv-LV"/>
              </w:rPr>
            </w:pPr>
          </w:p>
          <w:p w14:paraId="7DDC9AF8" w14:textId="77777777" w:rsidR="009254A3" w:rsidRPr="00676642" w:rsidRDefault="009254A3" w:rsidP="009254A3">
            <w:pPr>
              <w:pStyle w:val="PlainText"/>
              <w:jc w:val="both"/>
              <w:rPr>
                <w:rFonts w:ascii="Times New Roman" w:hAnsi="Times New Roman"/>
                <w:sz w:val="24"/>
                <w:szCs w:val="24"/>
                <w:lang w:val="lv-LV"/>
              </w:rPr>
            </w:pPr>
            <w:r w:rsidRPr="00676642">
              <w:rPr>
                <w:rFonts w:ascii="Times New Roman" w:hAnsi="Times New Roman"/>
                <w:sz w:val="24"/>
                <w:szCs w:val="24"/>
                <w:lang w:val="lv-LV"/>
              </w:rPr>
              <w:t>Īpašuma tiesību ierobežojumam ir jākalpo kādam no Satversmes 116.pantā norādītajiem leģitīmajiem mērķiem. Satversmes 116.pantā ietvertajā personas pamattiesību uzskaitījumā nav speciālas norādes uz īpašuma tiesībām, jo konstitucionālais likumdevējs jau Satversmes 105.pantā ir norādījis, ka īpašuma tiesības var ierobežot. Tomēr Satversmes 116.pantā minētie pamattiesību ierobežošanas leģitīmie mērķi, proti, citu cilvēku tiesību, demokrātiskās valsts iekārtas, sabiedrības drošības, labklājības un tikumības aizsardzība ir atzīstami par leģitīmiem mērķiem arī īpašuma tiesību ierobežošanai. Saskaņā ar Satversmes 116.pantu pamattiesības var ierobežot likumā paredzētajos gadījumos, ja tas nepieciešams leģitīmo mērķu sasniegšanai. Lai pamattiesību ierobežojumu atzītu par atbilstošu Satversmei, tam ir jāatbilst visiem konstitucionalitātes testa kritērijiem, t.i., jāpārbauda, vai ierobežojums: 1) noteikts ar likumu; 2) ir leģitīms mērķis; 3) atbilst samērīguma principam.</w:t>
            </w:r>
          </w:p>
          <w:p w14:paraId="13321D59" w14:textId="77777777" w:rsidR="009254A3" w:rsidRPr="00676642" w:rsidRDefault="009254A3" w:rsidP="009254A3">
            <w:pPr>
              <w:pStyle w:val="PlainText"/>
              <w:jc w:val="both"/>
              <w:rPr>
                <w:rFonts w:ascii="Times New Roman" w:hAnsi="Times New Roman"/>
                <w:sz w:val="24"/>
                <w:szCs w:val="24"/>
                <w:lang w:val="lv-LV"/>
              </w:rPr>
            </w:pPr>
          </w:p>
          <w:p w14:paraId="049C9F8D" w14:textId="77777777" w:rsidR="009254A3" w:rsidRPr="00676642" w:rsidRDefault="009254A3" w:rsidP="009254A3">
            <w:pPr>
              <w:pStyle w:val="PlainText"/>
              <w:suppressAutoHyphens/>
              <w:autoSpaceDN w:val="0"/>
              <w:jc w:val="both"/>
              <w:textAlignment w:val="baseline"/>
              <w:rPr>
                <w:rFonts w:ascii="Times New Roman" w:hAnsi="Times New Roman"/>
                <w:sz w:val="24"/>
                <w:szCs w:val="24"/>
                <w:lang w:val="lv-LV"/>
              </w:rPr>
            </w:pPr>
            <w:r w:rsidRPr="00676642">
              <w:rPr>
                <w:rFonts w:ascii="Times New Roman" w:hAnsi="Times New Roman"/>
                <w:sz w:val="24"/>
                <w:szCs w:val="24"/>
                <w:lang w:val="lv-LV"/>
              </w:rPr>
              <w:t>1) Ierobežojums noteikts ar likumu.</w:t>
            </w:r>
          </w:p>
          <w:p w14:paraId="07A18AE4" w14:textId="6C902969" w:rsidR="009254A3" w:rsidRPr="00676642" w:rsidRDefault="009254A3" w:rsidP="00BD4882">
            <w:pPr>
              <w:pStyle w:val="PlainText"/>
              <w:jc w:val="both"/>
              <w:rPr>
                <w:rFonts w:ascii="Times New Roman" w:hAnsi="Times New Roman"/>
                <w:sz w:val="24"/>
                <w:szCs w:val="24"/>
                <w:lang w:val="lv-LV"/>
              </w:rPr>
            </w:pPr>
            <w:r w:rsidRPr="00676642">
              <w:rPr>
                <w:rFonts w:ascii="Times New Roman" w:hAnsi="Times New Roman"/>
                <w:sz w:val="24"/>
                <w:szCs w:val="24"/>
                <w:lang w:val="lv-LV"/>
              </w:rPr>
              <w:t xml:space="preserve">Projekta gadījumā ierobežojums tiks noteikts ar likumu - projekts ir izdots, pamatojoties uz </w:t>
            </w:r>
            <w:r w:rsidR="00DA5167" w:rsidRPr="00676642">
              <w:rPr>
                <w:rFonts w:ascii="Times New Roman" w:hAnsi="Times New Roman"/>
                <w:sz w:val="24"/>
                <w:szCs w:val="24"/>
                <w:lang w:val="lv-LV"/>
              </w:rPr>
              <w:t>ETL</w:t>
            </w:r>
            <w:r w:rsidR="00BD4882" w:rsidRPr="00676642">
              <w:rPr>
                <w:rFonts w:ascii="Times New Roman" w:hAnsi="Times New Roman"/>
                <w:sz w:val="24"/>
                <w:szCs w:val="24"/>
                <w:lang w:val="lv-LV" w:eastAsia="lv-LV"/>
              </w:rPr>
              <w:t xml:space="preserve"> </w:t>
            </w:r>
            <w:bookmarkStart w:id="0" w:name="_Hlk41462189"/>
            <w:r w:rsidR="00BD4882" w:rsidRPr="00676642">
              <w:rPr>
                <w:rFonts w:ascii="Times New Roman" w:eastAsiaTheme="minorHAnsi" w:hAnsi="Times New Roman"/>
                <w:sz w:val="24"/>
                <w:szCs w:val="24"/>
              </w:rPr>
              <w:fldChar w:fldCharType="begin"/>
            </w:r>
            <w:r w:rsidR="00BD4882" w:rsidRPr="00676642">
              <w:rPr>
                <w:rFonts w:ascii="Times New Roman" w:hAnsi="Times New Roman"/>
                <w:sz w:val="24"/>
                <w:szCs w:val="24"/>
                <w:lang w:val="lv-LV"/>
              </w:rPr>
              <w:instrText xml:space="preserve"> HYPERLINK "https://m.likumi.lv/ta/id/108834-elektroenergijas-tirgus-likums" \l "p31.2" \t "_blank" </w:instrText>
            </w:r>
            <w:r w:rsidR="00BD4882" w:rsidRPr="00676642">
              <w:rPr>
                <w:rFonts w:ascii="Times New Roman" w:eastAsiaTheme="minorHAnsi" w:hAnsi="Times New Roman"/>
                <w:sz w:val="24"/>
                <w:szCs w:val="24"/>
              </w:rPr>
              <w:fldChar w:fldCharType="separate"/>
            </w:r>
            <w:r w:rsidR="00BD4882" w:rsidRPr="00676642">
              <w:rPr>
                <w:rFonts w:ascii="Times New Roman" w:hAnsi="Times New Roman"/>
                <w:sz w:val="24"/>
                <w:szCs w:val="24"/>
                <w:lang w:val="lv-LV" w:eastAsia="lv-LV"/>
              </w:rPr>
              <w:t>31.</w:t>
            </w:r>
            <w:r w:rsidR="00DA5167" w:rsidRPr="00676642">
              <w:rPr>
                <w:rFonts w:ascii="Times New Roman" w:hAnsi="Times New Roman"/>
                <w:sz w:val="24"/>
                <w:szCs w:val="24"/>
                <w:vertAlign w:val="superscript"/>
                <w:lang w:val="lv-LV" w:eastAsia="lv-LV"/>
              </w:rPr>
              <w:t>4</w:t>
            </w:r>
            <w:r w:rsidR="00BD4882" w:rsidRPr="00676642">
              <w:rPr>
                <w:rFonts w:ascii="Times New Roman" w:hAnsi="Times New Roman"/>
                <w:sz w:val="24"/>
                <w:szCs w:val="24"/>
                <w:vertAlign w:val="superscript"/>
                <w:lang w:eastAsia="lv-LV"/>
              </w:rPr>
              <w:fldChar w:fldCharType="end"/>
            </w:r>
            <w:r w:rsidR="00BD4882" w:rsidRPr="00676642">
              <w:rPr>
                <w:rFonts w:ascii="Times New Roman" w:hAnsi="Times New Roman"/>
                <w:sz w:val="24"/>
                <w:szCs w:val="24"/>
                <w:lang w:val="lv-LV" w:eastAsia="lv-LV"/>
              </w:rPr>
              <w:t xml:space="preserve"> panta </w:t>
            </w:r>
            <w:r w:rsidR="00DA5167" w:rsidRPr="00676642">
              <w:rPr>
                <w:rFonts w:ascii="Times New Roman" w:hAnsi="Times New Roman"/>
                <w:sz w:val="24"/>
                <w:szCs w:val="24"/>
                <w:lang w:val="lv-LV" w:eastAsia="lv-LV"/>
              </w:rPr>
              <w:t>otr</w:t>
            </w:r>
            <w:r w:rsidR="00BD4882" w:rsidRPr="00676642">
              <w:rPr>
                <w:rFonts w:ascii="Times New Roman" w:hAnsi="Times New Roman"/>
                <w:sz w:val="24"/>
                <w:szCs w:val="24"/>
                <w:lang w:val="lv-LV" w:eastAsia="lv-LV"/>
              </w:rPr>
              <w:t xml:space="preserve">o daļu un </w:t>
            </w:r>
            <w:hyperlink r:id="rId15" w:anchor="p31.2" w:tgtFrame="_blank" w:history="1">
              <w:r w:rsidR="00BD4882" w:rsidRPr="00676642">
                <w:rPr>
                  <w:rFonts w:ascii="Times New Roman" w:hAnsi="Times New Roman"/>
                  <w:sz w:val="24"/>
                  <w:szCs w:val="24"/>
                  <w:lang w:val="lv-LV" w:eastAsia="lv-LV"/>
                </w:rPr>
                <w:t>31.</w:t>
              </w:r>
              <w:r w:rsidR="00BD4882" w:rsidRPr="00676642">
                <w:rPr>
                  <w:rFonts w:ascii="Times New Roman" w:hAnsi="Times New Roman"/>
                  <w:sz w:val="24"/>
                  <w:szCs w:val="24"/>
                  <w:vertAlign w:val="superscript"/>
                  <w:lang w:val="lv-LV" w:eastAsia="lv-LV"/>
                </w:rPr>
                <w:t>5</w:t>
              </w:r>
            </w:hyperlink>
            <w:r w:rsidR="00BD4882" w:rsidRPr="00676642">
              <w:rPr>
                <w:rFonts w:ascii="Times New Roman" w:hAnsi="Times New Roman"/>
                <w:sz w:val="24"/>
                <w:szCs w:val="24"/>
                <w:lang w:val="lv-LV" w:eastAsia="lv-LV"/>
              </w:rPr>
              <w:t> panta trešo daļu</w:t>
            </w:r>
            <w:bookmarkEnd w:id="0"/>
            <w:r w:rsidR="003753F8">
              <w:rPr>
                <w:rFonts w:ascii="Times New Roman" w:hAnsi="Times New Roman"/>
                <w:sz w:val="24"/>
                <w:szCs w:val="24"/>
                <w:lang w:val="lv-LV" w:eastAsia="lv-LV"/>
              </w:rPr>
              <w:t>.</w:t>
            </w:r>
            <w:bookmarkStart w:id="1" w:name="_GoBack"/>
            <w:bookmarkEnd w:id="1"/>
          </w:p>
          <w:p w14:paraId="5B59F5D0" w14:textId="77777777" w:rsidR="009254A3" w:rsidRPr="00676642" w:rsidRDefault="009254A3" w:rsidP="009254A3">
            <w:pPr>
              <w:pStyle w:val="PlainText"/>
              <w:ind w:firstLine="360"/>
              <w:jc w:val="both"/>
              <w:rPr>
                <w:rFonts w:ascii="Times New Roman" w:hAnsi="Times New Roman"/>
                <w:sz w:val="24"/>
                <w:szCs w:val="24"/>
                <w:lang w:val="lv-LV"/>
              </w:rPr>
            </w:pPr>
          </w:p>
          <w:p w14:paraId="2538141E" w14:textId="77777777" w:rsidR="009254A3" w:rsidRPr="00676642" w:rsidRDefault="009254A3" w:rsidP="009254A3">
            <w:pPr>
              <w:pStyle w:val="PlainText"/>
              <w:suppressAutoHyphens/>
              <w:autoSpaceDN w:val="0"/>
              <w:jc w:val="both"/>
              <w:textAlignment w:val="baseline"/>
              <w:rPr>
                <w:rFonts w:ascii="Times New Roman" w:hAnsi="Times New Roman"/>
                <w:sz w:val="24"/>
                <w:szCs w:val="24"/>
                <w:lang w:val="lv-LV"/>
              </w:rPr>
            </w:pPr>
            <w:r w:rsidRPr="00676642">
              <w:rPr>
                <w:rFonts w:ascii="Times New Roman" w:hAnsi="Times New Roman"/>
                <w:sz w:val="24"/>
                <w:szCs w:val="24"/>
                <w:lang w:val="lv-LV"/>
              </w:rPr>
              <w:t>2) Leģitīms mērķis.</w:t>
            </w:r>
          </w:p>
          <w:p w14:paraId="7368776C" w14:textId="77777777" w:rsidR="009254A3" w:rsidRPr="00676642" w:rsidRDefault="009254A3" w:rsidP="009254A3">
            <w:pPr>
              <w:pStyle w:val="PlainText"/>
              <w:jc w:val="both"/>
              <w:rPr>
                <w:rFonts w:ascii="Times New Roman" w:hAnsi="Times New Roman"/>
                <w:sz w:val="24"/>
                <w:szCs w:val="24"/>
                <w:lang w:val="lv-LV"/>
              </w:rPr>
            </w:pPr>
            <w:r w:rsidRPr="00676642">
              <w:rPr>
                <w:rFonts w:ascii="Times New Roman" w:hAnsi="Times New Roman"/>
                <w:sz w:val="24"/>
                <w:szCs w:val="24"/>
                <w:lang w:val="lv-LV"/>
              </w:rPr>
              <w:t xml:space="preserve">Atjaunojamos energoresursus izmantojošu elektrostaciju atbalstam Latvijā ir ieviests valsts atbalsta mehānisms – elektroenerģijas obligātais iepirkums (turpmāk – OI mehānisms). Atbilstoši OI mehānisma būtībai, kopējās valsts atbalsta izmaksas sedz visi elektroenerģijas gala lietotāji, proti, visas Latvijas mājsaimniecības un uzņēmumi. ETL nosaka, ka nosacījumus elektroenerģijas ražošanai, izmantojot atjaunojamos energoresursus, kā arī kritērijus ražotāju kvalifikācijai saražotās elektroenerģijas obligātā iepirkuma tiesību saņemšanai,  elektroenerģijas cenas noteikšanas kārtību atkarībā no atjaunojamo energoresursu veida nosaka Ministru kabinets. </w:t>
            </w:r>
          </w:p>
          <w:p w14:paraId="09BA50BD" w14:textId="77777777" w:rsidR="009254A3" w:rsidRPr="00676642" w:rsidRDefault="009254A3" w:rsidP="009254A3">
            <w:pPr>
              <w:pStyle w:val="PlainText"/>
              <w:jc w:val="both"/>
              <w:rPr>
                <w:rFonts w:ascii="Times New Roman" w:hAnsi="Times New Roman"/>
                <w:sz w:val="24"/>
                <w:szCs w:val="24"/>
                <w:lang w:val="lv-LV"/>
              </w:rPr>
            </w:pPr>
          </w:p>
          <w:p w14:paraId="4BB828B8" w14:textId="77777777" w:rsidR="009254A3" w:rsidRPr="00676642" w:rsidRDefault="009254A3" w:rsidP="009254A3">
            <w:pPr>
              <w:pStyle w:val="PlainText"/>
              <w:suppressAutoHyphens/>
              <w:autoSpaceDN w:val="0"/>
              <w:jc w:val="both"/>
              <w:textAlignment w:val="baseline"/>
              <w:rPr>
                <w:rFonts w:ascii="Times New Roman" w:hAnsi="Times New Roman"/>
                <w:sz w:val="24"/>
                <w:szCs w:val="24"/>
                <w:lang w:val="lv-LV"/>
              </w:rPr>
            </w:pPr>
            <w:r w:rsidRPr="00676642">
              <w:rPr>
                <w:rFonts w:ascii="Times New Roman" w:hAnsi="Times New Roman"/>
                <w:sz w:val="24"/>
                <w:szCs w:val="24"/>
                <w:lang w:val="lv-LV"/>
              </w:rPr>
              <w:t>3) Samērīguma princips.</w:t>
            </w:r>
          </w:p>
          <w:p w14:paraId="72FEEE50"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Atbilstoši samērīguma principam, kas definēts arī Administratīvā procesa likuma 13.pantā, būtiski privātpersonas tiesību vai tiesisko interešu ierobežojumi ir attaisnojami tikai ar nozīmīgu sabiedrības labumu.</w:t>
            </w:r>
          </w:p>
          <w:p w14:paraId="39095A3D"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 xml:space="preserve">Projektā ietvertā atbalsta mehānisma izmaksas, kas rodas publiskajam tirgotājam iepērkot elektroenerģiju OI ietvaros no atbalstu saņemošajiem ražotājiem, sedz visi Latvijas elektroenerģijas galalietotāji proporcionāli savam elektroenerģijas patēriņam, elektroenerģijas kopējā cenā maksājot OI komponenti. Jebkurš valsts atbalsta maksājums OI ietvaros palielina maksāšanas slogu elektroenerģijas galalietotājiem un palielina kopējo elektroenerģijas cenu. </w:t>
            </w:r>
          </w:p>
          <w:p w14:paraId="36D7B4A5" w14:textId="77777777" w:rsidR="009254A3" w:rsidRPr="00676642" w:rsidRDefault="009254A3" w:rsidP="009254A3">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Ņemot vērā minēto, lai nodrošinātu valsts atbalsta sniegšanu atbilstoši likumdevēja gribai un izmaksas par obligāto iepirkumu būtu samērīgas visiem galalietotājiem, ir nosakāmi projektā iekļautie ierobežojumi ražotājiem, kuri pārdod saražoto elektroenerģiju OI ietvaros, tai skaitā samērīgu investīciju atdeves apjomu atbalstu saņemošajām elektrostacijām. Līdz ar to minētie ierobežojumi ir sabiedrības interesēs, jo, novēršot elektrostaciju pārkompensācijas risku, tiks mazināts elektroenerģijas izmaksu slogs mājsaimniecībām un uzņēmumiem.</w:t>
            </w:r>
          </w:p>
          <w:p w14:paraId="70363F64" w14:textId="32E6E510" w:rsidR="009254A3" w:rsidRPr="00DA5167" w:rsidRDefault="009254A3" w:rsidP="009254A3">
            <w:pPr>
              <w:spacing w:before="120" w:after="0" w:line="240" w:lineRule="auto"/>
              <w:ind w:right="113"/>
              <w:jc w:val="both"/>
              <w:rPr>
                <w:rFonts w:ascii="Times New Roman" w:hAnsi="Times New Roman" w:cs="Times New Roman"/>
                <w:sz w:val="24"/>
                <w:szCs w:val="24"/>
              </w:rPr>
            </w:pPr>
            <w:r w:rsidRPr="00676642">
              <w:rPr>
                <w:rFonts w:ascii="Times New Roman" w:hAnsi="Times New Roman" w:cs="Times New Roman"/>
                <w:sz w:val="24"/>
                <w:szCs w:val="24"/>
              </w:rPr>
              <w:t>Kā savos spriedumos ir norādījusi Satversmes tiesa, personas interese gūt peļņu neietilpst Satversmes 105.panta tvērumā, jo šāda abstrakta iespējamība nav uzskatāma par īpašuma tiesību objektu.</w:t>
            </w:r>
            <w:r w:rsidRPr="00676642">
              <w:rPr>
                <w:rFonts w:ascii="Times New Roman" w:hAnsi="Times New Roman" w:cs="Times New Roman"/>
                <w:sz w:val="24"/>
                <w:szCs w:val="24"/>
                <w:vertAlign w:val="superscript"/>
              </w:rPr>
              <w:footnoteReference w:id="3"/>
            </w:r>
            <w:r w:rsidRPr="00676642">
              <w:rPr>
                <w:rFonts w:ascii="Times New Roman" w:hAnsi="Times New Roman" w:cs="Times New Roman"/>
                <w:sz w:val="24"/>
                <w:szCs w:val="24"/>
              </w:rPr>
              <w:t xml:space="preserve"> Līdz ar to Satversmes tiesa ir nošķīrusi tiesības pārdot elektroenerģiju obligātā iepirkuma ietvaros no intereses gūt </w:t>
            </w:r>
            <w:r w:rsidR="00056E94">
              <w:rPr>
                <w:rFonts w:ascii="Times New Roman" w:hAnsi="Times New Roman" w:cs="Times New Roman"/>
                <w:sz w:val="24"/>
                <w:szCs w:val="24"/>
              </w:rPr>
              <w:t xml:space="preserve">peļņu </w:t>
            </w:r>
            <w:r w:rsidRPr="00676642">
              <w:rPr>
                <w:rFonts w:ascii="Times New Roman" w:hAnsi="Times New Roman" w:cs="Times New Roman"/>
                <w:sz w:val="24"/>
                <w:szCs w:val="24"/>
              </w:rPr>
              <w:t>iecerēt</w:t>
            </w:r>
            <w:r w:rsidR="00056E94">
              <w:rPr>
                <w:rFonts w:ascii="Times New Roman" w:hAnsi="Times New Roman" w:cs="Times New Roman"/>
                <w:sz w:val="24"/>
                <w:szCs w:val="24"/>
              </w:rPr>
              <w:t>aj</w:t>
            </w:r>
            <w:r w:rsidRPr="00676642">
              <w:rPr>
                <w:rFonts w:ascii="Times New Roman" w:hAnsi="Times New Roman" w:cs="Times New Roman"/>
                <w:sz w:val="24"/>
                <w:szCs w:val="24"/>
              </w:rPr>
              <w:t>ā apmērā. Tādējādi  Satversmes 105.panta tvērumā tiesības uz īpašumu attiecas tikai uz jau pastāvošu īpašumu – nākotnes ienākumi nerada īpašumtiesības.</w:t>
            </w:r>
          </w:p>
        </w:tc>
      </w:tr>
      <w:tr w:rsidR="00240DAF" w:rsidRPr="00DA5167" w14:paraId="06BC4C7D" w14:textId="77777777" w:rsidTr="008C6A64">
        <w:trPr>
          <w:cantSplit/>
        </w:trPr>
        <w:tc>
          <w:tcPr>
            <w:tcW w:w="309" w:type="pct"/>
            <w:hideMark/>
          </w:tcPr>
          <w:p w14:paraId="3F700889" w14:textId="77777777" w:rsidR="00BD33E0" w:rsidRPr="00DA5167" w:rsidRDefault="00BD33E0" w:rsidP="00CD7C3F">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lastRenderedPageBreak/>
              <w:t>3.</w:t>
            </w:r>
          </w:p>
        </w:tc>
        <w:tc>
          <w:tcPr>
            <w:tcW w:w="1466" w:type="pct"/>
            <w:hideMark/>
          </w:tcPr>
          <w:p w14:paraId="48044F01" w14:textId="77777777"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izstrādē iesaistītās institūcijas un publiskas personas kapitālsabiedrības</w:t>
            </w:r>
          </w:p>
        </w:tc>
        <w:tc>
          <w:tcPr>
            <w:tcW w:w="3225" w:type="pct"/>
            <w:hideMark/>
          </w:tcPr>
          <w:p w14:paraId="6857AE08" w14:textId="5B507B4B"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p>
        </w:tc>
      </w:tr>
      <w:tr w:rsidR="00240DAF" w:rsidRPr="00DA5167" w14:paraId="5BEF0F1A" w14:textId="77777777" w:rsidTr="008C6A64">
        <w:trPr>
          <w:cantSplit/>
        </w:trPr>
        <w:tc>
          <w:tcPr>
            <w:tcW w:w="309" w:type="pct"/>
            <w:hideMark/>
          </w:tcPr>
          <w:p w14:paraId="00CF1A40" w14:textId="77777777" w:rsidR="008C6A64" w:rsidRPr="00DA5167" w:rsidRDefault="008C6A64" w:rsidP="008C6A64">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6" w:type="pct"/>
            <w:hideMark/>
          </w:tcPr>
          <w:p w14:paraId="242EBDA0" w14:textId="77777777" w:rsidR="008C6A64" w:rsidRPr="00DA5167" w:rsidRDefault="008C6A64" w:rsidP="008C6A64">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tcPr>
          <w:p w14:paraId="302D7BB1" w14:textId="7B8C7990" w:rsidR="008C6A64" w:rsidRPr="00DA5167" w:rsidRDefault="00440A62" w:rsidP="005259F2">
            <w:pPr>
              <w:tabs>
                <w:tab w:val="left" w:pos="209"/>
              </w:tabs>
              <w:spacing w:after="0" w:line="240" w:lineRule="auto"/>
              <w:jc w:val="both"/>
              <w:outlineLvl w:val="3"/>
              <w:rPr>
                <w:rFonts w:ascii="Times New Roman" w:hAnsi="Times New Roman" w:cs="Times New Roman"/>
                <w:sz w:val="24"/>
                <w:szCs w:val="24"/>
              </w:rPr>
            </w:pPr>
            <w:r w:rsidRPr="00DA5167">
              <w:rPr>
                <w:rFonts w:ascii="Times New Roman" w:hAnsi="Times New Roman" w:cs="Times New Roman"/>
                <w:sz w:val="24"/>
                <w:szCs w:val="24"/>
              </w:rPr>
              <w:t>Nav</w:t>
            </w:r>
          </w:p>
        </w:tc>
      </w:tr>
    </w:tbl>
    <w:p w14:paraId="7D2339D0" w14:textId="77777777" w:rsidR="00BD33E0" w:rsidRPr="00DA5167" w:rsidRDefault="00BD33E0" w:rsidP="00CD7C3F">
      <w:pPr>
        <w:pStyle w:val="Title"/>
        <w:contextualSpacing/>
        <w:jc w:val="both"/>
        <w:rPr>
          <w:sz w:val="24"/>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0"/>
      </w:tblGrid>
      <w:tr w:rsidR="00240DAF" w:rsidRPr="00DA5167" w14:paraId="4EB10F44" w14:textId="77777777" w:rsidTr="00EA2EB8">
        <w:trPr>
          <w:cantSplit/>
          <w:trHeight w:val="380"/>
        </w:trPr>
        <w:tc>
          <w:tcPr>
            <w:tcW w:w="5000" w:type="pct"/>
            <w:gridSpan w:val="3"/>
            <w:vAlign w:val="center"/>
            <w:hideMark/>
          </w:tcPr>
          <w:p w14:paraId="4B6DCF28" w14:textId="7FA1554B" w:rsidR="002C436F" w:rsidRPr="00DA5167" w:rsidRDefault="00BD33E0" w:rsidP="00273449">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b/>
                <w:bCs/>
                <w:sz w:val="24"/>
                <w:szCs w:val="24"/>
              </w:rPr>
              <w:t>II. Tiesību akta projekta ietekme uz sabiedrību, tautsaimniecības attīstību un administratīvo slogu</w:t>
            </w:r>
          </w:p>
        </w:tc>
      </w:tr>
      <w:tr w:rsidR="00240DAF" w:rsidRPr="00DA5167" w14:paraId="76806F50" w14:textId="77777777" w:rsidTr="00EA2EB8">
        <w:tc>
          <w:tcPr>
            <w:tcW w:w="309" w:type="pct"/>
            <w:hideMark/>
          </w:tcPr>
          <w:p w14:paraId="79A38675"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7" w:type="pct"/>
            <w:hideMark/>
          </w:tcPr>
          <w:p w14:paraId="116A1FC8" w14:textId="2E7AD4B8" w:rsidR="002C436F" w:rsidRPr="00DA5167" w:rsidRDefault="00BD33E0" w:rsidP="00123B14">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mērķgrupas, kuras tiesiskais regulējums ietekmē vai varētu ietekmēt</w:t>
            </w:r>
          </w:p>
        </w:tc>
        <w:tc>
          <w:tcPr>
            <w:tcW w:w="3225" w:type="pct"/>
            <w:hideMark/>
          </w:tcPr>
          <w:p w14:paraId="6FF3E842" w14:textId="5EEE596C" w:rsidR="00D637FE" w:rsidRPr="00DA5167" w:rsidRDefault="00D637FE" w:rsidP="00D637FE">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Komersanti, </w:t>
            </w:r>
            <w:r w:rsidR="00280491" w:rsidRPr="00DA5167">
              <w:rPr>
                <w:rFonts w:ascii="Times New Roman" w:hAnsi="Times New Roman" w:cs="Times New Roman"/>
                <w:sz w:val="24"/>
                <w:szCs w:val="24"/>
              </w:rPr>
              <w:t>k</w:t>
            </w:r>
            <w:r w:rsidR="00280491">
              <w:rPr>
                <w:rFonts w:ascii="Times New Roman" w:hAnsi="Times New Roman" w:cs="Times New Roman"/>
                <w:sz w:val="24"/>
                <w:szCs w:val="24"/>
              </w:rPr>
              <w:t>uri</w:t>
            </w:r>
            <w:r w:rsidR="00280491" w:rsidRPr="00DA5167">
              <w:rPr>
                <w:rFonts w:ascii="Times New Roman" w:hAnsi="Times New Roman" w:cs="Times New Roman"/>
                <w:sz w:val="24"/>
                <w:szCs w:val="24"/>
              </w:rPr>
              <w:t xml:space="preserve"> </w:t>
            </w:r>
            <w:r w:rsidRPr="00DA5167">
              <w:rPr>
                <w:rFonts w:ascii="Times New Roman" w:hAnsi="Times New Roman" w:cs="Times New Roman"/>
                <w:sz w:val="24"/>
                <w:szCs w:val="24"/>
              </w:rPr>
              <w:t xml:space="preserve">saņem </w:t>
            </w:r>
            <w:r w:rsidR="00310D17" w:rsidRPr="00DA5167">
              <w:rPr>
                <w:rFonts w:ascii="Times New Roman" w:hAnsi="Times New Roman" w:cs="Times New Roman"/>
                <w:sz w:val="24"/>
                <w:szCs w:val="24"/>
              </w:rPr>
              <w:t>valsts</w:t>
            </w:r>
            <w:r w:rsidRPr="00DA5167">
              <w:rPr>
                <w:rFonts w:ascii="Times New Roman" w:hAnsi="Times New Roman" w:cs="Times New Roman"/>
                <w:sz w:val="24"/>
                <w:szCs w:val="24"/>
              </w:rPr>
              <w:t xml:space="preserve"> atbalstu elektroenerģijas ražošanai no atjaunojamiem energoresursiem.</w:t>
            </w:r>
          </w:p>
          <w:p w14:paraId="735AA379" w14:textId="78E9706D" w:rsidR="00BA2CB2" w:rsidRPr="00DA5167" w:rsidRDefault="00BA2CB2" w:rsidP="00BA2CB2">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Būvniecības valsts kontroles birojs, </w:t>
            </w:r>
            <w:r w:rsidR="00280491" w:rsidRPr="00DA5167">
              <w:rPr>
                <w:rFonts w:ascii="Times New Roman" w:hAnsi="Times New Roman" w:cs="Times New Roman"/>
                <w:sz w:val="24"/>
                <w:szCs w:val="24"/>
              </w:rPr>
              <w:t>k</w:t>
            </w:r>
            <w:r w:rsidR="00280491">
              <w:rPr>
                <w:rFonts w:ascii="Times New Roman" w:hAnsi="Times New Roman" w:cs="Times New Roman"/>
                <w:sz w:val="24"/>
                <w:szCs w:val="24"/>
              </w:rPr>
              <w:t>as</w:t>
            </w:r>
            <w:r w:rsidR="00280491" w:rsidRPr="00DA5167">
              <w:rPr>
                <w:rFonts w:ascii="Times New Roman" w:hAnsi="Times New Roman" w:cs="Times New Roman"/>
                <w:sz w:val="24"/>
                <w:szCs w:val="24"/>
              </w:rPr>
              <w:t xml:space="preserve"> </w:t>
            </w:r>
            <w:r w:rsidRPr="00DA5167">
              <w:rPr>
                <w:rFonts w:ascii="Times New Roman" w:hAnsi="Times New Roman" w:cs="Times New Roman"/>
                <w:sz w:val="24"/>
                <w:szCs w:val="24"/>
              </w:rPr>
              <w:t>īsteno obligātā iepirkuma uzraudzības funkciju.</w:t>
            </w:r>
          </w:p>
          <w:p w14:paraId="2F51F713" w14:textId="2E8B10E4" w:rsidR="00BD33E0" w:rsidRPr="00DA5167" w:rsidRDefault="0028049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AS “Enerģijas p</w:t>
            </w:r>
            <w:r w:rsidR="00BA2CB2" w:rsidRPr="00DA5167">
              <w:rPr>
                <w:rFonts w:ascii="Times New Roman" w:hAnsi="Times New Roman" w:cs="Times New Roman"/>
                <w:sz w:val="24"/>
                <w:szCs w:val="24"/>
              </w:rPr>
              <w:t>ubliskais tirgotājs</w:t>
            </w:r>
            <w:r>
              <w:rPr>
                <w:rFonts w:ascii="Times New Roman" w:hAnsi="Times New Roman" w:cs="Times New Roman"/>
                <w:sz w:val="24"/>
                <w:szCs w:val="24"/>
              </w:rPr>
              <w:t>”</w:t>
            </w:r>
            <w:r w:rsidR="00D637FE" w:rsidRPr="00DA5167">
              <w:rPr>
                <w:rFonts w:ascii="Times New Roman" w:hAnsi="Times New Roman" w:cs="Times New Roman"/>
                <w:sz w:val="24"/>
                <w:szCs w:val="24"/>
              </w:rPr>
              <w:t>, kas no komersanta elektroenerģijas obligātā iepirkuma ietvaros iepērk elektroenerģiju.</w:t>
            </w:r>
          </w:p>
        </w:tc>
      </w:tr>
      <w:tr w:rsidR="00240DAF" w:rsidRPr="00DA5167" w14:paraId="6B8D6D74" w14:textId="77777777" w:rsidTr="00EA2EB8">
        <w:tc>
          <w:tcPr>
            <w:tcW w:w="309" w:type="pct"/>
            <w:hideMark/>
          </w:tcPr>
          <w:p w14:paraId="383B40FB"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67" w:type="pct"/>
            <w:hideMark/>
          </w:tcPr>
          <w:p w14:paraId="5438ACD5"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Tiesiskā regulējuma ietekme uz tautsaimniecību un administratīvo slogu</w:t>
            </w:r>
          </w:p>
        </w:tc>
        <w:tc>
          <w:tcPr>
            <w:tcW w:w="3225" w:type="pct"/>
          </w:tcPr>
          <w:p w14:paraId="57FEA59F" w14:textId="72853BE7" w:rsidR="006B01F1" w:rsidRPr="00DA5167" w:rsidRDefault="006B01F1" w:rsidP="006B01F1">
            <w:pPr>
              <w:spacing w:after="0" w:line="240" w:lineRule="auto"/>
              <w:contextualSpacing/>
              <w:jc w:val="both"/>
              <w:rPr>
                <w:rFonts w:ascii="Times New Roman" w:eastAsia="Times New Roman" w:hAnsi="Times New Roman" w:cs="Times New Roman"/>
                <w:sz w:val="24"/>
                <w:szCs w:val="24"/>
              </w:rPr>
            </w:pPr>
            <w:r w:rsidRPr="00DA5167">
              <w:rPr>
                <w:rFonts w:ascii="Times New Roman" w:eastAsia="Times New Roman" w:hAnsi="Times New Roman" w:cs="Times New Roman"/>
                <w:sz w:val="24"/>
                <w:szCs w:val="24"/>
              </w:rPr>
              <w:t xml:space="preserve">Projektā ietvertās normas sekmēs </w:t>
            </w:r>
            <w:r w:rsidRPr="00DA5167">
              <w:rPr>
                <w:rFonts w:ascii="Times New Roman" w:eastAsia="Times New Roman" w:hAnsi="Times New Roman" w:cs="Times New Roman"/>
                <w:sz w:val="24"/>
                <w:szCs w:val="24"/>
                <w:lang w:eastAsia="lv-LV"/>
              </w:rPr>
              <w:t xml:space="preserve">potenciālu </w:t>
            </w:r>
            <w:r w:rsidRPr="00DA5167">
              <w:rPr>
                <w:rFonts w:ascii="Times New Roman" w:eastAsia="Times New Roman" w:hAnsi="Times New Roman" w:cs="Times New Roman"/>
                <w:sz w:val="24"/>
                <w:szCs w:val="24"/>
              </w:rPr>
              <w:t>sabiedrības līdzekļu nepamatota vai nelikumīga izlietojuma</w:t>
            </w:r>
            <w:r w:rsidRPr="00DA5167">
              <w:rPr>
                <w:rFonts w:ascii="Times New Roman" w:eastAsia="Times New Roman" w:hAnsi="Times New Roman" w:cs="Times New Roman"/>
                <w:sz w:val="24"/>
                <w:szCs w:val="24"/>
                <w:lang w:eastAsia="lv-LV"/>
              </w:rPr>
              <w:t xml:space="preserve"> risku</w:t>
            </w:r>
            <w:r w:rsidR="001E21B0" w:rsidRPr="00DA5167">
              <w:rPr>
                <w:rFonts w:ascii="Times New Roman" w:eastAsia="Times New Roman" w:hAnsi="Times New Roman" w:cs="Times New Roman"/>
                <w:sz w:val="24"/>
                <w:szCs w:val="24"/>
                <w:lang w:eastAsia="lv-LV"/>
              </w:rPr>
              <w:t xml:space="preserve"> novēršanu</w:t>
            </w:r>
            <w:r w:rsidRPr="00DA5167">
              <w:rPr>
                <w:rFonts w:ascii="Times New Roman" w:eastAsia="Times New Roman" w:hAnsi="Times New Roman" w:cs="Times New Roman"/>
                <w:sz w:val="24"/>
                <w:szCs w:val="24"/>
              </w:rPr>
              <w:t>.</w:t>
            </w:r>
          </w:p>
          <w:p w14:paraId="1D4B4471" w14:textId="7C581343" w:rsidR="009C0911" w:rsidRPr="00DA5167" w:rsidRDefault="006B01F1" w:rsidP="006B01F1">
            <w:pPr>
              <w:spacing w:after="0" w:line="240" w:lineRule="auto"/>
              <w:jc w:val="both"/>
              <w:rPr>
                <w:rFonts w:ascii="Times New Roman" w:eastAsia="Times New Roman" w:hAnsi="Times New Roman" w:cs="Times New Roman"/>
                <w:sz w:val="24"/>
                <w:szCs w:val="24"/>
                <w:lang w:eastAsia="lv-LV"/>
              </w:rPr>
            </w:pPr>
            <w:r w:rsidRPr="00DA5167">
              <w:rPr>
                <w:rFonts w:ascii="Times New Roman" w:eastAsia="Times New Roman" w:hAnsi="Times New Roman" w:cs="Times New Roman"/>
                <w:sz w:val="24"/>
                <w:szCs w:val="24"/>
                <w:lang w:eastAsia="lv-LV"/>
              </w:rPr>
              <w:t>Tiesiskais regulējums palielinās administratīvo slogu Būvniecības valsts kontroles birojam.</w:t>
            </w:r>
          </w:p>
        </w:tc>
      </w:tr>
      <w:tr w:rsidR="00240DAF" w:rsidRPr="00DA5167" w14:paraId="7529B2D3" w14:textId="77777777" w:rsidTr="00EA2EB8">
        <w:trPr>
          <w:cantSplit/>
        </w:trPr>
        <w:tc>
          <w:tcPr>
            <w:tcW w:w="309" w:type="pct"/>
            <w:hideMark/>
          </w:tcPr>
          <w:p w14:paraId="2BACE325"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67" w:type="pct"/>
            <w:hideMark/>
          </w:tcPr>
          <w:p w14:paraId="2292BA6A"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Administratīvo izmaksu monetārs novērtējums</w:t>
            </w:r>
          </w:p>
        </w:tc>
        <w:tc>
          <w:tcPr>
            <w:tcW w:w="3225" w:type="pct"/>
            <w:hideMark/>
          </w:tcPr>
          <w:p w14:paraId="72064248" w14:textId="6712B6CB" w:rsidR="00FB274A" w:rsidRPr="00DA5167" w:rsidRDefault="00130E70" w:rsidP="00FB274A">
            <w:pPr>
              <w:pStyle w:val="tv213"/>
              <w:spacing w:before="0" w:beforeAutospacing="0" w:after="0" w:afterAutospacing="0"/>
              <w:contextualSpacing/>
              <w:jc w:val="both"/>
              <w:rPr>
                <w:bCs/>
              </w:rPr>
            </w:pPr>
            <w:r w:rsidRPr="00DA5167">
              <w:t>P</w:t>
            </w:r>
            <w:r w:rsidR="00176F07" w:rsidRPr="00DA5167">
              <w:t>rojekt</w:t>
            </w:r>
            <w:r w:rsidR="00564634" w:rsidRPr="00DA5167">
              <w:t>s</w:t>
            </w:r>
            <w:r w:rsidR="00176F07" w:rsidRPr="00DA5167">
              <w:t xml:space="preserve"> šo jomu neskar.</w:t>
            </w:r>
          </w:p>
        </w:tc>
      </w:tr>
      <w:tr w:rsidR="00240DAF" w:rsidRPr="00DA5167" w14:paraId="517C7F8E" w14:textId="77777777" w:rsidTr="00EA2EB8">
        <w:trPr>
          <w:cantSplit/>
        </w:trPr>
        <w:tc>
          <w:tcPr>
            <w:tcW w:w="309" w:type="pct"/>
            <w:hideMark/>
          </w:tcPr>
          <w:p w14:paraId="5BBE2D6E"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7" w:type="pct"/>
            <w:hideMark/>
          </w:tcPr>
          <w:p w14:paraId="29E1BAA4"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Atbilstības izmaksu monetārs novērtējums</w:t>
            </w:r>
          </w:p>
        </w:tc>
        <w:tc>
          <w:tcPr>
            <w:tcW w:w="3225" w:type="pct"/>
            <w:hideMark/>
          </w:tcPr>
          <w:p w14:paraId="53C1EBB6" w14:textId="6FCED027" w:rsidR="00FB274A" w:rsidRPr="00DA5167" w:rsidRDefault="00130E70" w:rsidP="00FB274A">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P</w:t>
            </w:r>
            <w:r w:rsidR="00176F07" w:rsidRPr="00DA5167">
              <w:rPr>
                <w:rFonts w:ascii="Times New Roman" w:eastAsia="Times New Roman" w:hAnsi="Times New Roman" w:cs="Times New Roman"/>
                <w:sz w:val="24"/>
                <w:szCs w:val="24"/>
                <w:lang w:eastAsia="lv-LV"/>
              </w:rPr>
              <w:t>rojekt</w:t>
            </w:r>
            <w:r w:rsidR="00564634" w:rsidRPr="00DA5167">
              <w:rPr>
                <w:rFonts w:ascii="Times New Roman" w:eastAsia="Times New Roman" w:hAnsi="Times New Roman" w:cs="Times New Roman"/>
                <w:sz w:val="24"/>
                <w:szCs w:val="24"/>
                <w:lang w:eastAsia="lv-LV"/>
              </w:rPr>
              <w:t>s</w:t>
            </w:r>
            <w:r w:rsidR="00176F07" w:rsidRPr="00DA5167">
              <w:rPr>
                <w:rFonts w:ascii="Times New Roman" w:eastAsia="Times New Roman" w:hAnsi="Times New Roman" w:cs="Times New Roman"/>
                <w:sz w:val="24"/>
                <w:szCs w:val="24"/>
                <w:lang w:eastAsia="lv-LV"/>
              </w:rPr>
              <w:t xml:space="preserve"> šo jomu neskar.</w:t>
            </w:r>
          </w:p>
        </w:tc>
      </w:tr>
      <w:tr w:rsidR="00BD33E0" w:rsidRPr="00DA5167" w14:paraId="443342AB" w14:textId="77777777" w:rsidTr="00EA2EB8">
        <w:trPr>
          <w:cantSplit/>
        </w:trPr>
        <w:tc>
          <w:tcPr>
            <w:tcW w:w="309" w:type="pct"/>
            <w:hideMark/>
          </w:tcPr>
          <w:p w14:paraId="30364DA4"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5.</w:t>
            </w:r>
          </w:p>
        </w:tc>
        <w:tc>
          <w:tcPr>
            <w:tcW w:w="1467" w:type="pct"/>
            <w:hideMark/>
          </w:tcPr>
          <w:p w14:paraId="2E4D6B5D"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hideMark/>
          </w:tcPr>
          <w:p w14:paraId="6B1CA001" w14:textId="1CA18D76" w:rsidR="00BD33E0" w:rsidRPr="00DA5167" w:rsidRDefault="00BD33E0"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iCs/>
                <w:sz w:val="24"/>
                <w:szCs w:val="24"/>
                <w:lang w:eastAsia="lv-LV"/>
              </w:rPr>
              <w:t>Nav</w:t>
            </w:r>
          </w:p>
        </w:tc>
      </w:tr>
    </w:tbl>
    <w:p w14:paraId="7D918125" w14:textId="13027E0B" w:rsidR="00BD33E0" w:rsidRPr="00DA5167" w:rsidRDefault="00BD33E0" w:rsidP="00D93B68">
      <w:pPr>
        <w:pStyle w:val="Title"/>
        <w:contextualSpacing/>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240DAF" w:rsidRPr="00DA5167" w14:paraId="5C8BF5DF"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hideMark/>
          </w:tcPr>
          <w:p w14:paraId="202C3F7A" w14:textId="77777777" w:rsidR="0038445D" w:rsidRPr="00DA5167" w:rsidRDefault="0038445D"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III. Tiesību akta projekta ietekme uz valsts budžetu un pašvaldību budžetiem</w:t>
            </w:r>
          </w:p>
        </w:tc>
      </w:tr>
      <w:tr w:rsidR="00240DAF" w:rsidRPr="00DA5167" w14:paraId="5EEE8042"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tcPr>
          <w:p w14:paraId="794B75AE" w14:textId="7C56FA4D" w:rsidR="004E69C1" w:rsidRPr="00DA5167" w:rsidRDefault="00624ED8"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tbl>
    <w:p w14:paraId="1D2B8C3A" w14:textId="77777777" w:rsidR="0038445D" w:rsidRPr="00DA5167" w:rsidRDefault="0038445D" w:rsidP="00D93B68">
      <w:pPr>
        <w:pStyle w:val="Title"/>
        <w:contextualSpacing/>
        <w:jc w:val="both"/>
        <w:rPr>
          <w:sz w:val="24"/>
          <w:szCs w:val="24"/>
        </w:rPr>
      </w:pPr>
    </w:p>
    <w:tbl>
      <w:tblPr>
        <w:tblW w:w="5003" w:type="pct"/>
        <w:tblInd w:w="-5"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60"/>
      </w:tblGrid>
      <w:tr w:rsidR="00240DAF" w:rsidRPr="00DA5167" w14:paraId="26706930" w14:textId="77777777"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5695F0E" w14:textId="77777777" w:rsidR="00BD33E0" w:rsidRPr="00DA5167" w:rsidRDefault="00BD33E0" w:rsidP="00D93B68">
            <w:pPr>
              <w:spacing w:after="0" w:line="240" w:lineRule="auto"/>
              <w:jc w:val="center"/>
              <w:rPr>
                <w:rFonts w:ascii="Times New Roman" w:hAnsi="Times New Roman" w:cs="Times New Roman"/>
                <w:b/>
                <w:bCs/>
                <w:sz w:val="24"/>
                <w:szCs w:val="24"/>
              </w:rPr>
            </w:pPr>
            <w:bookmarkStart w:id="2" w:name="_Hlk14089848"/>
            <w:r w:rsidRPr="00DA5167">
              <w:rPr>
                <w:rFonts w:ascii="Times New Roman" w:hAnsi="Times New Roman" w:cs="Times New Roman"/>
                <w:b/>
                <w:bCs/>
                <w:sz w:val="24"/>
                <w:szCs w:val="24"/>
              </w:rPr>
              <w:t>IV. Tiesību akta projekta ietekme uz spēkā esošo tiesību normu sistēmu</w:t>
            </w:r>
          </w:p>
        </w:tc>
      </w:tr>
      <w:tr w:rsidR="00240DAF" w:rsidRPr="00DA5167" w14:paraId="37D2567B" w14:textId="2CBA5703"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1FD91E2" w14:textId="02CC4CC1" w:rsidR="008E153C" w:rsidRPr="00DA5167" w:rsidRDefault="008E153C" w:rsidP="00D93B68">
            <w:pPr>
              <w:spacing w:after="0" w:line="240" w:lineRule="auto"/>
              <w:jc w:val="center"/>
              <w:rPr>
                <w:rFonts w:ascii="Times New Roman" w:hAnsi="Times New Roman" w:cs="Times New Roman"/>
                <w:b/>
                <w:bCs/>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bookmarkEnd w:id="2"/>
    </w:tbl>
    <w:p w14:paraId="6BE36A27" w14:textId="77777777" w:rsidR="00EC023D" w:rsidRPr="00DA5167" w:rsidRDefault="00EC023D" w:rsidP="00D93B68">
      <w:pPr>
        <w:spacing w:after="0" w:line="240" w:lineRule="auto"/>
        <w:contextualSpacing/>
        <w:rPr>
          <w:rFonts w:ascii="Times New Roman" w:hAnsi="Times New Roman" w:cs="Times New Roman"/>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9"/>
        <w:gridCol w:w="2627"/>
        <w:gridCol w:w="5977"/>
        <w:gridCol w:w="9"/>
      </w:tblGrid>
      <w:tr w:rsidR="00240DAF" w:rsidRPr="00DA5167" w14:paraId="17625C95" w14:textId="77777777" w:rsidTr="005259F2">
        <w:trPr>
          <w:gridAfter w:val="1"/>
          <w:wAfter w:w="3" w:type="pct"/>
          <w:cantSplit/>
        </w:trPr>
        <w:tc>
          <w:tcPr>
            <w:tcW w:w="4995" w:type="pct"/>
            <w:gridSpan w:val="3"/>
            <w:vAlign w:val="center"/>
            <w:hideMark/>
          </w:tcPr>
          <w:p w14:paraId="2CE990BD"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 Tiesību akta projekta atbilstība Latvijas Republikas starptautiskajām saistībām</w:t>
            </w:r>
          </w:p>
        </w:tc>
      </w:tr>
      <w:tr w:rsidR="00240DAF" w:rsidRPr="00DA5167" w14:paraId="4FE103C3" w14:textId="77777777" w:rsidTr="005259F2">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24" w:type="dxa"/>
            <w:left w:w="24" w:type="dxa"/>
            <w:bottom w:w="24" w:type="dxa"/>
            <w:right w:w="24" w:type="dxa"/>
          </w:tblCellMar>
        </w:tblPrEx>
        <w:tc>
          <w:tcPr>
            <w:tcW w:w="253" w:type="pct"/>
            <w:tcBorders>
              <w:top w:val="outset" w:sz="6" w:space="0" w:color="414142"/>
              <w:left w:val="outset" w:sz="6" w:space="0" w:color="414142"/>
              <w:bottom w:val="outset" w:sz="6" w:space="0" w:color="414142"/>
              <w:right w:val="outset" w:sz="6" w:space="0" w:color="414142"/>
            </w:tcBorders>
            <w:hideMark/>
          </w:tcPr>
          <w:p w14:paraId="54E03F7C"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1.</w:t>
            </w:r>
          </w:p>
        </w:tc>
        <w:tc>
          <w:tcPr>
            <w:tcW w:w="1448" w:type="pct"/>
            <w:tcBorders>
              <w:top w:val="outset" w:sz="6" w:space="0" w:color="414142"/>
              <w:left w:val="outset" w:sz="6" w:space="0" w:color="414142"/>
              <w:bottom w:val="outset" w:sz="6" w:space="0" w:color="414142"/>
              <w:right w:val="outset" w:sz="6" w:space="0" w:color="414142"/>
            </w:tcBorders>
            <w:hideMark/>
          </w:tcPr>
          <w:p w14:paraId="39F0603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Saistības pret Eiropas Savienību</w:t>
            </w:r>
          </w:p>
        </w:tc>
        <w:tc>
          <w:tcPr>
            <w:tcW w:w="3299" w:type="pct"/>
            <w:gridSpan w:val="2"/>
            <w:tcBorders>
              <w:top w:val="outset" w:sz="6" w:space="0" w:color="414142"/>
              <w:left w:val="outset" w:sz="6" w:space="0" w:color="414142"/>
              <w:bottom w:val="outset" w:sz="6" w:space="0" w:color="414142"/>
              <w:right w:val="outset" w:sz="6" w:space="0" w:color="414142"/>
            </w:tcBorders>
          </w:tcPr>
          <w:p w14:paraId="0DDF7039" w14:textId="3EED1D50" w:rsidR="005259F2" w:rsidRPr="00DA5167" w:rsidRDefault="00D341E0" w:rsidP="00DF2648">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111DF658" w14:textId="77777777" w:rsidTr="005259F2">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24" w:type="dxa"/>
            <w:left w:w="24" w:type="dxa"/>
            <w:bottom w:w="24" w:type="dxa"/>
            <w:right w:w="24" w:type="dxa"/>
          </w:tblCellMar>
        </w:tblPrEx>
        <w:tc>
          <w:tcPr>
            <w:tcW w:w="253" w:type="pct"/>
            <w:tcBorders>
              <w:top w:val="outset" w:sz="6" w:space="0" w:color="414142"/>
              <w:left w:val="outset" w:sz="6" w:space="0" w:color="414142"/>
              <w:bottom w:val="outset" w:sz="6" w:space="0" w:color="414142"/>
              <w:right w:val="outset" w:sz="6" w:space="0" w:color="414142"/>
            </w:tcBorders>
            <w:hideMark/>
          </w:tcPr>
          <w:p w14:paraId="065A2D81"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2.</w:t>
            </w:r>
          </w:p>
        </w:tc>
        <w:tc>
          <w:tcPr>
            <w:tcW w:w="1448" w:type="pct"/>
            <w:tcBorders>
              <w:top w:val="outset" w:sz="6" w:space="0" w:color="414142"/>
              <w:left w:val="outset" w:sz="6" w:space="0" w:color="414142"/>
              <w:bottom w:val="outset" w:sz="6" w:space="0" w:color="414142"/>
              <w:right w:val="outset" w:sz="6" w:space="0" w:color="414142"/>
            </w:tcBorders>
            <w:hideMark/>
          </w:tcPr>
          <w:p w14:paraId="4C906349"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Citas starptautiskās saistības</w:t>
            </w:r>
          </w:p>
        </w:tc>
        <w:tc>
          <w:tcPr>
            <w:tcW w:w="3299" w:type="pct"/>
            <w:gridSpan w:val="2"/>
            <w:tcBorders>
              <w:top w:val="outset" w:sz="6" w:space="0" w:color="414142"/>
              <w:left w:val="outset" w:sz="6" w:space="0" w:color="414142"/>
              <w:bottom w:val="outset" w:sz="6" w:space="0" w:color="414142"/>
              <w:right w:val="outset" w:sz="6" w:space="0" w:color="414142"/>
            </w:tcBorders>
            <w:hideMark/>
          </w:tcPr>
          <w:p w14:paraId="5A3DD4EA"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5B51BDC2" w14:textId="77777777" w:rsidTr="005259F2">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24" w:type="dxa"/>
            <w:left w:w="24" w:type="dxa"/>
            <w:bottom w:w="24" w:type="dxa"/>
            <w:right w:w="24" w:type="dxa"/>
          </w:tblCellMar>
        </w:tblPrEx>
        <w:trPr>
          <w:trHeight w:val="232"/>
        </w:trPr>
        <w:tc>
          <w:tcPr>
            <w:tcW w:w="253" w:type="pct"/>
            <w:tcBorders>
              <w:top w:val="outset" w:sz="6" w:space="0" w:color="414142"/>
              <w:left w:val="outset" w:sz="6" w:space="0" w:color="414142"/>
              <w:bottom w:val="outset" w:sz="6" w:space="0" w:color="414142"/>
              <w:right w:val="outset" w:sz="6" w:space="0" w:color="414142"/>
            </w:tcBorders>
            <w:hideMark/>
          </w:tcPr>
          <w:p w14:paraId="45803F92"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3.</w:t>
            </w:r>
          </w:p>
        </w:tc>
        <w:tc>
          <w:tcPr>
            <w:tcW w:w="1448" w:type="pct"/>
            <w:tcBorders>
              <w:top w:val="outset" w:sz="6" w:space="0" w:color="414142"/>
              <w:left w:val="outset" w:sz="6" w:space="0" w:color="414142"/>
              <w:bottom w:val="outset" w:sz="6" w:space="0" w:color="414142"/>
              <w:right w:val="outset" w:sz="6" w:space="0" w:color="414142"/>
            </w:tcBorders>
            <w:hideMark/>
          </w:tcPr>
          <w:p w14:paraId="6413A751"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99" w:type="pct"/>
            <w:gridSpan w:val="2"/>
            <w:tcBorders>
              <w:top w:val="outset" w:sz="6" w:space="0" w:color="414142"/>
              <w:left w:val="outset" w:sz="6" w:space="0" w:color="414142"/>
              <w:bottom w:val="outset" w:sz="6" w:space="0" w:color="414142"/>
              <w:right w:val="outset" w:sz="6" w:space="0" w:color="414142"/>
            </w:tcBorders>
            <w:hideMark/>
          </w:tcPr>
          <w:p w14:paraId="6106C21D"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Nav</w:t>
            </w:r>
          </w:p>
        </w:tc>
      </w:tr>
    </w:tbl>
    <w:p w14:paraId="69E9928A" w14:textId="77777777" w:rsidR="005259F2" w:rsidRPr="00DA5167" w:rsidRDefault="005259F2" w:rsidP="005259F2">
      <w:pPr>
        <w:spacing w:after="0" w:line="240" w:lineRule="auto"/>
        <w:rPr>
          <w:rFonts w:ascii="Times New Roman" w:eastAsia="Times New Roman" w:hAnsi="Times New Roman" w:cs="Times New Roman"/>
          <w:iCs/>
          <w:sz w:val="24"/>
          <w:szCs w:val="24"/>
          <w:lang w:eastAsia="lv-LV"/>
        </w:rPr>
      </w:pPr>
    </w:p>
    <w:tbl>
      <w:tblPr>
        <w:tblW w:w="5001"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29"/>
        <w:gridCol w:w="1994"/>
        <w:gridCol w:w="2538"/>
        <w:gridCol w:w="2596"/>
      </w:tblGrid>
      <w:tr w:rsidR="00240DAF" w:rsidRPr="00DA5167" w14:paraId="7DB94883"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0A7BAE2"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1. tabula</w:t>
            </w:r>
            <w:r w:rsidRPr="00DA5167">
              <w:rPr>
                <w:rFonts w:ascii="Times New Roman" w:hAnsi="Times New Roman" w:cs="Times New Roman"/>
                <w:b/>
                <w:bCs/>
                <w:sz w:val="24"/>
                <w:szCs w:val="24"/>
              </w:rPr>
              <w:br/>
              <w:t>Tiesību akta projekta atbilstība ES tiesību aktiem</w:t>
            </w:r>
          </w:p>
        </w:tc>
      </w:tr>
      <w:tr w:rsidR="00240DAF" w:rsidRPr="00DA5167" w14:paraId="10501156"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81FD6A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datums, numurs un nosaukums</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B8BE154" w14:textId="394F37F7" w:rsidR="005259F2" w:rsidRPr="00DA5167" w:rsidRDefault="00D341E0" w:rsidP="00BE6B1F">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259073F"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vAlign w:val="center"/>
            <w:hideMark/>
          </w:tcPr>
          <w:p w14:paraId="6AB5BE19"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A</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594AA537"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B</w:t>
            </w:r>
          </w:p>
        </w:tc>
        <w:tc>
          <w:tcPr>
            <w:tcW w:w="1401" w:type="pct"/>
            <w:tcBorders>
              <w:top w:val="outset" w:sz="6" w:space="0" w:color="414142"/>
              <w:left w:val="outset" w:sz="6" w:space="0" w:color="414142"/>
              <w:bottom w:val="outset" w:sz="6" w:space="0" w:color="414142"/>
              <w:right w:val="outset" w:sz="6" w:space="0" w:color="414142"/>
            </w:tcBorders>
            <w:vAlign w:val="center"/>
            <w:hideMark/>
          </w:tcPr>
          <w:p w14:paraId="1FB10A8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C</w:t>
            </w:r>
          </w:p>
        </w:tc>
        <w:tc>
          <w:tcPr>
            <w:tcW w:w="1433" w:type="pct"/>
            <w:tcBorders>
              <w:top w:val="outset" w:sz="6" w:space="0" w:color="414142"/>
              <w:left w:val="outset" w:sz="6" w:space="0" w:color="414142"/>
              <w:bottom w:val="outset" w:sz="6" w:space="0" w:color="414142"/>
              <w:right w:val="outset" w:sz="6" w:space="0" w:color="414142"/>
            </w:tcBorders>
            <w:vAlign w:val="center"/>
            <w:hideMark/>
          </w:tcPr>
          <w:p w14:paraId="65EE4EF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D</w:t>
            </w:r>
          </w:p>
        </w:tc>
      </w:tr>
      <w:tr w:rsidR="00240DAF" w:rsidRPr="00DA5167" w14:paraId="66FA0D6A"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C77AC5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panta numurs (uzskaitot katru tiesību akta vienību – pantu, daļu, punktu, apakšpunktu)</w:t>
            </w:r>
          </w:p>
        </w:tc>
        <w:tc>
          <w:tcPr>
            <w:tcW w:w="1101" w:type="pct"/>
            <w:tcBorders>
              <w:top w:val="outset" w:sz="6" w:space="0" w:color="414142"/>
              <w:left w:val="outset" w:sz="6" w:space="0" w:color="414142"/>
              <w:bottom w:val="outset" w:sz="6" w:space="0" w:color="414142"/>
              <w:right w:val="outset" w:sz="6" w:space="0" w:color="414142"/>
            </w:tcBorders>
            <w:hideMark/>
          </w:tcPr>
          <w:p w14:paraId="061C59A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Projekta vienība, kas pārņem vai ievieš katru šīs tabulas A ailē minēto ES tiesību akta vienību, vai tiesību akts, kur attiecīgā ES tiesību akta vienība pārņemta vai ieviesta</w:t>
            </w:r>
          </w:p>
        </w:tc>
        <w:tc>
          <w:tcPr>
            <w:tcW w:w="1401" w:type="pct"/>
            <w:tcBorders>
              <w:top w:val="outset" w:sz="6" w:space="0" w:color="414142"/>
              <w:left w:val="outset" w:sz="6" w:space="0" w:color="414142"/>
              <w:bottom w:val="outset" w:sz="6" w:space="0" w:color="414142"/>
              <w:right w:val="outset" w:sz="6" w:space="0" w:color="414142"/>
            </w:tcBorders>
            <w:hideMark/>
          </w:tcPr>
          <w:p w14:paraId="08A77146"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A ailē minētās ES tiesību akta vienības tiek pārņemtas vai ieviestas pilnībā vai daļēji.</w:t>
            </w:r>
          </w:p>
          <w:p w14:paraId="1AB1409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attiecīgā ES tiesību akta vienība tiek pārņemta vai ieviesta daļēji, sniedz attiecīgu skaidrojumu, kā arī precīzi norāda, kad un kādā veidā ES tiesību akta vienība tiks pārņemta vai ieviesta pilnībā.</w:t>
            </w:r>
          </w:p>
          <w:p w14:paraId="1D083A4D"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institūciju, kas ir atbildīga par šo saistību izpildi pilnībā</w:t>
            </w:r>
          </w:p>
        </w:tc>
        <w:tc>
          <w:tcPr>
            <w:tcW w:w="1433" w:type="pct"/>
            <w:tcBorders>
              <w:top w:val="outset" w:sz="6" w:space="0" w:color="414142"/>
              <w:left w:val="outset" w:sz="6" w:space="0" w:color="414142"/>
              <w:bottom w:val="outset" w:sz="6" w:space="0" w:color="414142"/>
              <w:right w:val="outset" w:sz="6" w:space="0" w:color="414142"/>
            </w:tcBorders>
            <w:hideMark/>
          </w:tcPr>
          <w:p w14:paraId="5FB15418"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B ailē minētās projekta vienības paredz stingrākas prasības nekā šīs tabulas A ailē minētās ES tiesību akta vienības.</w:t>
            </w:r>
          </w:p>
          <w:p w14:paraId="30F3F86F"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projekts satur stingrākas prasības nekā attiecīgais ES tiesību akts, norāda pamatojumu un samērīgumu.</w:t>
            </w:r>
          </w:p>
          <w:p w14:paraId="1A8E7A64"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iespējamās alternatīvas (t.sk. alternatīvas, kas neparedz tiesiskā regulējuma izstrādi) – kādos gadījumos būtu iespējams izvairīties no stingrāku prasību noteikšanas, nekā paredzēts attiecīgajos ES tiesību aktos</w:t>
            </w:r>
          </w:p>
        </w:tc>
      </w:tr>
      <w:tr w:rsidR="00240DAF" w:rsidRPr="00DA5167" w14:paraId="3E4A36A4"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tcPr>
          <w:p w14:paraId="4E76C40D" w14:textId="0B74D9E7" w:rsidR="005259F2" w:rsidRPr="00DA5167" w:rsidRDefault="005259F2" w:rsidP="00DF2648">
            <w:pPr>
              <w:spacing w:after="0" w:line="240" w:lineRule="auto"/>
              <w:rPr>
                <w:rFonts w:ascii="Times New Roman" w:hAnsi="Times New Roman" w:cs="Times New Roman"/>
                <w:sz w:val="24"/>
                <w:szCs w:val="24"/>
              </w:rPr>
            </w:pPr>
          </w:p>
        </w:tc>
        <w:tc>
          <w:tcPr>
            <w:tcW w:w="1101" w:type="pct"/>
            <w:tcBorders>
              <w:top w:val="outset" w:sz="6" w:space="0" w:color="414142"/>
              <w:left w:val="outset" w:sz="6" w:space="0" w:color="414142"/>
              <w:bottom w:val="outset" w:sz="6" w:space="0" w:color="414142"/>
              <w:right w:val="outset" w:sz="6" w:space="0" w:color="414142"/>
            </w:tcBorders>
          </w:tcPr>
          <w:p w14:paraId="794AED4D" w14:textId="53AF69A6" w:rsidR="005259F2" w:rsidRPr="00DA5167" w:rsidRDefault="005259F2" w:rsidP="00DF2648">
            <w:pPr>
              <w:spacing w:after="0" w:line="240" w:lineRule="auto"/>
              <w:rPr>
                <w:rFonts w:ascii="Times New Roman" w:hAnsi="Times New Roman" w:cs="Times New Roman"/>
                <w:sz w:val="24"/>
                <w:szCs w:val="24"/>
              </w:rPr>
            </w:pPr>
          </w:p>
        </w:tc>
        <w:tc>
          <w:tcPr>
            <w:tcW w:w="1401" w:type="pct"/>
            <w:tcBorders>
              <w:top w:val="outset" w:sz="6" w:space="0" w:color="414142"/>
              <w:left w:val="outset" w:sz="6" w:space="0" w:color="414142"/>
              <w:bottom w:val="outset" w:sz="6" w:space="0" w:color="414142"/>
              <w:right w:val="outset" w:sz="6" w:space="0" w:color="414142"/>
            </w:tcBorders>
          </w:tcPr>
          <w:p w14:paraId="53AC1A49" w14:textId="670C0883" w:rsidR="005259F2" w:rsidRPr="00DA5167" w:rsidRDefault="005259F2" w:rsidP="00DF2648">
            <w:pPr>
              <w:spacing w:after="0" w:line="240" w:lineRule="auto"/>
              <w:rPr>
                <w:rFonts w:ascii="Times New Roman" w:hAnsi="Times New Roman" w:cs="Times New Roman"/>
                <w:sz w:val="24"/>
                <w:szCs w:val="24"/>
              </w:rPr>
            </w:pPr>
          </w:p>
        </w:tc>
        <w:tc>
          <w:tcPr>
            <w:tcW w:w="1433" w:type="pct"/>
            <w:tcBorders>
              <w:top w:val="outset" w:sz="6" w:space="0" w:color="414142"/>
              <w:left w:val="outset" w:sz="6" w:space="0" w:color="414142"/>
              <w:bottom w:val="outset" w:sz="6" w:space="0" w:color="414142"/>
              <w:right w:val="outset" w:sz="6" w:space="0" w:color="414142"/>
            </w:tcBorders>
          </w:tcPr>
          <w:p w14:paraId="5A4904CE" w14:textId="2F22D9D8" w:rsidR="005259F2" w:rsidRPr="00DA5167" w:rsidRDefault="005259F2" w:rsidP="00DF2648">
            <w:pPr>
              <w:spacing w:after="0" w:line="240" w:lineRule="auto"/>
              <w:rPr>
                <w:rFonts w:ascii="Times New Roman" w:hAnsi="Times New Roman" w:cs="Times New Roman"/>
                <w:sz w:val="24"/>
                <w:szCs w:val="24"/>
              </w:rPr>
            </w:pPr>
          </w:p>
        </w:tc>
      </w:tr>
      <w:tr w:rsidR="00240DAF" w:rsidRPr="00DA5167" w14:paraId="25C3EDF3"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01F0952"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Kā ir izmantota ES tiesību aktā paredzētā rīcības brīvība dalībvalstij pārņemt vai ieviest noteiktas ES tiesību akta normas?</w:t>
            </w:r>
            <w:r w:rsidRPr="00DA5167">
              <w:rPr>
                <w:rFonts w:ascii="Times New Roman" w:hAnsi="Times New Roman" w:cs="Times New Roman"/>
                <w:sz w:val="24"/>
                <w:szCs w:val="24"/>
              </w:rPr>
              <w:br/>
              <w:t>Kādēļ?</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1B55D2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C7941FC"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688C470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688D36B9"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291F5EA9"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2E50DC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484F6696" w14:textId="77777777" w:rsidR="005259F2" w:rsidRPr="00DA5167" w:rsidRDefault="005259F2" w:rsidP="00DF2648">
            <w:pPr>
              <w:spacing w:after="0" w:line="240" w:lineRule="auto"/>
              <w:ind w:right="93"/>
              <w:jc w:val="both"/>
              <w:rPr>
                <w:rFonts w:ascii="Times New Roman" w:hAnsi="Times New Roman" w:cs="Times New Roman"/>
                <w:sz w:val="24"/>
                <w:szCs w:val="24"/>
              </w:rPr>
            </w:pPr>
            <w:r w:rsidRPr="00DA5167">
              <w:rPr>
                <w:rFonts w:ascii="Times New Roman" w:hAnsi="Times New Roman" w:cs="Times New Roman"/>
                <w:sz w:val="24"/>
                <w:szCs w:val="24"/>
              </w:rPr>
              <w:t>Nav</w:t>
            </w:r>
          </w:p>
        </w:tc>
      </w:tr>
      <w:tr w:rsidR="00240DAF" w:rsidRPr="00DA5167" w14:paraId="36023DF8"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37F4EE4"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2. tabula</w:t>
            </w:r>
            <w:r w:rsidRPr="00DA5167">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DA5167">
              <w:rPr>
                <w:rFonts w:ascii="Times New Roman" w:hAnsi="Times New Roman" w:cs="Times New Roman"/>
                <w:b/>
                <w:bCs/>
                <w:sz w:val="24"/>
                <w:szCs w:val="24"/>
              </w:rPr>
              <w:br/>
              <w:t>Pasākumi šo saistību izpildei</w:t>
            </w:r>
          </w:p>
        </w:tc>
      </w:tr>
      <w:tr w:rsidR="005259F2" w:rsidRPr="00DA5167" w14:paraId="7BDA9002"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F103554" w14:textId="77777777" w:rsidR="005259F2" w:rsidRPr="00DA5167" w:rsidRDefault="005259F2"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bl>
    <w:p w14:paraId="4825E442" w14:textId="77777777" w:rsidR="005259F2" w:rsidRPr="00DA5167" w:rsidRDefault="005259F2" w:rsidP="00D93B68">
      <w:pPr>
        <w:spacing w:after="0" w:line="240" w:lineRule="auto"/>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79"/>
        <w:gridCol w:w="2976"/>
        <w:gridCol w:w="5806"/>
      </w:tblGrid>
      <w:tr w:rsidR="00240DAF" w:rsidRPr="00DA5167" w14:paraId="7BCBE15C" w14:textId="77777777" w:rsidTr="007A288A">
        <w:trPr>
          <w:cantSplit/>
        </w:trPr>
        <w:tc>
          <w:tcPr>
            <w:tcW w:w="5000" w:type="pct"/>
            <w:gridSpan w:val="3"/>
            <w:vAlign w:val="center"/>
            <w:hideMark/>
          </w:tcPr>
          <w:p w14:paraId="202D1002"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 Sabiedrības līdzdalība un komunikācijas aktivitātes</w:t>
            </w:r>
          </w:p>
        </w:tc>
      </w:tr>
      <w:tr w:rsidR="00240DAF" w:rsidRPr="00DA5167" w14:paraId="24101A8A" w14:textId="77777777" w:rsidTr="00D26886">
        <w:trPr>
          <w:cantSplit/>
        </w:trPr>
        <w:tc>
          <w:tcPr>
            <w:tcW w:w="154" w:type="pct"/>
            <w:hideMark/>
          </w:tcPr>
          <w:p w14:paraId="57916EF2"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642" w:type="pct"/>
            <w:hideMark/>
          </w:tcPr>
          <w:p w14:paraId="015A22BE"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Plānotās sabiedrības līdzdalības un komunikācijas aktivitātes saistībā ar projektu</w:t>
            </w:r>
          </w:p>
        </w:tc>
        <w:tc>
          <w:tcPr>
            <w:tcW w:w="3204" w:type="pct"/>
            <w:hideMark/>
          </w:tcPr>
          <w:p w14:paraId="0F25468C" w14:textId="1E11C442" w:rsidR="00D21F56" w:rsidRPr="00DA5167" w:rsidRDefault="00D13D7A" w:rsidP="006B322A">
            <w:pPr>
              <w:spacing w:after="0" w:line="240" w:lineRule="auto"/>
              <w:contextualSpacing/>
              <w:jc w:val="both"/>
              <w:rPr>
                <w:rFonts w:ascii="Times New Roman" w:eastAsia="Times New Roman" w:hAnsi="Times New Roman" w:cs="Times New Roman"/>
                <w:sz w:val="24"/>
                <w:szCs w:val="24"/>
                <w:lang w:eastAsia="lv-LV"/>
              </w:rPr>
            </w:pPr>
            <w:r w:rsidRPr="00DA5167">
              <w:rPr>
                <w:rFonts w:ascii="Times New Roman" w:hAnsi="Times New Roman" w:cs="Times New Roman"/>
                <w:sz w:val="24"/>
                <w:szCs w:val="24"/>
              </w:rPr>
              <w:t xml:space="preserve">Sabiedrības līdzdalība </w:t>
            </w:r>
            <w:r w:rsidR="00572857" w:rsidRPr="00DA5167">
              <w:rPr>
                <w:rFonts w:ascii="Times New Roman" w:hAnsi="Times New Roman" w:cs="Times New Roman"/>
                <w:sz w:val="24"/>
                <w:szCs w:val="24"/>
              </w:rPr>
              <w:t>p</w:t>
            </w:r>
            <w:r w:rsidRPr="00DA5167">
              <w:rPr>
                <w:rFonts w:ascii="Times New Roman" w:hAnsi="Times New Roman" w:cs="Times New Roman"/>
                <w:sz w:val="24"/>
                <w:szCs w:val="24"/>
              </w:rPr>
              <w:t xml:space="preserve">rojekta izstrādē </w:t>
            </w:r>
            <w:r w:rsidR="00E621F7" w:rsidRPr="00DA5167">
              <w:rPr>
                <w:rFonts w:ascii="Times New Roman" w:hAnsi="Times New Roman" w:cs="Times New Roman"/>
                <w:sz w:val="24"/>
                <w:szCs w:val="24"/>
              </w:rPr>
              <w:t xml:space="preserve">ir </w:t>
            </w:r>
            <w:r w:rsidRPr="00DA5167">
              <w:rPr>
                <w:rFonts w:ascii="Times New Roman" w:hAnsi="Times New Roman" w:cs="Times New Roman"/>
                <w:sz w:val="24"/>
                <w:szCs w:val="24"/>
              </w:rPr>
              <w:t>īstenota atbilstoši Ministru kabineta 2009. gada 25. augusta noteikumiem Nr. 970 “Sabiedrības līdzdalības kārtība attīstības plānošanas procesā” 7.4.</w:t>
            </w:r>
            <w:r w:rsidRPr="00DA5167">
              <w:rPr>
                <w:rFonts w:ascii="Times New Roman" w:hAnsi="Times New Roman" w:cs="Times New Roman"/>
                <w:sz w:val="24"/>
                <w:szCs w:val="24"/>
                <w:vertAlign w:val="superscript"/>
              </w:rPr>
              <w:t>1 </w:t>
            </w:r>
            <w:r w:rsidRPr="00DA5167">
              <w:rPr>
                <w:rFonts w:ascii="Times New Roman" w:hAnsi="Times New Roman" w:cs="Times New Roman"/>
                <w:sz w:val="24"/>
                <w:szCs w:val="24"/>
              </w:rPr>
              <w:t>apakšpunktā, proti, sabiedrības pārstāvjiem tika dota iespēja rakstiski sniegt viedokli par projektu tā izstrādes stadijā.</w:t>
            </w:r>
          </w:p>
        </w:tc>
      </w:tr>
      <w:tr w:rsidR="00240DAF" w:rsidRPr="00DA5167" w14:paraId="63F312DE" w14:textId="77777777" w:rsidTr="00D341E0">
        <w:trPr>
          <w:cantSplit/>
        </w:trPr>
        <w:tc>
          <w:tcPr>
            <w:tcW w:w="154" w:type="pct"/>
            <w:hideMark/>
          </w:tcPr>
          <w:p w14:paraId="18D6E405"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642" w:type="pct"/>
            <w:hideMark/>
          </w:tcPr>
          <w:p w14:paraId="06F65D06"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 projekta izstrādē</w:t>
            </w:r>
          </w:p>
        </w:tc>
        <w:tc>
          <w:tcPr>
            <w:tcW w:w="3204" w:type="pct"/>
          </w:tcPr>
          <w:p w14:paraId="338DDA0E" w14:textId="3AB7AA8D" w:rsidR="007A288A" w:rsidRPr="00DA5167" w:rsidRDefault="00212835" w:rsidP="00D711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240DAF" w:rsidRPr="00DA5167" w14:paraId="126433F7" w14:textId="77777777" w:rsidTr="00D26886">
        <w:trPr>
          <w:cantSplit/>
        </w:trPr>
        <w:tc>
          <w:tcPr>
            <w:tcW w:w="154" w:type="pct"/>
            <w:hideMark/>
          </w:tcPr>
          <w:p w14:paraId="7F27A8EF"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642" w:type="pct"/>
            <w:hideMark/>
          </w:tcPr>
          <w:p w14:paraId="2F88D44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līdzdalības rezultāti</w:t>
            </w:r>
          </w:p>
        </w:tc>
        <w:tc>
          <w:tcPr>
            <w:tcW w:w="3204" w:type="pct"/>
            <w:hideMark/>
          </w:tcPr>
          <w:p w14:paraId="1C660F43" w14:textId="4204AFBB" w:rsidR="0009371C" w:rsidRPr="00DA5167" w:rsidRDefault="00212835" w:rsidP="104E63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66762C" w:rsidRPr="00DA5167" w14:paraId="24C795D4" w14:textId="77777777" w:rsidTr="00D26886">
        <w:trPr>
          <w:cantSplit/>
        </w:trPr>
        <w:tc>
          <w:tcPr>
            <w:tcW w:w="154" w:type="pct"/>
            <w:hideMark/>
          </w:tcPr>
          <w:p w14:paraId="292A4E2B"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642" w:type="pct"/>
            <w:hideMark/>
          </w:tcPr>
          <w:p w14:paraId="57058D61"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04" w:type="pct"/>
            <w:hideMark/>
          </w:tcPr>
          <w:p w14:paraId="0B0DA034" w14:textId="4E21B8EC"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Nav</w:t>
            </w:r>
          </w:p>
        </w:tc>
      </w:tr>
    </w:tbl>
    <w:p w14:paraId="17CB9C91" w14:textId="77777777" w:rsidR="00BD33E0" w:rsidRPr="00DA5167" w:rsidRDefault="00BD33E0" w:rsidP="00D93B68">
      <w:pPr>
        <w:pStyle w:val="Title"/>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40DAF" w:rsidRPr="00DA5167" w14:paraId="794B0C51" w14:textId="77777777" w:rsidTr="0066762C">
        <w:trPr>
          <w:cantSplit/>
        </w:trPr>
        <w:tc>
          <w:tcPr>
            <w:tcW w:w="5000" w:type="pct"/>
            <w:gridSpan w:val="3"/>
            <w:vAlign w:val="center"/>
            <w:hideMark/>
          </w:tcPr>
          <w:p w14:paraId="79422324"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VII. Tiesību akta projekta izpildes nodrošināšana un tās ietekme uz institūcijām</w:t>
            </w:r>
          </w:p>
        </w:tc>
      </w:tr>
      <w:tr w:rsidR="00240DAF" w:rsidRPr="00DA5167" w14:paraId="3D13362E" w14:textId="77777777" w:rsidTr="0066762C">
        <w:trPr>
          <w:cantSplit/>
        </w:trPr>
        <w:tc>
          <w:tcPr>
            <w:tcW w:w="311" w:type="pct"/>
            <w:hideMark/>
          </w:tcPr>
          <w:p w14:paraId="4F248386"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79" w:type="pct"/>
            <w:hideMark/>
          </w:tcPr>
          <w:p w14:paraId="46D68E83"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izpildē iesaistītās institūcijas</w:t>
            </w:r>
          </w:p>
        </w:tc>
        <w:tc>
          <w:tcPr>
            <w:tcW w:w="3210" w:type="pct"/>
            <w:hideMark/>
          </w:tcPr>
          <w:p w14:paraId="30260178" w14:textId="422AE26E"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r w:rsidR="00E16AC7" w:rsidRPr="00DA5167">
              <w:rPr>
                <w:rFonts w:ascii="Times New Roman" w:eastAsia="Times New Roman" w:hAnsi="Times New Roman" w:cs="Times New Roman"/>
                <w:sz w:val="24"/>
                <w:szCs w:val="24"/>
                <w:lang w:eastAsia="lv-LV"/>
              </w:rPr>
              <w:t xml:space="preserve">, </w:t>
            </w:r>
            <w:r w:rsidR="00B922B1" w:rsidRPr="00DA5167">
              <w:rPr>
                <w:rFonts w:ascii="Times New Roman" w:eastAsia="Times New Roman" w:hAnsi="Times New Roman" w:cs="Times New Roman"/>
                <w:sz w:val="24"/>
                <w:szCs w:val="24"/>
                <w:lang w:eastAsia="lv-LV"/>
              </w:rPr>
              <w:t>Būvniecības valsts kontroles birojs</w:t>
            </w:r>
            <w:r w:rsidR="005259F2" w:rsidRPr="00DA5167">
              <w:rPr>
                <w:rFonts w:ascii="Times New Roman" w:eastAsia="Times New Roman" w:hAnsi="Times New Roman" w:cs="Times New Roman"/>
                <w:sz w:val="24"/>
                <w:szCs w:val="24"/>
                <w:lang w:eastAsia="lv-LV"/>
              </w:rPr>
              <w:t xml:space="preserve">, </w:t>
            </w:r>
            <w:r w:rsidR="00EB7117" w:rsidRPr="00DA5167">
              <w:rPr>
                <w:rFonts w:ascii="Times New Roman" w:eastAsia="Times New Roman" w:hAnsi="Times New Roman" w:cs="Times New Roman"/>
                <w:sz w:val="24"/>
                <w:szCs w:val="24"/>
                <w:lang w:eastAsia="lv-LV"/>
              </w:rPr>
              <w:t xml:space="preserve">Valsts ieņēmumu dienests, </w:t>
            </w:r>
            <w:r w:rsidR="009D5498">
              <w:rPr>
                <w:rFonts w:ascii="Times New Roman" w:eastAsia="Times New Roman" w:hAnsi="Times New Roman" w:cs="Times New Roman"/>
                <w:sz w:val="24"/>
                <w:szCs w:val="24"/>
                <w:lang w:eastAsia="lv-LV"/>
              </w:rPr>
              <w:t xml:space="preserve">AS “Enerģijas </w:t>
            </w:r>
            <w:r w:rsidR="00955F4B" w:rsidRPr="00DA5167">
              <w:rPr>
                <w:rFonts w:ascii="Times New Roman" w:eastAsia="Times New Roman" w:hAnsi="Times New Roman" w:cs="Times New Roman"/>
                <w:sz w:val="24"/>
                <w:szCs w:val="24"/>
                <w:lang w:eastAsia="lv-LV"/>
              </w:rPr>
              <w:t>publiskais tirgotājs</w:t>
            </w:r>
            <w:r w:rsidR="009D5498">
              <w:rPr>
                <w:rFonts w:ascii="Times New Roman" w:eastAsia="Times New Roman" w:hAnsi="Times New Roman" w:cs="Times New Roman"/>
                <w:sz w:val="24"/>
                <w:szCs w:val="24"/>
                <w:lang w:eastAsia="lv-LV"/>
              </w:rPr>
              <w:t>”</w:t>
            </w:r>
            <w:r w:rsidR="00955F4B" w:rsidRPr="00DA5167">
              <w:rPr>
                <w:rFonts w:ascii="Times New Roman" w:eastAsia="Times New Roman" w:hAnsi="Times New Roman" w:cs="Times New Roman"/>
                <w:sz w:val="24"/>
                <w:szCs w:val="24"/>
                <w:lang w:eastAsia="lv-LV"/>
              </w:rPr>
              <w:t>, sistēmas operators.</w:t>
            </w:r>
          </w:p>
        </w:tc>
      </w:tr>
      <w:tr w:rsidR="00240DAF" w:rsidRPr="00DA5167" w14:paraId="6F1534C4" w14:textId="77777777" w:rsidTr="0066762C">
        <w:trPr>
          <w:cantSplit/>
        </w:trPr>
        <w:tc>
          <w:tcPr>
            <w:tcW w:w="311" w:type="pct"/>
            <w:hideMark/>
          </w:tcPr>
          <w:p w14:paraId="25125788"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79" w:type="pct"/>
            <w:hideMark/>
          </w:tcPr>
          <w:p w14:paraId="4BB4C78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izpildes ietekme uz pārvaldes funkcijām un institucionālo struktūru.</w:t>
            </w:r>
            <w:r w:rsidRPr="00DA5167">
              <w:rPr>
                <w:rFonts w:ascii="Times New Roman" w:hAnsi="Times New Roman" w:cs="Times New Roman"/>
                <w:sz w:val="24"/>
                <w:szCs w:val="24"/>
              </w:rPr>
              <w:br/>
              <w:t>Jaunu institūciju izveide, esošu institūciju likvidācija vai reorganizācija, to ietekme uz institūcijas cilvēkresursiem</w:t>
            </w:r>
          </w:p>
        </w:tc>
        <w:tc>
          <w:tcPr>
            <w:tcW w:w="3210" w:type="pct"/>
            <w:hideMark/>
          </w:tcPr>
          <w:p w14:paraId="1864532B" w14:textId="78C2C95D" w:rsidR="00212835" w:rsidRDefault="00212835" w:rsidP="00F97233">
            <w:pPr>
              <w:spacing w:after="0" w:line="240" w:lineRule="auto"/>
              <w:contextualSpacing/>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Projektam</w:t>
            </w:r>
            <w:r w:rsidRPr="00DA5167">
              <w:rPr>
                <w:rFonts w:ascii="Times New Roman" w:eastAsia="Times New Roman" w:hAnsi="Times New Roman" w:cs="Times New Roman"/>
                <w:sz w:val="24"/>
                <w:szCs w:val="24"/>
                <w:lang w:eastAsia="lv-LV"/>
              </w:rPr>
              <w:t xml:space="preserve"> </w:t>
            </w:r>
            <w:r w:rsidR="006B322A" w:rsidRPr="00DA5167">
              <w:rPr>
                <w:rFonts w:ascii="Times New Roman" w:eastAsia="Times New Roman" w:hAnsi="Times New Roman" w:cs="Times New Roman"/>
                <w:sz w:val="24"/>
                <w:szCs w:val="24"/>
                <w:lang w:eastAsia="lv-LV"/>
              </w:rPr>
              <w:t xml:space="preserve">nav plānota ietekme uz </w:t>
            </w:r>
            <w:r w:rsidR="006B322A" w:rsidRPr="00DA5167">
              <w:rPr>
                <w:rFonts w:ascii="Times New Roman" w:hAnsi="Times New Roman" w:cs="Times New Roman"/>
                <w:sz w:val="24"/>
                <w:szCs w:val="24"/>
              </w:rPr>
              <w:t>pārvaldes funkcijām vai institucionālo struktūru.</w:t>
            </w:r>
            <w:r w:rsidRPr="00DA5167">
              <w:rPr>
                <w:rFonts w:ascii="Times New Roman" w:hAnsi="Times New Roman" w:cs="Times New Roman"/>
                <w:sz w:val="24"/>
                <w:szCs w:val="24"/>
                <w:lang w:eastAsia="lv-LV"/>
              </w:rPr>
              <w:t xml:space="preserve"> </w:t>
            </w:r>
          </w:p>
          <w:p w14:paraId="715899E7" w14:textId="70F5950F" w:rsidR="00FB274A" w:rsidRPr="00DA5167" w:rsidRDefault="00212835" w:rsidP="00F97233">
            <w:pPr>
              <w:spacing w:after="0" w:line="240" w:lineRule="auto"/>
              <w:contextualSpacing/>
              <w:jc w:val="both"/>
              <w:rPr>
                <w:rFonts w:ascii="Times New Roman" w:eastAsia="Times New Roman" w:hAnsi="Times New Roman" w:cs="Times New Roman"/>
                <w:sz w:val="24"/>
                <w:szCs w:val="24"/>
                <w:lang w:eastAsia="lv-LV"/>
              </w:rPr>
            </w:pPr>
            <w:r w:rsidRPr="00DA5167">
              <w:rPr>
                <w:rFonts w:ascii="Times New Roman" w:hAnsi="Times New Roman" w:cs="Times New Roman"/>
                <w:sz w:val="24"/>
                <w:szCs w:val="24"/>
                <w:lang w:eastAsia="lv-LV"/>
              </w:rPr>
              <w:t>Noteikumu projekts tiks īstenots tā izpildē iesaistīto institūciju piešķirto valsts budžeta līdzekļu ietvaros.</w:t>
            </w:r>
          </w:p>
        </w:tc>
      </w:tr>
      <w:tr w:rsidR="008C6A64" w:rsidRPr="00DA5167" w14:paraId="36F9C038" w14:textId="77777777" w:rsidTr="0066762C">
        <w:trPr>
          <w:cantSplit/>
        </w:trPr>
        <w:tc>
          <w:tcPr>
            <w:tcW w:w="311" w:type="pct"/>
            <w:hideMark/>
          </w:tcPr>
          <w:p w14:paraId="1B963B2A"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79" w:type="pct"/>
            <w:hideMark/>
          </w:tcPr>
          <w:p w14:paraId="6D688CC0"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10" w:type="pct"/>
            <w:hideMark/>
          </w:tcPr>
          <w:p w14:paraId="5EECA16D" w14:textId="63B3DFDB" w:rsidR="0066762C" w:rsidRPr="00DA5167" w:rsidRDefault="00212835" w:rsidP="00F6087E">
            <w:pPr>
              <w:spacing w:after="0"/>
              <w:jc w:val="both"/>
              <w:rPr>
                <w:rFonts w:ascii="Times New Roman" w:hAnsi="Times New Roman" w:cs="Times New Roman"/>
                <w:sz w:val="24"/>
                <w:szCs w:val="24"/>
              </w:rPr>
            </w:pPr>
            <w:r>
              <w:rPr>
                <w:rFonts w:ascii="Times New Roman" w:hAnsi="Times New Roman" w:cs="Times New Roman"/>
                <w:sz w:val="24"/>
                <w:szCs w:val="24"/>
                <w:lang w:eastAsia="lv-LV"/>
              </w:rPr>
              <w:t>Nav</w:t>
            </w:r>
          </w:p>
        </w:tc>
      </w:tr>
    </w:tbl>
    <w:p w14:paraId="166433AB" w14:textId="4DEB495E" w:rsidR="007825B4" w:rsidRPr="00DA5167" w:rsidRDefault="007825B4" w:rsidP="00D93B68">
      <w:pPr>
        <w:shd w:val="clear" w:color="auto" w:fill="FFFFFF"/>
        <w:spacing w:after="0" w:line="240" w:lineRule="auto"/>
        <w:contextualSpacing/>
        <w:rPr>
          <w:rFonts w:ascii="Times New Roman" w:eastAsia="Times New Roman" w:hAnsi="Times New Roman" w:cs="Times New Roman"/>
          <w:sz w:val="24"/>
          <w:szCs w:val="24"/>
          <w:lang w:eastAsia="lv-LV"/>
        </w:rPr>
      </w:pPr>
    </w:p>
    <w:p w14:paraId="3C99DC91" w14:textId="77777777" w:rsidR="00C959E8" w:rsidRPr="00DA5167" w:rsidRDefault="00C959E8" w:rsidP="00D93B68">
      <w:pPr>
        <w:shd w:val="clear" w:color="auto" w:fill="FFFFFF"/>
        <w:spacing w:after="0" w:line="240" w:lineRule="auto"/>
        <w:contextualSpacing/>
        <w:rPr>
          <w:rFonts w:ascii="Times New Roman" w:eastAsia="Times New Roman" w:hAnsi="Times New Roman" w:cs="Times New Roman"/>
          <w:sz w:val="24"/>
          <w:szCs w:val="24"/>
          <w:lang w:eastAsia="lv-LV"/>
        </w:rPr>
      </w:pPr>
    </w:p>
    <w:p w14:paraId="4290E93E" w14:textId="569D1DF9" w:rsidR="00397F4C" w:rsidRPr="00DA5167" w:rsidRDefault="00CA211D" w:rsidP="00B42E2A">
      <w:pPr>
        <w:tabs>
          <w:tab w:val="right" w:pos="9071"/>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E</w:t>
      </w:r>
      <w:r w:rsidR="009F4CAC" w:rsidRPr="00DA5167">
        <w:rPr>
          <w:rFonts w:ascii="Times New Roman" w:hAnsi="Times New Roman" w:cs="Times New Roman"/>
          <w:sz w:val="24"/>
          <w:szCs w:val="24"/>
        </w:rPr>
        <w:t>konomikas ministr</w:t>
      </w:r>
      <w:r w:rsidR="00B42E2A" w:rsidRPr="00DA5167">
        <w:rPr>
          <w:rFonts w:ascii="Times New Roman" w:hAnsi="Times New Roman" w:cs="Times New Roman"/>
          <w:sz w:val="24"/>
          <w:szCs w:val="24"/>
        </w:rPr>
        <w:t>s</w:t>
      </w:r>
      <w:r w:rsidR="009F4CAC" w:rsidRPr="00DA5167" w:rsidDel="009F4CAC">
        <w:rPr>
          <w:rFonts w:ascii="Times New Roman" w:hAnsi="Times New Roman" w:cs="Times New Roman"/>
          <w:sz w:val="24"/>
          <w:szCs w:val="24"/>
        </w:rPr>
        <w:t xml:space="preserve"> </w:t>
      </w:r>
      <w:r w:rsidR="00894C55" w:rsidRPr="00DA5167">
        <w:rPr>
          <w:rFonts w:ascii="Times New Roman" w:hAnsi="Times New Roman" w:cs="Times New Roman"/>
          <w:sz w:val="24"/>
          <w:szCs w:val="24"/>
        </w:rPr>
        <w:tab/>
      </w:r>
      <w:r w:rsidR="00B42E2A" w:rsidRPr="00DA5167">
        <w:rPr>
          <w:rFonts w:ascii="Times New Roman" w:hAnsi="Times New Roman" w:cs="Times New Roman"/>
          <w:sz w:val="24"/>
          <w:szCs w:val="24"/>
        </w:rPr>
        <w:t>J. Vitenbergs</w:t>
      </w:r>
    </w:p>
    <w:p w14:paraId="6B5FD572" w14:textId="3C1CE9FB" w:rsidR="001E7256" w:rsidRPr="00DA5167" w:rsidRDefault="001E7256" w:rsidP="00D93B68">
      <w:pPr>
        <w:tabs>
          <w:tab w:val="left" w:pos="7938"/>
        </w:tabs>
        <w:spacing w:after="0" w:line="240" w:lineRule="auto"/>
        <w:contextualSpacing/>
        <w:rPr>
          <w:rFonts w:ascii="Times New Roman" w:hAnsi="Times New Roman" w:cs="Times New Roman"/>
          <w:sz w:val="24"/>
          <w:szCs w:val="24"/>
        </w:rPr>
      </w:pPr>
    </w:p>
    <w:p w14:paraId="770AD96B" w14:textId="77777777" w:rsidR="00123B14" w:rsidRPr="00DA5167" w:rsidRDefault="00123B14" w:rsidP="00D93B68">
      <w:pPr>
        <w:tabs>
          <w:tab w:val="left" w:pos="7938"/>
        </w:tabs>
        <w:spacing w:after="0" w:line="240" w:lineRule="auto"/>
        <w:contextualSpacing/>
        <w:rPr>
          <w:rFonts w:ascii="Times New Roman" w:hAnsi="Times New Roman" w:cs="Times New Roman"/>
          <w:sz w:val="24"/>
          <w:szCs w:val="24"/>
        </w:rPr>
      </w:pPr>
    </w:p>
    <w:p w14:paraId="4C50C098" w14:textId="568C618F" w:rsidR="009053FB" w:rsidRPr="00DA5167" w:rsidRDefault="00F11F4E"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Vīza:</w:t>
      </w:r>
    </w:p>
    <w:p w14:paraId="50F97596" w14:textId="6F4321E9" w:rsidR="00894C55" w:rsidRPr="00DA5167" w:rsidRDefault="00BC2435"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w:t>
      </w:r>
      <w:r w:rsidR="0006494E" w:rsidRPr="00DA5167">
        <w:rPr>
          <w:rFonts w:ascii="Times New Roman" w:hAnsi="Times New Roman" w:cs="Times New Roman"/>
          <w:sz w:val="24"/>
          <w:szCs w:val="24"/>
        </w:rPr>
        <w:t>alsts sekretārs</w:t>
      </w:r>
      <w:r w:rsidR="00894C55" w:rsidRPr="00DA5167">
        <w:rPr>
          <w:rFonts w:ascii="Times New Roman" w:hAnsi="Times New Roman" w:cs="Times New Roman"/>
          <w:sz w:val="24"/>
          <w:szCs w:val="24"/>
        </w:rPr>
        <w:tab/>
      </w:r>
      <w:r w:rsidR="0006494E" w:rsidRPr="00DA5167">
        <w:rPr>
          <w:rFonts w:ascii="Times New Roman" w:hAnsi="Times New Roman" w:cs="Times New Roman"/>
          <w:sz w:val="24"/>
          <w:szCs w:val="24"/>
        </w:rPr>
        <w:t>E. Valantis</w:t>
      </w:r>
    </w:p>
    <w:p w14:paraId="24357607" w14:textId="77777777" w:rsidR="00123B14" w:rsidRPr="00DA5167" w:rsidRDefault="00123B14" w:rsidP="00D93B68">
      <w:pPr>
        <w:tabs>
          <w:tab w:val="left" w:pos="6237"/>
        </w:tabs>
        <w:spacing w:after="0" w:line="240" w:lineRule="auto"/>
        <w:contextualSpacing/>
        <w:rPr>
          <w:rFonts w:ascii="Times New Roman" w:hAnsi="Times New Roman" w:cs="Times New Roman"/>
          <w:sz w:val="24"/>
          <w:szCs w:val="24"/>
        </w:rPr>
      </w:pPr>
    </w:p>
    <w:p w14:paraId="42D82AB1" w14:textId="77777777" w:rsidR="009053FB" w:rsidRPr="00DA5167" w:rsidRDefault="009053FB" w:rsidP="00D93B68">
      <w:pPr>
        <w:tabs>
          <w:tab w:val="left" w:pos="6237"/>
        </w:tabs>
        <w:spacing w:after="0" w:line="240" w:lineRule="auto"/>
        <w:contextualSpacing/>
        <w:rPr>
          <w:rFonts w:ascii="Times New Roman" w:hAnsi="Times New Roman" w:cs="Times New Roman"/>
          <w:sz w:val="24"/>
          <w:szCs w:val="24"/>
        </w:rPr>
      </w:pPr>
    </w:p>
    <w:p w14:paraId="02AE0366" w14:textId="77777777" w:rsidR="00DA5167" w:rsidRPr="00577D0C" w:rsidRDefault="00DA5167" w:rsidP="00DA5167">
      <w:pPr>
        <w:tabs>
          <w:tab w:val="left" w:pos="6237"/>
        </w:tabs>
        <w:spacing w:after="0" w:line="240" w:lineRule="auto"/>
        <w:contextualSpacing/>
        <w:rPr>
          <w:rFonts w:ascii="Times New Roman" w:hAnsi="Times New Roman" w:cs="Times New Roman"/>
          <w:sz w:val="20"/>
          <w:szCs w:val="20"/>
        </w:rPr>
      </w:pPr>
      <w:bookmarkStart w:id="3" w:name="_Hlk45810307"/>
      <w:r w:rsidRPr="00577D0C">
        <w:rPr>
          <w:rFonts w:ascii="Times New Roman" w:hAnsi="Times New Roman" w:cs="Times New Roman"/>
          <w:sz w:val="20"/>
          <w:szCs w:val="20"/>
        </w:rPr>
        <w:t>A.Strīķeris, 67013043</w:t>
      </w:r>
    </w:p>
    <w:p w14:paraId="68C5085D" w14:textId="77777777" w:rsidR="00DA5167" w:rsidRPr="00577D0C" w:rsidRDefault="002312EA" w:rsidP="00DA5167">
      <w:pPr>
        <w:tabs>
          <w:tab w:val="left" w:pos="6237"/>
        </w:tabs>
        <w:spacing w:after="0" w:line="240" w:lineRule="auto"/>
        <w:contextualSpacing/>
        <w:rPr>
          <w:rFonts w:ascii="Times New Roman" w:hAnsi="Times New Roman" w:cs="Times New Roman"/>
          <w:sz w:val="20"/>
          <w:szCs w:val="20"/>
        </w:rPr>
      </w:pPr>
      <w:hyperlink r:id="rId16" w:history="1">
        <w:r w:rsidR="00DA5167" w:rsidRPr="00577D0C">
          <w:rPr>
            <w:rStyle w:val="Hyperlink"/>
            <w:rFonts w:ascii="Times New Roman" w:hAnsi="Times New Roman" w:cs="Times New Roman"/>
            <w:sz w:val="20"/>
            <w:szCs w:val="20"/>
          </w:rPr>
          <w:t>Alvils.Strikeris@em.gov.lv</w:t>
        </w:r>
      </w:hyperlink>
      <w:bookmarkEnd w:id="3"/>
    </w:p>
    <w:p w14:paraId="3C277055" w14:textId="065C8E36" w:rsidR="00894C55" w:rsidRPr="00577D0C" w:rsidRDefault="00894C55" w:rsidP="00DA5167">
      <w:pPr>
        <w:tabs>
          <w:tab w:val="left" w:pos="6237"/>
        </w:tabs>
        <w:spacing w:after="0" w:line="240" w:lineRule="auto"/>
        <w:contextualSpacing/>
        <w:rPr>
          <w:rFonts w:ascii="Times New Roman" w:hAnsi="Times New Roman" w:cs="Times New Roman"/>
          <w:sz w:val="20"/>
          <w:szCs w:val="20"/>
        </w:rPr>
      </w:pPr>
    </w:p>
    <w:p w14:paraId="4E109E14" w14:textId="77777777" w:rsidR="00577D0C" w:rsidRPr="00577D0C" w:rsidRDefault="00577D0C" w:rsidP="00577D0C">
      <w:pPr>
        <w:tabs>
          <w:tab w:val="left" w:pos="6237"/>
        </w:tabs>
        <w:spacing w:after="0" w:line="240" w:lineRule="auto"/>
        <w:contextualSpacing/>
        <w:rPr>
          <w:rFonts w:ascii="Times New Roman" w:hAnsi="Times New Roman" w:cs="Times New Roman"/>
          <w:sz w:val="20"/>
          <w:szCs w:val="20"/>
        </w:rPr>
      </w:pPr>
      <w:r w:rsidRPr="00577D0C">
        <w:rPr>
          <w:rFonts w:ascii="Times New Roman" w:hAnsi="Times New Roman" w:cs="Times New Roman"/>
          <w:sz w:val="20"/>
          <w:szCs w:val="20"/>
        </w:rPr>
        <w:t>A. Neimanis, 67013249</w:t>
      </w:r>
    </w:p>
    <w:p w14:paraId="27C8667D" w14:textId="72EC1B23" w:rsidR="00577D0C" w:rsidRPr="00DA5167" w:rsidRDefault="00577D0C" w:rsidP="00DA5167">
      <w:pPr>
        <w:tabs>
          <w:tab w:val="left" w:pos="6237"/>
        </w:tabs>
        <w:spacing w:after="0" w:line="240" w:lineRule="auto"/>
        <w:contextualSpacing/>
        <w:rPr>
          <w:rFonts w:ascii="Times New Roman" w:hAnsi="Times New Roman" w:cs="Times New Roman"/>
          <w:sz w:val="24"/>
          <w:szCs w:val="24"/>
        </w:rPr>
      </w:pPr>
      <w:r w:rsidRPr="00577D0C">
        <w:rPr>
          <w:rFonts w:ascii="Times New Roman" w:hAnsi="Times New Roman" w:cs="Times New Roman"/>
          <w:sz w:val="20"/>
          <w:szCs w:val="20"/>
        </w:rPr>
        <w:t xml:space="preserve">Aivars </w:t>
      </w:r>
      <w:hyperlink r:id="rId17" w:history="1">
        <w:r w:rsidRPr="00577D0C">
          <w:rPr>
            <w:rStyle w:val="Hyperlink"/>
            <w:rFonts w:ascii="Times New Roman" w:hAnsi="Times New Roman" w:cs="Times New Roman"/>
            <w:sz w:val="20"/>
            <w:szCs w:val="20"/>
          </w:rPr>
          <w:t>Neimanis@em.gov.lv</w:t>
        </w:r>
      </w:hyperlink>
    </w:p>
    <w:sectPr w:rsidR="00577D0C" w:rsidRPr="00DA5167" w:rsidSect="003E6B73">
      <w:headerReference w:type="default" r:id="rId18"/>
      <w:footerReference w:type="default" r:id="rId19"/>
      <w:footerReference w:type="first" r:id="rId2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C008" w14:textId="77777777" w:rsidR="002312EA" w:rsidRDefault="002312EA" w:rsidP="00894C55">
      <w:pPr>
        <w:spacing w:after="0" w:line="240" w:lineRule="auto"/>
      </w:pPr>
      <w:r>
        <w:separator/>
      </w:r>
    </w:p>
  </w:endnote>
  <w:endnote w:type="continuationSeparator" w:id="0">
    <w:p w14:paraId="014AC201" w14:textId="77777777" w:rsidR="002312EA" w:rsidRDefault="002312EA" w:rsidP="00894C55">
      <w:pPr>
        <w:spacing w:after="0" w:line="240" w:lineRule="auto"/>
      </w:pPr>
      <w:r>
        <w:continuationSeparator/>
      </w:r>
    </w:p>
  </w:endnote>
  <w:endnote w:type="continuationNotice" w:id="1">
    <w:p w14:paraId="48E07D74" w14:textId="77777777" w:rsidR="002312EA" w:rsidRDefault="00231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C556" w14:textId="201CB1BC" w:rsidR="00DF2648" w:rsidRPr="008C397E" w:rsidRDefault="008C397E" w:rsidP="008C397E">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EMAnot_2020</w:t>
    </w:r>
    <w:r w:rsidR="000910DE">
      <w:rPr>
        <w:rFonts w:ascii="Times New Roman" w:hAnsi="Times New Roman" w:cs="Times New Roman"/>
        <w:noProof/>
        <w:sz w:val="20"/>
        <w:szCs w:val="20"/>
      </w:rPr>
      <w:t>_11_30</w:t>
    </w:r>
    <w:r>
      <w:rPr>
        <w:rFonts w:ascii="Times New Roman" w:hAnsi="Times New Roman" w:cs="Times New Roman"/>
        <w:noProof/>
        <w:sz w:val="20"/>
        <w:szCs w:val="20"/>
      </w:rPr>
      <w:t>_AER.docx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9805" w14:textId="531191A2" w:rsidR="00DF2648" w:rsidRPr="009F4CAC" w:rsidRDefault="00DF264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0910DE">
      <w:rPr>
        <w:rFonts w:ascii="Times New Roman" w:hAnsi="Times New Roman" w:cs="Times New Roman"/>
        <w:sz w:val="20"/>
        <w:szCs w:val="20"/>
      </w:rPr>
      <w:fldChar w:fldCharType="begin"/>
    </w:r>
    <w:r w:rsidR="000910DE">
      <w:rPr>
        <w:rFonts w:ascii="Times New Roman" w:hAnsi="Times New Roman" w:cs="Times New Roman"/>
        <w:sz w:val="20"/>
        <w:szCs w:val="20"/>
      </w:rPr>
      <w:instrText xml:space="preserve"> FILENAME   \* MERGEFORMAT </w:instrText>
    </w:r>
    <w:r w:rsidR="000910DE">
      <w:rPr>
        <w:rFonts w:ascii="Times New Roman" w:hAnsi="Times New Roman" w:cs="Times New Roman"/>
        <w:sz w:val="20"/>
        <w:szCs w:val="20"/>
      </w:rPr>
      <w:fldChar w:fldCharType="separate"/>
    </w:r>
    <w:r w:rsidR="000910DE">
      <w:rPr>
        <w:rFonts w:ascii="Times New Roman" w:hAnsi="Times New Roman" w:cs="Times New Roman"/>
        <w:noProof/>
        <w:sz w:val="20"/>
        <w:szCs w:val="20"/>
      </w:rPr>
      <w:t>EMAnot_2020_11_30_AER.docx</w:t>
    </w:r>
    <w:r w:rsidR="000910DE">
      <w:rPr>
        <w:rFonts w:ascii="Times New Roman" w:hAnsi="Times New Roman" w:cs="Times New Roman"/>
        <w:sz w:val="20"/>
        <w:szCs w:val="20"/>
      </w:rPr>
      <w:fldChar w:fldCharType="end"/>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1A9D" w14:textId="77777777" w:rsidR="002312EA" w:rsidRDefault="002312EA" w:rsidP="00894C55">
      <w:pPr>
        <w:spacing w:after="0" w:line="240" w:lineRule="auto"/>
      </w:pPr>
      <w:r>
        <w:separator/>
      </w:r>
    </w:p>
  </w:footnote>
  <w:footnote w:type="continuationSeparator" w:id="0">
    <w:p w14:paraId="6CCEBDB6" w14:textId="77777777" w:rsidR="002312EA" w:rsidRDefault="002312EA" w:rsidP="00894C55">
      <w:pPr>
        <w:spacing w:after="0" w:line="240" w:lineRule="auto"/>
      </w:pPr>
      <w:r>
        <w:continuationSeparator/>
      </w:r>
    </w:p>
  </w:footnote>
  <w:footnote w:type="continuationNotice" w:id="1">
    <w:p w14:paraId="04170444" w14:textId="77777777" w:rsidR="002312EA" w:rsidRDefault="002312EA">
      <w:pPr>
        <w:spacing w:after="0" w:line="240" w:lineRule="auto"/>
      </w:pPr>
    </w:p>
  </w:footnote>
  <w:footnote w:id="2">
    <w:p w14:paraId="778A4E9D" w14:textId="77777777" w:rsidR="00512234" w:rsidRDefault="00512234"/>
  </w:footnote>
  <w:footnote w:id="3">
    <w:p w14:paraId="272B6219" w14:textId="77777777" w:rsidR="009254A3" w:rsidRPr="00D42760" w:rsidRDefault="009254A3" w:rsidP="009254A3">
      <w:pPr>
        <w:pStyle w:val="FootnoteText"/>
        <w:rPr>
          <w:rFonts w:ascii="Times New Roman" w:hAnsi="Times New Roman" w:cs="Times New Roman"/>
        </w:rPr>
      </w:pPr>
      <w:r w:rsidRPr="00BD4882">
        <w:rPr>
          <w:rStyle w:val="FootnoteReference"/>
          <w:rFonts w:ascii="Times New Roman" w:hAnsi="Times New Roman" w:cs="Times New Roman"/>
        </w:rPr>
        <w:footnoteRef/>
      </w:r>
      <w:r w:rsidRPr="00BD4882">
        <w:rPr>
          <w:rFonts w:ascii="Times New Roman" w:hAnsi="Times New Roman" w:cs="Times New Roman"/>
          <w:szCs w:val="24"/>
        </w:rPr>
        <w:t xml:space="preserve"> Satversmes tiesas 2011.gada 3. novembra sprieduma lietā nr. 2011-05-01 15.2.apakšpunkts un 2015.gada 3.jūlija sprieduma lietā Nr. 2014-12-01 21.3.apakšpunkts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59856943"/>
      <w:docPartObj>
        <w:docPartGallery w:val="Page Numbers (Top of Page)"/>
        <w:docPartUnique/>
      </w:docPartObj>
    </w:sdtPr>
    <w:sdtEndPr>
      <w:rPr>
        <w:noProof/>
        <w:sz w:val="20"/>
        <w:szCs w:val="20"/>
      </w:rPr>
    </w:sdtEndPr>
    <w:sdtContent>
      <w:p w14:paraId="48CDC8A6" w14:textId="2B8636C7" w:rsidR="00DF2648" w:rsidRPr="00AB4359" w:rsidRDefault="00DF2648" w:rsidP="00AB4359">
        <w:pPr>
          <w:pStyle w:val="Header"/>
          <w:tabs>
            <w:tab w:val="left" w:pos="750"/>
            <w:tab w:val="center" w:pos="4535"/>
          </w:tabs>
          <w:rPr>
            <w:rFonts w:ascii="Times New Roman" w:hAnsi="Times New Roman" w:cs="Times New Roman"/>
            <w:sz w:val="20"/>
            <w:szCs w:val="20"/>
          </w:rPr>
        </w:pP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sz w:val="20"/>
            <w:szCs w:val="20"/>
          </w:rPr>
          <w:fldChar w:fldCharType="begin"/>
        </w:r>
        <w:r w:rsidRPr="00AB4359">
          <w:rPr>
            <w:rFonts w:ascii="Times New Roman" w:hAnsi="Times New Roman" w:cs="Times New Roman"/>
            <w:sz w:val="20"/>
            <w:szCs w:val="20"/>
          </w:rPr>
          <w:instrText xml:space="preserve"> PAGE   \* MERGEFORMAT </w:instrText>
        </w:r>
        <w:r w:rsidRPr="00AB4359">
          <w:rPr>
            <w:rFonts w:ascii="Times New Roman" w:hAnsi="Times New Roman" w:cs="Times New Roman"/>
            <w:sz w:val="20"/>
            <w:szCs w:val="20"/>
          </w:rPr>
          <w:fldChar w:fldCharType="separate"/>
        </w:r>
        <w:r w:rsidRPr="00AB4359">
          <w:rPr>
            <w:rFonts w:ascii="Times New Roman" w:hAnsi="Times New Roman" w:cs="Times New Roman"/>
            <w:noProof/>
            <w:sz w:val="20"/>
            <w:szCs w:val="20"/>
          </w:rPr>
          <w:t>18</w:t>
        </w:r>
        <w:r w:rsidRPr="00AB4359">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263B6"/>
    <w:multiLevelType w:val="hybridMultilevel"/>
    <w:tmpl w:val="8DF095FC"/>
    <w:lvl w:ilvl="0" w:tplc="0EDC5D24">
      <w:start w:val="1"/>
      <w:numFmt w:val="bullet"/>
      <w:lvlText w:val=""/>
      <w:lvlJc w:val="left"/>
      <w:pPr>
        <w:ind w:left="720" w:hanging="360"/>
      </w:pPr>
      <w:rPr>
        <w:rFonts w:ascii="Symbol" w:hAnsi="Symbol" w:hint="default"/>
      </w:rPr>
    </w:lvl>
    <w:lvl w:ilvl="1" w:tplc="A394F9BC" w:tentative="1">
      <w:start w:val="1"/>
      <w:numFmt w:val="bullet"/>
      <w:lvlText w:val="o"/>
      <w:lvlJc w:val="left"/>
      <w:pPr>
        <w:ind w:left="1440" w:hanging="360"/>
      </w:pPr>
      <w:rPr>
        <w:rFonts w:ascii="Courier New" w:hAnsi="Courier New" w:cs="Courier New" w:hint="default"/>
      </w:rPr>
    </w:lvl>
    <w:lvl w:ilvl="2" w:tplc="39584338" w:tentative="1">
      <w:start w:val="1"/>
      <w:numFmt w:val="bullet"/>
      <w:lvlText w:val=""/>
      <w:lvlJc w:val="left"/>
      <w:pPr>
        <w:ind w:left="2160" w:hanging="360"/>
      </w:pPr>
      <w:rPr>
        <w:rFonts w:ascii="Wingdings" w:hAnsi="Wingdings" w:hint="default"/>
      </w:rPr>
    </w:lvl>
    <w:lvl w:ilvl="3" w:tplc="37006398" w:tentative="1">
      <w:start w:val="1"/>
      <w:numFmt w:val="bullet"/>
      <w:lvlText w:val=""/>
      <w:lvlJc w:val="left"/>
      <w:pPr>
        <w:ind w:left="2880" w:hanging="360"/>
      </w:pPr>
      <w:rPr>
        <w:rFonts w:ascii="Symbol" w:hAnsi="Symbol" w:hint="default"/>
      </w:rPr>
    </w:lvl>
    <w:lvl w:ilvl="4" w:tplc="46129CEA" w:tentative="1">
      <w:start w:val="1"/>
      <w:numFmt w:val="bullet"/>
      <w:lvlText w:val="o"/>
      <w:lvlJc w:val="left"/>
      <w:pPr>
        <w:ind w:left="3600" w:hanging="360"/>
      </w:pPr>
      <w:rPr>
        <w:rFonts w:ascii="Courier New" w:hAnsi="Courier New" w:cs="Courier New" w:hint="default"/>
      </w:rPr>
    </w:lvl>
    <w:lvl w:ilvl="5" w:tplc="46E2A0EC" w:tentative="1">
      <w:start w:val="1"/>
      <w:numFmt w:val="bullet"/>
      <w:lvlText w:val=""/>
      <w:lvlJc w:val="left"/>
      <w:pPr>
        <w:ind w:left="4320" w:hanging="360"/>
      </w:pPr>
      <w:rPr>
        <w:rFonts w:ascii="Wingdings" w:hAnsi="Wingdings" w:hint="default"/>
      </w:rPr>
    </w:lvl>
    <w:lvl w:ilvl="6" w:tplc="E974B39E" w:tentative="1">
      <w:start w:val="1"/>
      <w:numFmt w:val="bullet"/>
      <w:lvlText w:val=""/>
      <w:lvlJc w:val="left"/>
      <w:pPr>
        <w:ind w:left="5040" w:hanging="360"/>
      </w:pPr>
      <w:rPr>
        <w:rFonts w:ascii="Symbol" w:hAnsi="Symbol" w:hint="default"/>
      </w:rPr>
    </w:lvl>
    <w:lvl w:ilvl="7" w:tplc="29561E74" w:tentative="1">
      <w:start w:val="1"/>
      <w:numFmt w:val="bullet"/>
      <w:lvlText w:val="o"/>
      <w:lvlJc w:val="left"/>
      <w:pPr>
        <w:ind w:left="5760" w:hanging="360"/>
      </w:pPr>
      <w:rPr>
        <w:rFonts w:ascii="Courier New" w:hAnsi="Courier New" w:cs="Courier New" w:hint="default"/>
      </w:rPr>
    </w:lvl>
    <w:lvl w:ilvl="8" w:tplc="B4B886D2" w:tentative="1">
      <w:start w:val="1"/>
      <w:numFmt w:val="bullet"/>
      <w:lvlText w:val=""/>
      <w:lvlJc w:val="left"/>
      <w:pPr>
        <w:ind w:left="6480" w:hanging="360"/>
      </w:pPr>
      <w:rPr>
        <w:rFonts w:ascii="Wingdings" w:hAnsi="Wingdings" w:hint="default"/>
      </w:rPr>
    </w:lvl>
  </w:abstractNum>
  <w:abstractNum w:abstractNumId="1" w15:restartNumberingAfterBreak="1">
    <w:nsid w:val="08486973"/>
    <w:multiLevelType w:val="hybridMultilevel"/>
    <w:tmpl w:val="5DF28E0E"/>
    <w:lvl w:ilvl="0" w:tplc="CD1E7A64">
      <w:start w:val="1"/>
      <w:numFmt w:val="decimal"/>
      <w:lvlText w:val="%1."/>
      <w:lvlJc w:val="left"/>
      <w:pPr>
        <w:ind w:left="720" w:hanging="360"/>
      </w:pPr>
      <w:rPr>
        <w:rFonts w:ascii="Times New Roman" w:hAnsi="Times New Roman" w:cs="Times New Roman" w:hint="default"/>
        <w:sz w:val="24"/>
      </w:rPr>
    </w:lvl>
    <w:lvl w:ilvl="1" w:tplc="ED1A9C2E" w:tentative="1">
      <w:start w:val="1"/>
      <w:numFmt w:val="lowerLetter"/>
      <w:lvlText w:val="%2."/>
      <w:lvlJc w:val="left"/>
      <w:pPr>
        <w:ind w:left="1440" w:hanging="360"/>
      </w:pPr>
    </w:lvl>
    <w:lvl w:ilvl="2" w:tplc="31EED3FC" w:tentative="1">
      <w:start w:val="1"/>
      <w:numFmt w:val="lowerRoman"/>
      <w:lvlText w:val="%3."/>
      <w:lvlJc w:val="right"/>
      <w:pPr>
        <w:ind w:left="2160" w:hanging="180"/>
      </w:pPr>
    </w:lvl>
    <w:lvl w:ilvl="3" w:tplc="F71457D2" w:tentative="1">
      <w:start w:val="1"/>
      <w:numFmt w:val="decimal"/>
      <w:lvlText w:val="%4."/>
      <w:lvlJc w:val="left"/>
      <w:pPr>
        <w:ind w:left="2880" w:hanging="360"/>
      </w:pPr>
    </w:lvl>
    <w:lvl w:ilvl="4" w:tplc="8A8CBDC0" w:tentative="1">
      <w:start w:val="1"/>
      <w:numFmt w:val="lowerLetter"/>
      <w:lvlText w:val="%5."/>
      <w:lvlJc w:val="left"/>
      <w:pPr>
        <w:ind w:left="3600" w:hanging="360"/>
      </w:pPr>
    </w:lvl>
    <w:lvl w:ilvl="5" w:tplc="10FE23D0" w:tentative="1">
      <w:start w:val="1"/>
      <w:numFmt w:val="lowerRoman"/>
      <w:lvlText w:val="%6."/>
      <w:lvlJc w:val="right"/>
      <w:pPr>
        <w:ind w:left="4320" w:hanging="180"/>
      </w:pPr>
    </w:lvl>
    <w:lvl w:ilvl="6" w:tplc="58983596" w:tentative="1">
      <w:start w:val="1"/>
      <w:numFmt w:val="decimal"/>
      <w:lvlText w:val="%7."/>
      <w:lvlJc w:val="left"/>
      <w:pPr>
        <w:ind w:left="5040" w:hanging="360"/>
      </w:pPr>
    </w:lvl>
    <w:lvl w:ilvl="7" w:tplc="329CD302" w:tentative="1">
      <w:start w:val="1"/>
      <w:numFmt w:val="lowerLetter"/>
      <w:lvlText w:val="%8."/>
      <w:lvlJc w:val="left"/>
      <w:pPr>
        <w:ind w:left="5760" w:hanging="360"/>
      </w:pPr>
    </w:lvl>
    <w:lvl w:ilvl="8" w:tplc="ADBED876" w:tentative="1">
      <w:start w:val="1"/>
      <w:numFmt w:val="lowerRoman"/>
      <w:lvlText w:val="%9."/>
      <w:lvlJc w:val="right"/>
      <w:pPr>
        <w:ind w:left="6480" w:hanging="180"/>
      </w:pPr>
    </w:lvl>
  </w:abstractNum>
  <w:abstractNum w:abstractNumId="2" w15:restartNumberingAfterBreak="1">
    <w:nsid w:val="0A626FC4"/>
    <w:multiLevelType w:val="hybridMultilevel"/>
    <w:tmpl w:val="17C08136"/>
    <w:lvl w:ilvl="0" w:tplc="C2A24D80">
      <w:start w:val="1"/>
      <w:numFmt w:val="bullet"/>
      <w:lvlText w:val=""/>
      <w:lvlJc w:val="left"/>
      <w:pPr>
        <w:ind w:left="720" w:hanging="360"/>
      </w:pPr>
      <w:rPr>
        <w:rFonts w:ascii="Symbol" w:hAnsi="Symbol" w:hint="default"/>
      </w:rPr>
    </w:lvl>
    <w:lvl w:ilvl="1" w:tplc="75ACA392" w:tentative="1">
      <w:start w:val="1"/>
      <w:numFmt w:val="bullet"/>
      <w:lvlText w:val="o"/>
      <w:lvlJc w:val="left"/>
      <w:pPr>
        <w:ind w:left="1440" w:hanging="360"/>
      </w:pPr>
      <w:rPr>
        <w:rFonts w:ascii="Courier New" w:hAnsi="Courier New" w:cs="Courier New" w:hint="default"/>
      </w:rPr>
    </w:lvl>
    <w:lvl w:ilvl="2" w:tplc="C840B4C4" w:tentative="1">
      <w:start w:val="1"/>
      <w:numFmt w:val="bullet"/>
      <w:lvlText w:val=""/>
      <w:lvlJc w:val="left"/>
      <w:pPr>
        <w:ind w:left="2160" w:hanging="360"/>
      </w:pPr>
      <w:rPr>
        <w:rFonts w:ascii="Wingdings" w:hAnsi="Wingdings" w:hint="default"/>
      </w:rPr>
    </w:lvl>
    <w:lvl w:ilvl="3" w:tplc="598A8952" w:tentative="1">
      <w:start w:val="1"/>
      <w:numFmt w:val="bullet"/>
      <w:lvlText w:val=""/>
      <w:lvlJc w:val="left"/>
      <w:pPr>
        <w:ind w:left="2880" w:hanging="360"/>
      </w:pPr>
      <w:rPr>
        <w:rFonts w:ascii="Symbol" w:hAnsi="Symbol" w:hint="default"/>
      </w:rPr>
    </w:lvl>
    <w:lvl w:ilvl="4" w:tplc="9B44EEB4" w:tentative="1">
      <w:start w:val="1"/>
      <w:numFmt w:val="bullet"/>
      <w:lvlText w:val="o"/>
      <w:lvlJc w:val="left"/>
      <w:pPr>
        <w:ind w:left="3600" w:hanging="360"/>
      </w:pPr>
      <w:rPr>
        <w:rFonts w:ascii="Courier New" w:hAnsi="Courier New" w:cs="Courier New" w:hint="default"/>
      </w:rPr>
    </w:lvl>
    <w:lvl w:ilvl="5" w:tplc="2084BE62" w:tentative="1">
      <w:start w:val="1"/>
      <w:numFmt w:val="bullet"/>
      <w:lvlText w:val=""/>
      <w:lvlJc w:val="left"/>
      <w:pPr>
        <w:ind w:left="4320" w:hanging="360"/>
      </w:pPr>
      <w:rPr>
        <w:rFonts w:ascii="Wingdings" w:hAnsi="Wingdings" w:hint="default"/>
      </w:rPr>
    </w:lvl>
    <w:lvl w:ilvl="6" w:tplc="4C968742" w:tentative="1">
      <w:start w:val="1"/>
      <w:numFmt w:val="bullet"/>
      <w:lvlText w:val=""/>
      <w:lvlJc w:val="left"/>
      <w:pPr>
        <w:ind w:left="5040" w:hanging="360"/>
      </w:pPr>
      <w:rPr>
        <w:rFonts w:ascii="Symbol" w:hAnsi="Symbol" w:hint="default"/>
      </w:rPr>
    </w:lvl>
    <w:lvl w:ilvl="7" w:tplc="8CA88E72" w:tentative="1">
      <w:start w:val="1"/>
      <w:numFmt w:val="bullet"/>
      <w:lvlText w:val="o"/>
      <w:lvlJc w:val="left"/>
      <w:pPr>
        <w:ind w:left="5760" w:hanging="360"/>
      </w:pPr>
      <w:rPr>
        <w:rFonts w:ascii="Courier New" w:hAnsi="Courier New" w:cs="Courier New" w:hint="default"/>
      </w:rPr>
    </w:lvl>
    <w:lvl w:ilvl="8" w:tplc="51580FE2" w:tentative="1">
      <w:start w:val="1"/>
      <w:numFmt w:val="bullet"/>
      <w:lvlText w:val=""/>
      <w:lvlJc w:val="left"/>
      <w:pPr>
        <w:ind w:left="6480" w:hanging="360"/>
      </w:pPr>
      <w:rPr>
        <w:rFonts w:ascii="Wingdings" w:hAnsi="Wingdings" w:hint="default"/>
      </w:rPr>
    </w:lvl>
  </w:abstractNum>
  <w:abstractNum w:abstractNumId="3" w15:restartNumberingAfterBreak="1">
    <w:nsid w:val="127F5849"/>
    <w:multiLevelType w:val="hybridMultilevel"/>
    <w:tmpl w:val="5B740A1C"/>
    <w:lvl w:ilvl="0" w:tplc="3F9E2358">
      <w:start w:val="1"/>
      <w:numFmt w:val="bullet"/>
      <w:lvlText w:val=""/>
      <w:lvlJc w:val="left"/>
      <w:pPr>
        <w:ind w:left="720" w:hanging="360"/>
      </w:pPr>
      <w:rPr>
        <w:rFonts w:ascii="Symbol" w:hAnsi="Symbol" w:hint="default"/>
      </w:rPr>
    </w:lvl>
    <w:lvl w:ilvl="1" w:tplc="4D4263AA" w:tentative="1">
      <w:start w:val="1"/>
      <w:numFmt w:val="bullet"/>
      <w:lvlText w:val="o"/>
      <w:lvlJc w:val="left"/>
      <w:pPr>
        <w:ind w:left="1440" w:hanging="360"/>
      </w:pPr>
      <w:rPr>
        <w:rFonts w:ascii="Courier New" w:hAnsi="Courier New" w:cs="Courier New" w:hint="default"/>
      </w:rPr>
    </w:lvl>
    <w:lvl w:ilvl="2" w:tplc="DF4E6BF4" w:tentative="1">
      <w:start w:val="1"/>
      <w:numFmt w:val="bullet"/>
      <w:lvlText w:val=""/>
      <w:lvlJc w:val="left"/>
      <w:pPr>
        <w:ind w:left="2160" w:hanging="360"/>
      </w:pPr>
      <w:rPr>
        <w:rFonts w:ascii="Wingdings" w:hAnsi="Wingdings" w:hint="default"/>
      </w:rPr>
    </w:lvl>
    <w:lvl w:ilvl="3" w:tplc="F15A9AAA" w:tentative="1">
      <w:start w:val="1"/>
      <w:numFmt w:val="bullet"/>
      <w:lvlText w:val=""/>
      <w:lvlJc w:val="left"/>
      <w:pPr>
        <w:ind w:left="2880" w:hanging="360"/>
      </w:pPr>
      <w:rPr>
        <w:rFonts w:ascii="Symbol" w:hAnsi="Symbol" w:hint="default"/>
      </w:rPr>
    </w:lvl>
    <w:lvl w:ilvl="4" w:tplc="D2A6C71A" w:tentative="1">
      <w:start w:val="1"/>
      <w:numFmt w:val="bullet"/>
      <w:lvlText w:val="o"/>
      <w:lvlJc w:val="left"/>
      <w:pPr>
        <w:ind w:left="3600" w:hanging="360"/>
      </w:pPr>
      <w:rPr>
        <w:rFonts w:ascii="Courier New" w:hAnsi="Courier New" w:cs="Courier New" w:hint="default"/>
      </w:rPr>
    </w:lvl>
    <w:lvl w:ilvl="5" w:tplc="D6B0C7A0" w:tentative="1">
      <w:start w:val="1"/>
      <w:numFmt w:val="bullet"/>
      <w:lvlText w:val=""/>
      <w:lvlJc w:val="left"/>
      <w:pPr>
        <w:ind w:left="4320" w:hanging="360"/>
      </w:pPr>
      <w:rPr>
        <w:rFonts w:ascii="Wingdings" w:hAnsi="Wingdings" w:hint="default"/>
      </w:rPr>
    </w:lvl>
    <w:lvl w:ilvl="6" w:tplc="BA946606" w:tentative="1">
      <w:start w:val="1"/>
      <w:numFmt w:val="bullet"/>
      <w:lvlText w:val=""/>
      <w:lvlJc w:val="left"/>
      <w:pPr>
        <w:ind w:left="5040" w:hanging="360"/>
      </w:pPr>
      <w:rPr>
        <w:rFonts w:ascii="Symbol" w:hAnsi="Symbol" w:hint="default"/>
      </w:rPr>
    </w:lvl>
    <w:lvl w:ilvl="7" w:tplc="502AB778" w:tentative="1">
      <w:start w:val="1"/>
      <w:numFmt w:val="bullet"/>
      <w:lvlText w:val="o"/>
      <w:lvlJc w:val="left"/>
      <w:pPr>
        <w:ind w:left="5760" w:hanging="360"/>
      </w:pPr>
      <w:rPr>
        <w:rFonts w:ascii="Courier New" w:hAnsi="Courier New" w:cs="Courier New" w:hint="default"/>
      </w:rPr>
    </w:lvl>
    <w:lvl w:ilvl="8" w:tplc="2B9AFA86" w:tentative="1">
      <w:start w:val="1"/>
      <w:numFmt w:val="bullet"/>
      <w:lvlText w:val=""/>
      <w:lvlJc w:val="left"/>
      <w:pPr>
        <w:ind w:left="6480" w:hanging="360"/>
      </w:pPr>
      <w:rPr>
        <w:rFonts w:ascii="Wingdings" w:hAnsi="Wingdings" w:hint="default"/>
      </w:rPr>
    </w:lvl>
  </w:abstractNum>
  <w:abstractNum w:abstractNumId="4" w15:restartNumberingAfterBreak="1">
    <w:nsid w:val="16823809"/>
    <w:multiLevelType w:val="hybridMultilevel"/>
    <w:tmpl w:val="CE9E2D86"/>
    <w:lvl w:ilvl="0" w:tplc="055AA440">
      <w:start w:val="1"/>
      <w:numFmt w:val="bullet"/>
      <w:lvlText w:val=""/>
      <w:lvlJc w:val="left"/>
      <w:pPr>
        <w:ind w:left="1080" w:hanging="360"/>
      </w:pPr>
      <w:rPr>
        <w:rFonts w:ascii="Symbol" w:hAnsi="Symbol" w:hint="default"/>
      </w:rPr>
    </w:lvl>
    <w:lvl w:ilvl="1" w:tplc="CB16B04E" w:tentative="1">
      <w:start w:val="1"/>
      <w:numFmt w:val="bullet"/>
      <w:lvlText w:val="o"/>
      <w:lvlJc w:val="left"/>
      <w:pPr>
        <w:ind w:left="1800" w:hanging="360"/>
      </w:pPr>
      <w:rPr>
        <w:rFonts w:ascii="Courier New" w:hAnsi="Courier New" w:cs="Courier New" w:hint="default"/>
      </w:rPr>
    </w:lvl>
    <w:lvl w:ilvl="2" w:tplc="32E84056" w:tentative="1">
      <w:start w:val="1"/>
      <w:numFmt w:val="bullet"/>
      <w:lvlText w:val=""/>
      <w:lvlJc w:val="left"/>
      <w:pPr>
        <w:ind w:left="2520" w:hanging="360"/>
      </w:pPr>
      <w:rPr>
        <w:rFonts w:ascii="Wingdings" w:hAnsi="Wingdings" w:hint="default"/>
      </w:rPr>
    </w:lvl>
    <w:lvl w:ilvl="3" w:tplc="87A2DB34" w:tentative="1">
      <w:start w:val="1"/>
      <w:numFmt w:val="bullet"/>
      <w:lvlText w:val=""/>
      <w:lvlJc w:val="left"/>
      <w:pPr>
        <w:ind w:left="3240" w:hanging="360"/>
      </w:pPr>
      <w:rPr>
        <w:rFonts w:ascii="Symbol" w:hAnsi="Symbol" w:hint="default"/>
      </w:rPr>
    </w:lvl>
    <w:lvl w:ilvl="4" w:tplc="009836C2" w:tentative="1">
      <w:start w:val="1"/>
      <w:numFmt w:val="bullet"/>
      <w:lvlText w:val="o"/>
      <w:lvlJc w:val="left"/>
      <w:pPr>
        <w:ind w:left="3960" w:hanging="360"/>
      </w:pPr>
      <w:rPr>
        <w:rFonts w:ascii="Courier New" w:hAnsi="Courier New" w:cs="Courier New" w:hint="default"/>
      </w:rPr>
    </w:lvl>
    <w:lvl w:ilvl="5" w:tplc="10D06328" w:tentative="1">
      <w:start w:val="1"/>
      <w:numFmt w:val="bullet"/>
      <w:lvlText w:val=""/>
      <w:lvlJc w:val="left"/>
      <w:pPr>
        <w:ind w:left="4680" w:hanging="360"/>
      </w:pPr>
      <w:rPr>
        <w:rFonts w:ascii="Wingdings" w:hAnsi="Wingdings" w:hint="default"/>
      </w:rPr>
    </w:lvl>
    <w:lvl w:ilvl="6" w:tplc="7482255A" w:tentative="1">
      <w:start w:val="1"/>
      <w:numFmt w:val="bullet"/>
      <w:lvlText w:val=""/>
      <w:lvlJc w:val="left"/>
      <w:pPr>
        <w:ind w:left="5400" w:hanging="360"/>
      </w:pPr>
      <w:rPr>
        <w:rFonts w:ascii="Symbol" w:hAnsi="Symbol" w:hint="default"/>
      </w:rPr>
    </w:lvl>
    <w:lvl w:ilvl="7" w:tplc="52145B8E" w:tentative="1">
      <w:start w:val="1"/>
      <w:numFmt w:val="bullet"/>
      <w:lvlText w:val="o"/>
      <w:lvlJc w:val="left"/>
      <w:pPr>
        <w:ind w:left="6120" w:hanging="360"/>
      </w:pPr>
      <w:rPr>
        <w:rFonts w:ascii="Courier New" w:hAnsi="Courier New" w:cs="Courier New" w:hint="default"/>
      </w:rPr>
    </w:lvl>
    <w:lvl w:ilvl="8" w:tplc="A8E6011A" w:tentative="1">
      <w:start w:val="1"/>
      <w:numFmt w:val="bullet"/>
      <w:lvlText w:val=""/>
      <w:lvlJc w:val="left"/>
      <w:pPr>
        <w:ind w:left="6840" w:hanging="360"/>
      </w:pPr>
      <w:rPr>
        <w:rFonts w:ascii="Wingdings" w:hAnsi="Wingdings" w:hint="default"/>
      </w:rPr>
    </w:lvl>
  </w:abstractNum>
  <w:abstractNum w:abstractNumId="5" w15:restartNumberingAfterBreak="1">
    <w:nsid w:val="1AF841A1"/>
    <w:multiLevelType w:val="hybridMultilevel"/>
    <w:tmpl w:val="E5442752"/>
    <w:lvl w:ilvl="0" w:tplc="7382B5B4">
      <w:start w:val="1"/>
      <w:numFmt w:val="decimal"/>
      <w:lvlText w:val="%1."/>
      <w:lvlJc w:val="left"/>
      <w:pPr>
        <w:ind w:left="720" w:hanging="360"/>
      </w:pPr>
      <w:rPr>
        <w:rFonts w:hint="default"/>
      </w:rPr>
    </w:lvl>
    <w:lvl w:ilvl="1" w:tplc="32DA5DD4" w:tentative="1">
      <w:start w:val="1"/>
      <w:numFmt w:val="lowerLetter"/>
      <w:lvlText w:val="%2."/>
      <w:lvlJc w:val="left"/>
      <w:pPr>
        <w:ind w:left="1440" w:hanging="360"/>
      </w:pPr>
    </w:lvl>
    <w:lvl w:ilvl="2" w:tplc="F622085E" w:tentative="1">
      <w:start w:val="1"/>
      <w:numFmt w:val="lowerRoman"/>
      <w:lvlText w:val="%3."/>
      <w:lvlJc w:val="right"/>
      <w:pPr>
        <w:ind w:left="2160" w:hanging="180"/>
      </w:pPr>
    </w:lvl>
    <w:lvl w:ilvl="3" w:tplc="7EE6E4B4" w:tentative="1">
      <w:start w:val="1"/>
      <w:numFmt w:val="decimal"/>
      <w:lvlText w:val="%4."/>
      <w:lvlJc w:val="left"/>
      <w:pPr>
        <w:ind w:left="2880" w:hanging="360"/>
      </w:pPr>
    </w:lvl>
    <w:lvl w:ilvl="4" w:tplc="5E5C756C" w:tentative="1">
      <w:start w:val="1"/>
      <w:numFmt w:val="lowerLetter"/>
      <w:lvlText w:val="%5."/>
      <w:lvlJc w:val="left"/>
      <w:pPr>
        <w:ind w:left="3600" w:hanging="360"/>
      </w:pPr>
    </w:lvl>
    <w:lvl w:ilvl="5" w:tplc="0DCA4574" w:tentative="1">
      <w:start w:val="1"/>
      <w:numFmt w:val="lowerRoman"/>
      <w:lvlText w:val="%6."/>
      <w:lvlJc w:val="right"/>
      <w:pPr>
        <w:ind w:left="4320" w:hanging="180"/>
      </w:pPr>
    </w:lvl>
    <w:lvl w:ilvl="6" w:tplc="E8E40E22" w:tentative="1">
      <w:start w:val="1"/>
      <w:numFmt w:val="decimal"/>
      <w:lvlText w:val="%7."/>
      <w:lvlJc w:val="left"/>
      <w:pPr>
        <w:ind w:left="5040" w:hanging="360"/>
      </w:pPr>
    </w:lvl>
    <w:lvl w:ilvl="7" w:tplc="79BA7190" w:tentative="1">
      <w:start w:val="1"/>
      <w:numFmt w:val="lowerLetter"/>
      <w:lvlText w:val="%8."/>
      <w:lvlJc w:val="left"/>
      <w:pPr>
        <w:ind w:left="5760" w:hanging="360"/>
      </w:pPr>
    </w:lvl>
    <w:lvl w:ilvl="8" w:tplc="0A46A120" w:tentative="1">
      <w:start w:val="1"/>
      <w:numFmt w:val="lowerRoman"/>
      <w:lvlText w:val="%9."/>
      <w:lvlJc w:val="right"/>
      <w:pPr>
        <w:ind w:left="6480" w:hanging="180"/>
      </w:pPr>
    </w:lvl>
  </w:abstractNum>
  <w:abstractNum w:abstractNumId="6" w15:restartNumberingAfterBreak="1">
    <w:nsid w:val="1CF92E76"/>
    <w:multiLevelType w:val="hybridMultilevel"/>
    <w:tmpl w:val="D43A5F60"/>
    <w:lvl w:ilvl="0" w:tplc="CC5808B0">
      <w:start w:val="1"/>
      <w:numFmt w:val="bullet"/>
      <w:lvlText w:val=""/>
      <w:lvlJc w:val="left"/>
      <w:pPr>
        <w:ind w:left="720" w:hanging="360"/>
      </w:pPr>
      <w:rPr>
        <w:rFonts w:ascii="Symbol" w:hAnsi="Symbol" w:hint="default"/>
      </w:rPr>
    </w:lvl>
    <w:lvl w:ilvl="1" w:tplc="814A79B8" w:tentative="1">
      <w:start w:val="1"/>
      <w:numFmt w:val="bullet"/>
      <w:lvlText w:val="o"/>
      <w:lvlJc w:val="left"/>
      <w:pPr>
        <w:ind w:left="1440" w:hanging="360"/>
      </w:pPr>
      <w:rPr>
        <w:rFonts w:ascii="Courier New" w:hAnsi="Courier New" w:cs="Courier New" w:hint="default"/>
      </w:rPr>
    </w:lvl>
    <w:lvl w:ilvl="2" w:tplc="0EE4831A" w:tentative="1">
      <w:start w:val="1"/>
      <w:numFmt w:val="bullet"/>
      <w:lvlText w:val=""/>
      <w:lvlJc w:val="left"/>
      <w:pPr>
        <w:ind w:left="2160" w:hanging="360"/>
      </w:pPr>
      <w:rPr>
        <w:rFonts w:ascii="Wingdings" w:hAnsi="Wingdings" w:hint="default"/>
      </w:rPr>
    </w:lvl>
    <w:lvl w:ilvl="3" w:tplc="166474CA" w:tentative="1">
      <w:start w:val="1"/>
      <w:numFmt w:val="bullet"/>
      <w:lvlText w:val=""/>
      <w:lvlJc w:val="left"/>
      <w:pPr>
        <w:ind w:left="2880" w:hanging="360"/>
      </w:pPr>
      <w:rPr>
        <w:rFonts w:ascii="Symbol" w:hAnsi="Symbol" w:hint="default"/>
      </w:rPr>
    </w:lvl>
    <w:lvl w:ilvl="4" w:tplc="CDE2FF1E" w:tentative="1">
      <w:start w:val="1"/>
      <w:numFmt w:val="bullet"/>
      <w:lvlText w:val="o"/>
      <w:lvlJc w:val="left"/>
      <w:pPr>
        <w:ind w:left="3600" w:hanging="360"/>
      </w:pPr>
      <w:rPr>
        <w:rFonts w:ascii="Courier New" w:hAnsi="Courier New" w:cs="Courier New" w:hint="default"/>
      </w:rPr>
    </w:lvl>
    <w:lvl w:ilvl="5" w:tplc="E6FE5D30" w:tentative="1">
      <w:start w:val="1"/>
      <w:numFmt w:val="bullet"/>
      <w:lvlText w:val=""/>
      <w:lvlJc w:val="left"/>
      <w:pPr>
        <w:ind w:left="4320" w:hanging="360"/>
      </w:pPr>
      <w:rPr>
        <w:rFonts w:ascii="Wingdings" w:hAnsi="Wingdings" w:hint="default"/>
      </w:rPr>
    </w:lvl>
    <w:lvl w:ilvl="6" w:tplc="750E2B9E" w:tentative="1">
      <w:start w:val="1"/>
      <w:numFmt w:val="bullet"/>
      <w:lvlText w:val=""/>
      <w:lvlJc w:val="left"/>
      <w:pPr>
        <w:ind w:left="5040" w:hanging="360"/>
      </w:pPr>
      <w:rPr>
        <w:rFonts w:ascii="Symbol" w:hAnsi="Symbol" w:hint="default"/>
      </w:rPr>
    </w:lvl>
    <w:lvl w:ilvl="7" w:tplc="C1F21C4C" w:tentative="1">
      <w:start w:val="1"/>
      <w:numFmt w:val="bullet"/>
      <w:lvlText w:val="o"/>
      <w:lvlJc w:val="left"/>
      <w:pPr>
        <w:ind w:left="5760" w:hanging="360"/>
      </w:pPr>
      <w:rPr>
        <w:rFonts w:ascii="Courier New" w:hAnsi="Courier New" w:cs="Courier New" w:hint="default"/>
      </w:rPr>
    </w:lvl>
    <w:lvl w:ilvl="8" w:tplc="0398305E" w:tentative="1">
      <w:start w:val="1"/>
      <w:numFmt w:val="bullet"/>
      <w:lvlText w:val=""/>
      <w:lvlJc w:val="left"/>
      <w:pPr>
        <w:ind w:left="6480" w:hanging="360"/>
      </w:pPr>
      <w:rPr>
        <w:rFonts w:ascii="Wingdings" w:hAnsi="Wingdings" w:hint="default"/>
      </w:rPr>
    </w:lvl>
  </w:abstractNum>
  <w:abstractNum w:abstractNumId="7" w15:restartNumberingAfterBreak="0">
    <w:nsid w:val="1E0E25D8"/>
    <w:multiLevelType w:val="hybridMultilevel"/>
    <w:tmpl w:val="4CDCE4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414881"/>
    <w:multiLevelType w:val="hybridMultilevel"/>
    <w:tmpl w:val="77DEEBA2"/>
    <w:lvl w:ilvl="0" w:tplc="F712161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1">
    <w:nsid w:val="23F80F6F"/>
    <w:multiLevelType w:val="hybridMultilevel"/>
    <w:tmpl w:val="7F8A5234"/>
    <w:lvl w:ilvl="0" w:tplc="58EE2336">
      <w:start w:val="1"/>
      <w:numFmt w:val="decimal"/>
      <w:lvlText w:val="%1."/>
      <w:lvlJc w:val="left"/>
      <w:pPr>
        <w:ind w:left="720" w:hanging="360"/>
      </w:pPr>
      <w:rPr>
        <w:rFonts w:hint="default"/>
      </w:rPr>
    </w:lvl>
    <w:lvl w:ilvl="1" w:tplc="37E01514" w:tentative="1">
      <w:start w:val="1"/>
      <w:numFmt w:val="lowerLetter"/>
      <w:lvlText w:val="%2."/>
      <w:lvlJc w:val="left"/>
      <w:pPr>
        <w:ind w:left="1440" w:hanging="360"/>
      </w:pPr>
    </w:lvl>
    <w:lvl w:ilvl="2" w:tplc="27DCABF6" w:tentative="1">
      <w:start w:val="1"/>
      <w:numFmt w:val="lowerRoman"/>
      <w:lvlText w:val="%3."/>
      <w:lvlJc w:val="right"/>
      <w:pPr>
        <w:ind w:left="2160" w:hanging="180"/>
      </w:pPr>
    </w:lvl>
    <w:lvl w:ilvl="3" w:tplc="6D26D752" w:tentative="1">
      <w:start w:val="1"/>
      <w:numFmt w:val="decimal"/>
      <w:lvlText w:val="%4."/>
      <w:lvlJc w:val="left"/>
      <w:pPr>
        <w:ind w:left="2880" w:hanging="360"/>
      </w:pPr>
    </w:lvl>
    <w:lvl w:ilvl="4" w:tplc="01EC2F0A" w:tentative="1">
      <w:start w:val="1"/>
      <w:numFmt w:val="lowerLetter"/>
      <w:lvlText w:val="%5."/>
      <w:lvlJc w:val="left"/>
      <w:pPr>
        <w:ind w:left="3600" w:hanging="360"/>
      </w:pPr>
    </w:lvl>
    <w:lvl w:ilvl="5" w:tplc="21E6E2D4" w:tentative="1">
      <w:start w:val="1"/>
      <w:numFmt w:val="lowerRoman"/>
      <w:lvlText w:val="%6."/>
      <w:lvlJc w:val="right"/>
      <w:pPr>
        <w:ind w:left="4320" w:hanging="180"/>
      </w:pPr>
    </w:lvl>
    <w:lvl w:ilvl="6" w:tplc="9A2E6EAC" w:tentative="1">
      <w:start w:val="1"/>
      <w:numFmt w:val="decimal"/>
      <w:lvlText w:val="%7."/>
      <w:lvlJc w:val="left"/>
      <w:pPr>
        <w:ind w:left="5040" w:hanging="360"/>
      </w:pPr>
    </w:lvl>
    <w:lvl w:ilvl="7" w:tplc="4E662058" w:tentative="1">
      <w:start w:val="1"/>
      <w:numFmt w:val="lowerLetter"/>
      <w:lvlText w:val="%8."/>
      <w:lvlJc w:val="left"/>
      <w:pPr>
        <w:ind w:left="5760" w:hanging="360"/>
      </w:pPr>
    </w:lvl>
    <w:lvl w:ilvl="8" w:tplc="4B127A9E" w:tentative="1">
      <w:start w:val="1"/>
      <w:numFmt w:val="lowerRoman"/>
      <w:lvlText w:val="%9."/>
      <w:lvlJc w:val="right"/>
      <w:pPr>
        <w:ind w:left="6480" w:hanging="180"/>
      </w:pPr>
    </w:lvl>
  </w:abstractNum>
  <w:abstractNum w:abstractNumId="10"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6D1981"/>
    <w:multiLevelType w:val="multilevel"/>
    <w:tmpl w:val="60BEB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1">
    <w:nsid w:val="429D46BE"/>
    <w:multiLevelType w:val="hybridMultilevel"/>
    <w:tmpl w:val="37ECEB38"/>
    <w:lvl w:ilvl="0" w:tplc="D5A6F4A2">
      <w:start w:val="1"/>
      <w:numFmt w:val="bullet"/>
      <w:lvlText w:val=""/>
      <w:lvlJc w:val="left"/>
      <w:pPr>
        <w:ind w:left="1080" w:hanging="360"/>
      </w:pPr>
      <w:rPr>
        <w:rFonts w:ascii="Symbol" w:hAnsi="Symbol" w:hint="default"/>
      </w:rPr>
    </w:lvl>
    <w:lvl w:ilvl="1" w:tplc="723CDBB4" w:tentative="1">
      <w:start w:val="1"/>
      <w:numFmt w:val="bullet"/>
      <w:lvlText w:val="o"/>
      <w:lvlJc w:val="left"/>
      <w:pPr>
        <w:ind w:left="1800" w:hanging="360"/>
      </w:pPr>
      <w:rPr>
        <w:rFonts w:ascii="Courier New" w:hAnsi="Courier New" w:cs="Courier New" w:hint="default"/>
      </w:rPr>
    </w:lvl>
    <w:lvl w:ilvl="2" w:tplc="2F1233C0" w:tentative="1">
      <w:start w:val="1"/>
      <w:numFmt w:val="bullet"/>
      <w:lvlText w:val=""/>
      <w:lvlJc w:val="left"/>
      <w:pPr>
        <w:ind w:left="2520" w:hanging="360"/>
      </w:pPr>
      <w:rPr>
        <w:rFonts w:ascii="Wingdings" w:hAnsi="Wingdings" w:hint="default"/>
      </w:rPr>
    </w:lvl>
    <w:lvl w:ilvl="3" w:tplc="A0488802" w:tentative="1">
      <w:start w:val="1"/>
      <w:numFmt w:val="bullet"/>
      <w:lvlText w:val=""/>
      <w:lvlJc w:val="left"/>
      <w:pPr>
        <w:ind w:left="3240" w:hanging="360"/>
      </w:pPr>
      <w:rPr>
        <w:rFonts w:ascii="Symbol" w:hAnsi="Symbol" w:hint="default"/>
      </w:rPr>
    </w:lvl>
    <w:lvl w:ilvl="4" w:tplc="174AD972" w:tentative="1">
      <w:start w:val="1"/>
      <w:numFmt w:val="bullet"/>
      <w:lvlText w:val="o"/>
      <w:lvlJc w:val="left"/>
      <w:pPr>
        <w:ind w:left="3960" w:hanging="360"/>
      </w:pPr>
      <w:rPr>
        <w:rFonts w:ascii="Courier New" w:hAnsi="Courier New" w:cs="Courier New" w:hint="default"/>
      </w:rPr>
    </w:lvl>
    <w:lvl w:ilvl="5" w:tplc="A5AC5476" w:tentative="1">
      <w:start w:val="1"/>
      <w:numFmt w:val="bullet"/>
      <w:lvlText w:val=""/>
      <w:lvlJc w:val="left"/>
      <w:pPr>
        <w:ind w:left="4680" w:hanging="360"/>
      </w:pPr>
      <w:rPr>
        <w:rFonts w:ascii="Wingdings" w:hAnsi="Wingdings" w:hint="default"/>
      </w:rPr>
    </w:lvl>
    <w:lvl w:ilvl="6" w:tplc="BA48FBEA" w:tentative="1">
      <w:start w:val="1"/>
      <w:numFmt w:val="bullet"/>
      <w:lvlText w:val=""/>
      <w:lvlJc w:val="left"/>
      <w:pPr>
        <w:ind w:left="5400" w:hanging="360"/>
      </w:pPr>
      <w:rPr>
        <w:rFonts w:ascii="Symbol" w:hAnsi="Symbol" w:hint="default"/>
      </w:rPr>
    </w:lvl>
    <w:lvl w:ilvl="7" w:tplc="D24C5148" w:tentative="1">
      <w:start w:val="1"/>
      <w:numFmt w:val="bullet"/>
      <w:lvlText w:val="o"/>
      <w:lvlJc w:val="left"/>
      <w:pPr>
        <w:ind w:left="6120" w:hanging="360"/>
      </w:pPr>
      <w:rPr>
        <w:rFonts w:ascii="Courier New" w:hAnsi="Courier New" w:cs="Courier New" w:hint="default"/>
      </w:rPr>
    </w:lvl>
    <w:lvl w:ilvl="8" w:tplc="CF50CBA2" w:tentative="1">
      <w:start w:val="1"/>
      <w:numFmt w:val="bullet"/>
      <w:lvlText w:val=""/>
      <w:lvlJc w:val="left"/>
      <w:pPr>
        <w:ind w:left="6840" w:hanging="360"/>
      </w:pPr>
      <w:rPr>
        <w:rFonts w:ascii="Wingdings" w:hAnsi="Wingdings" w:hint="default"/>
      </w:rPr>
    </w:lvl>
  </w:abstractNum>
  <w:abstractNum w:abstractNumId="13" w15:restartNumberingAfterBreak="1">
    <w:nsid w:val="455C2338"/>
    <w:multiLevelType w:val="hybridMultilevel"/>
    <w:tmpl w:val="8BBC1452"/>
    <w:lvl w:ilvl="0" w:tplc="702A57F6">
      <w:start w:val="1"/>
      <w:numFmt w:val="decimal"/>
      <w:lvlText w:val="%1."/>
      <w:lvlJc w:val="left"/>
      <w:pPr>
        <w:ind w:left="720" w:hanging="360"/>
      </w:pPr>
      <w:rPr>
        <w:rFonts w:hint="default"/>
      </w:rPr>
    </w:lvl>
    <w:lvl w:ilvl="1" w:tplc="FF88CBFC" w:tentative="1">
      <w:start w:val="1"/>
      <w:numFmt w:val="lowerLetter"/>
      <w:lvlText w:val="%2."/>
      <w:lvlJc w:val="left"/>
      <w:pPr>
        <w:ind w:left="1440" w:hanging="360"/>
      </w:pPr>
    </w:lvl>
    <w:lvl w:ilvl="2" w:tplc="1B724AFC" w:tentative="1">
      <w:start w:val="1"/>
      <w:numFmt w:val="lowerRoman"/>
      <w:lvlText w:val="%3."/>
      <w:lvlJc w:val="right"/>
      <w:pPr>
        <w:ind w:left="2160" w:hanging="180"/>
      </w:pPr>
    </w:lvl>
    <w:lvl w:ilvl="3" w:tplc="2EF01FD6" w:tentative="1">
      <w:start w:val="1"/>
      <w:numFmt w:val="decimal"/>
      <w:lvlText w:val="%4."/>
      <w:lvlJc w:val="left"/>
      <w:pPr>
        <w:ind w:left="2880" w:hanging="360"/>
      </w:pPr>
    </w:lvl>
    <w:lvl w:ilvl="4" w:tplc="BDD63420" w:tentative="1">
      <w:start w:val="1"/>
      <w:numFmt w:val="lowerLetter"/>
      <w:lvlText w:val="%5."/>
      <w:lvlJc w:val="left"/>
      <w:pPr>
        <w:ind w:left="3600" w:hanging="360"/>
      </w:pPr>
    </w:lvl>
    <w:lvl w:ilvl="5" w:tplc="0E380166" w:tentative="1">
      <w:start w:val="1"/>
      <w:numFmt w:val="lowerRoman"/>
      <w:lvlText w:val="%6."/>
      <w:lvlJc w:val="right"/>
      <w:pPr>
        <w:ind w:left="4320" w:hanging="180"/>
      </w:pPr>
    </w:lvl>
    <w:lvl w:ilvl="6" w:tplc="1278089C" w:tentative="1">
      <w:start w:val="1"/>
      <w:numFmt w:val="decimal"/>
      <w:lvlText w:val="%7."/>
      <w:lvlJc w:val="left"/>
      <w:pPr>
        <w:ind w:left="5040" w:hanging="360"/>
      </w:pPr>
    </w:lvl>
    <w:lvl w:ilvl="7" w:tplc="92F662E0" w:tentative="1">
      <w:start w:val="1"/>
      <w:numFmt w:val="lowerLetter"/>
      <w:lvlText w:val="%8."/>
      <w:lvlJc w:val="left"/>
      <w:pPr>
        <w:ind w:left="5760" w:hanging="360"/>
      </w:pPr>
    </w:lvl>
    <w:lvl w:ilvl="8" w:tplc="92BCA212" w:tentative="1">
      <w:start w:val="1"/>
      <w:numFmt w:val="lowerRoman"/>
      <w:lvlText w:val="%9."/>
      <w:lvlJc w:val="right"/>
      <w:pPr>
        <w:ind w:left="6480" w:hanging="180"/>
      </w:pPr>
    </w:lvl>
  </w:abstractNum>
  <w:abstractNum w:abstractNumId="14" w15:restartNumberingAfterBreak="0">
    <w:nsid w:val="468946C8"/>
    <w:multiLevelType w:val="hybridMultilevel"/>
    <w:tmpl w:val="437E83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D4BCD5E8">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1">
    <w:nsid w:val="54D546E2"/>
    <w:multiLevelType w:val="hybridMultilevel"/>
    <w:tmpl w:val="A42E2092"/>
    <w:lvl w:ilvl="0" w:tplc="19D21204">
      <w:start w:val="1"/>
      <w:numFmt w:val="decimal"/>
      <w:lvlText w:val="%1."/>
      <w:lvlJc w:val="left"/>
      <w:pPr>
        <w:ind w:left="720" w:hanging="360"/>
      </w:pPr>
      <w:rPr>
        <w:rFonts w:hint="default"/>
      </w:rPr>
    </w:lvl>
    <w:lvl w:ilvl="1" w:tplc="7370F4DC" w:tentative="1">
      <w:start w:val="1"/>
      <w:numFmt w:val="lowerLetter"/>
      <w:lvlText w:val="%2."/>
      <w:lvlJc w:val="left"/>
      <w:pPr>
        <w:ind w:left="1440" w:hanging="360"/>
      </w:pPr>
    </w:lvl>
    <w:lvl w:ilvl="2" w:tplc="681C729C" w:tentative="1">
      <w:start w:val="1"/>
      <w:numFmt w:val="lowerRoman"/>
      <w:lvlText w:val="%3."/>
      <w:lvlJc w:val="right"/>
      <w:pPr>
        <w:ind w:left="2160" w:hanging="180"/>
      </w:pPr>
    </w:lvl>
    <w:lvl w:ilvl="3" w:tplc="6C22EBFC" w:tentative="1">
      <w:start w:val="1"/>
      <w:numFmt w:val="decimal"/>
      <w:lvlText w:val="%4."/>
      <w:lvlJc w:val="left"/>
      <w:pPr>
        <w:ind w:left="2880" w:hanging="360"/>
      </w:pPr>
    </w:lvl>
    <w:lvl w:ilvl="4" w:tplc="EBA48716" w:tentative="1">
      <w:start w:val="1"/>
      <w:numFmt w:val="lowerLetter"/>
      <w:lvlText w:val="%5."/>
      <w:lvlJc w:val="left"/>
      <w:pPr>
        <w:ind w:left="3600" w:hanging="360"/>
      </w:pPr>
    </w:lvl>
    <w:lvl w:ilvl="5" w:tplc="C7907E8A" w:tentative="1">
      <w:start w:val="1"/>
      <w:numFmt w:val="lowerRoman"/>
      <w:lvlText w:val="%6."/>
      <w:lvlJc w:val="right"/>
      <w:pPr>
        <w:ind w:left="4320" w:hanging="180"/>
      </w:pPr>
    </w:lvl>
    <w:lvl w:ilvl="6" w:tplc="159084C4" w:tentative="1">
      <w:start w:val="1"/>
      <w:numFmt w:val="decimal"/>
      <w:lvlText w:val="%7."/>
      <w:lvlJc w:val="left"/>
      <w:pPr>
        <w:ind w:left="5040" w:hanging="360"/>
      </w:pPr>
    </w:lvl>
    <w:lvl w:ilvl="7" w:tplc="B4F00FFC" w:tentative="1">
      <w:start w:val="1"/>
      <w:numFmt w:val="lowerLetter"/>
      <w:lvlText w:val="%8."/>
      <w:lvlJc w:val="left"/>
      <w:pPr>
        <w:ind w:left="5760" w:hanging="360"/>
      </w:pPr>
    </w:lvl>
    <w:lvl w:ilvl="8" w:tplc="72B4CA3E" w:tentative="1">
      <w:start w:val="1"/>
      <w:numFmt w:val="lowerRoman"/>
      <w:lvlText w:val="%9."/>
      <w:lvlJc w:val="right"/>
      <w:pPr>
        <w:ind w:left="6480" w:hanging="180"/>
      </w:pPr>
    </w:lvl>
  </w:abstractNum>
  <w:abstractNum w:abstractNumId="16" w15:restartNumberingAfterBreak="1">
    <w:nsid w:val="56053911"/>
    <w:multiLevelType w:val="hybridMultilevel"/>
    <w:tmpl w:val="40B2449C"/>
    <w:lvl w:ilvl="0" w:tplc="BF4A2C20">
      <w:start w:val="1"/>
      <w:numFmt w:val="decimal"/>
      <w:lvlText w:val="%1."/>
      <w:lvlJc w:val="left"/>
      <w:pPr>
        <w:ind w:left="720" w:hanging="360"/>
      </w:pPr>
      <w:rPr>
        <w:rFonts w:hint="default"/>
      </w:rPr>
    </w:lvl>
    <w:lvl w:ilvl="1" w:tplc="1E10B736" w:tentative="1">
      <w:start w:val="1"/>
      <w:numFmt w:val="lowerLetter"/>
      <w:lvlText w:val="%2."/>
      <w:lvlJc w:val="left"/>
      <w:pPr>
        <w:ind w:left="1440" w:hanging="360"/>
      </w:pPr>
    </w:lvl>
    <w:lvl w:ilvl="2" w:tplc="3D44D300" w:tentative="1">
      <w:start w:val="1"/>
      <w:numFmt w:val="lowerRoman"/>
      <w:lvlText w:val="%3."/>
      <w:lvlJc w:val="right"/>
      <w:pPr>
        <w:ind w:left="2160" w:hanging="180"/>
      </w:pPr>
    </w:lvl>
    <w:lvl w:ilvl="3" w:tplc="4C920EC8" w:tentative="1">
      <w:start w:val="1"/>
      <w:numFmt w:val="decimal"/>
      <w:lvlText w:val="%4."/>
      <w:lvlJc w:val="left"/>
      <w:pPr>
        <w:ind w:left="2880" w:hanging="360"/>
      </w:pPr>
    </w:lvl>
    <w:lvl w:ilvl="4" w:tplc="6EF64BB4" w:tentative="1">
      <w:start w:val="1"/>
      <w:numFmt w:val="lowerLetter"/>
      <w:lvlText w:val="%5."/>
      <w:lvlJc w:val="left"/>
      <w:pPr>
        <w:ind w:left="3600" w:hanging="360"/>
      </w:pPr>
    </w:lvl>
    <w:lvl w:ilvl="5" w:tplc="98629528" w:tentative="1">
      <w:start w:val="1"/>
      <w:numFmt w:val="lowerRoman"/>
      <w:lvlText w:val="%6."/>
      <w:lvlJc w:val="right"/>
      <w:pPr>
        <w:ind w:left="4320" w:hanging="180"/>
      </w:pPr>
    </w:lvl>
    <w:lvl w:ilvl="6" w:tplc="ACFE0012" w:tentative="1">
      <w:start w:val="1"/>
      <w:numFmt w:val="decimal"/>
      <w:lvlText w:val="%7."/>
      <w:lvlJc w:val="left"/>
      <w:pPr>
        <w:ind w:left="5040" w:hanging="360"/>
      </w:pPr>
    </w:lvl>
    <w:lvl w:ilvl="7" w:tplc="2D543962" w:tentative="1">
      <w:start w:val="1"/>
      <w:numFmt w:val="lowerLetter"/>
      <w:lvlText w:val="%8."/>
      <w:lvlJc w:val="left"/>
      <w:pPr>
        <w:ind w:left="5760" w:hanging="360"/>
      </w:pPr>
    </w:lvl>
    <w:lvl w:ilvl="8" w:tplc="D1BA8BA0" w:tentative="1">
      <w:start w:val="1"/>
      <w:numFmt w:val="lowerRoman"/>
      <w:lvlText w:val="%9."/>
      <w:lvlJc w:val="right"/>
      <w:pPr>
        <w:ind w:left="6480" w:hanging="180"/>
      </w:pPr>
    </w:lvl>
  </w:abstractNum>
  <w:abstractNum w:abstractNumId="17" w15:restartNumberingAfterBreak="0">
    <w:nsid w:val="566368B1"/>
    <w:multiLevelType w:val="hybridMultilevel"/>
    <w:tmpl w:val="5968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6ED0C5C"/>
    <w:multiLevelType w:val="hybridMultilevel"/>
    <w:tmpl w:val="14BE0590"/>
    <w:lvl w:ilvl="0" w:tplc="F34A25A0">
      <w:start w:val="1"/>
      <w:numFmt w:val="decimal"/>
      <w:lvlText w:val="%1)"/>
      <w:lvlJc w:val="left"/>
      <w:pPr>
        <w:ind w:left="720" w:hanging="360"/>
      </w:pPr>
      <w:rPr>
        <w:rFonts w:hint="default"/>
      </w:rPr>
    </w:lvl>
    <w:lvl w:ilvl="1" w:tplc="ADD69014" w:tentative="1">
      <w:start w:val="1"/>
      <w:numFmt w:val="lowerLetter"/>
      <w:lvlText w:val="%2."/>
      <w:lvlJc w:val="left"/>
      <w:pPr>
        <w:ind w:left="1440" w:hanging="360"/>
      </w:pPr>
    </w:lvl>
    <w:lvl w:ilvl="2" w:tplc="ED3EF420" w:tentative="1">
      <w:start w:val="1"/>
      <w:numFmt w:val="lowerRoman"/>
      <w:lvlText w:val="%3."/>
      <w:lvlJc w:val="right"/>
      <w:pPr>
        <w:ind w:left="2160" w:hanging="180"/>
      </w:pPr>
    </w:lvl>
    <w:lvl w:ilvl="3" w:tplc="1848DD2A" w:tentative="1">
      <w:start w:val="1"/>
      <w:numFmt w:val="decimal"/>
      <w:lvlText w:val="%4."/>
      <w:lvlJc w:val="left"/>
      <w:pPr>
        <w:ind w:left="2880" w:hanging="360"/>
      </w:pPr>
    </w:lvl>
    <w:lvl w:ilvl="4" w:tplc="181E8114" w:tentative="1">
      <w:start w:val="1"/>
      <w:numFmt w:val="lowerLetter"/>
      <w:lvlText w:val="%5."/>
      <w:lvlJc w:val="left"/>
      <w:pPr>
        <w:ind w:left="3600" w:hanging="360"/>
      </w:pPr>
    </w:lvl>
    <w:lvl w:ilvl="5" w:tplc="5BA8A478" w:tentative="1">
      <w:start w:val="1"/>
      <w:numFmt w:val="lowerRoman"/>
      <w:lvlText w:val="%6."/>
      <w:lvlJc w:val="right"/>
      <w:pPr>
        <w:ind w:left="4320" w:hanging="180"/>
      </w:pPr>
    </w:lvl>
    <w:lvl w:ilvl="6" w:tplc="15BE7482" w:tentative="1">
      <w:start w:val="1"/>
      <w:numFmt w:val="decimal"/>
      <w:lvlText w:val="%7."/>
      <w:lvlJc w:val="left"/>
      <w:pPr>
        <w:ind w:left="5040" w:hanging="360"/>
      </w:pPr>
    </w:lvl>
    <w:lvl w:ilvl="7" w:tplc="2B5A88D6" w:tentative="1">
      <w:start w:val="1"/>
      <w:numFmt w:val="lowerLetter"/>
      <w:lvlText w:val="%8."/>
      <w:lvlJc w:val="left"/>
      <w:pPr>
        <w:ind w:left="5760" w:hanging="360"/>
      </w:pPr>
    </w:lvl>
    <w:lvl w:ilvl="8" w:tplc="01906B80" w:tentative="1">
      <w:start w:val="1"/>
      <w:numFmt w:val="lowerRoman"/>
      <w:lvlText w:val="%9."/>
      <w:lvlJc w:val="right"/>
      <w:pPr>
        <w:ind w:left="6480" w:hanging="180"/>
      </w:pPr>
    </w:lvl>
  </w:abstractNum>
  <w:abstractNum w:abstractNumId="19" w15:restartNumberingAfterBreak="0">
    <w:nsid w:val="57B45AB9"/>
    <w:multiLevelType w:val="hybridMultilevel"/>
    <w:tmpl w:val="DAA8F4FA"/>
    <w:lvl w:ilvl="0" w:tplc="C33C84B6">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6BB67882"/>
    <w:multiLevelType w:val="hybridMultilevel"/>
    <w:tmpl w:val="AB6499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66310C9"/>
    <w:multiLevelType w:val="hybridMultilevel"/>
    <w:tmpl w:val="607A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85798"/>
    <w:multiLevelType w:val="multilevel"/>
    <w:tmpl w:val="49A6E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1">
    <w:nsid w:val="7F6353F1"/>
    <w:multiLevelType w:val="hybridMultilevel"/>
    <w:tmpl w:val="F8CC2F30"/>
    <w:lvl w:ilvl="0" w:tplc="2FD4528C">
      <w:start w:val="1"/>
      <w:numFmt w:val="bullet"/>
      <w:lvlText w:val=""/>
      <w:lvlJc w:val="left"/>
      <w:pPr>
        <w:ind w:left="720" w:hanging="360"/>
      </w:pPr>
      <w:rPr>
        <w:rFonts w:ascii="Symbol" w:hAnsi="Symbol" w:hint="default"/>
      </w:rPr>
    </w:lvl>
    <w:lvl w:ilvl="1" w:tplc="3B4C5912" w:tentative="1">
      <w:start w:val="1"/>
      <w:numFmt w:val="bullet"/>
      <w:lvlText w:val="o"/>
      <w:lvlJc w:val="left"/>
      <w:pPr>
        <w:ind w:left="1440" w:hanging="360"/>
      </w:pPr>
      <w:rPr>
        <w:rFonts w:ascii="Courier New" w:hAnsi="Courier New" w:cs="Courier New" w:hint="default"/>
      </w:rPr>
    </w:lvl>
    <w:lvl w:ilvl="2" w:tplc="9C46D438" w:tentative="1">
      <w:start w:val="1"/>
      <w:numFmt w:val="bullet"/>
      <w:lvlText w:val=""/>
      <w:lvlJc w:val="left"/>
      <w:pPr>
        <w:ind w:left="2160" w:hanging="360"/>
      </w:pPr>
      <w:rPr>
        <w:rFonts w:ascii="Wingdings" w:hAnsi="Wingdings" w:hint="default"/>
      </w:rPr>
    </w:lvl>
    <w:lvl w:ilvl="3" w:tplc="2534979A" w:tentative="1">
      <w:start w:val="1"/>
      <w:numFmt w:val="bullet"/>
      <w:lvlText w:val=""/>
      <w:lvlJc w:val="left"/>
      <w:pPr>
        <w:ind w:left="2880" w:hanging="360"/>
      </w:pPr>
      <w:rPr>
        <w:rFonts w:ascii="Symbol" w:hAnsi="Symbol" w:hint="default"/>
      </w:rPr>
    </w:lvl>
    <w:lvl w:ilvl="4" w:tplc="9DC2A480" w:tentative="1">
      <w:start w:val="1"/>
      <w:numFmt w:val="bullet"/>
      <w:lvlText w:val="o"/>
      <w:lvlJc w:val="left"/>
      <w:pPr>
        <w:ind w:left="3600" w:hanging="360"/>
      </w:pPr>
      <w:rPr>
        <w:rFonts w:ascii="Courier New" w:hAnsi="Courier New" w:cs="Courier New" w:hint="default"/>
      </w:rPr>
    </w:lvl>
    <w:lvl w:ilvl="5" w:tplc="29FE5E32" w:tentative="1">
      <w:start w:val="1"/>
      <w:numFmt w:val="bullet"/>
      <w:lvlText w:val=""/>
      <w:lvlJc w:val="left"/>
      <w:pPr>
        <w:ind w:left="4320" w:hanging="360"/>
      </w:pPr>
      <w:rPr>
        <w:rFonts w:ascii="Wingdings" w:hAnsi="Wingdings" w:hint="default"/>
      </w:rPr>
    </w:lvl>
    <w:lvl w:ilvl="6" w:tplc="120EF696" w:tentative="1">
      <w:start w:val="1"/>
      <w:numFmt w:val="bullet"/>
      <w:lvlText w:val=""/>
      <w:lvlJc w:val="left"/>
      <w:pPr>
        <w:ind w:left="5040" w:hanging="360"/>
      </w:pPr>
      <w:rPr>
        <w:rFonts w:ascii="Symbol" w:hAnsi="Symbol" w:hint="default"/>
      </w:rPr>
    </w:lvl>
    <w:lvl w:ilvl="7" w:tplc="779C07DE" w:tentative="1">
      <w:start w:val="1"/>
      <w:numFmt w:val="bullet"/>
      <w:lvlText w:val="o"/>
      <w:lvlJc w:val="left"/>
      <w:pPr>
        <w:ind w:left="5760" w:hanging="360"/>
      </w:pPr>
      <w:rPr>
        <w:rFonts w:ascii="Courier New" w:hAnsi="Courier New" w:cs="Courier New" w:hint="default"/>
      </w:rPr>
    </w:lvl>
    <w:lvl w:ilvl="8" w:tplc="0AE8D27C"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5"/>
  </w:num>
  <w:num w:numId="5">
    <w:abstractNumId w:val="9"/>
  </w:num>
  <w:num w:numId="6">
    <w:abstractNumId w:val="13"/>
  </w:num>
  <w:num w:numId="7">
    <w:abstractNumId w:val="6"/>
  </w:num>
  <w:num w:numId="8">
    <w:abstractNumId w:val="12"/>
  </w:num>
  <w:num w:numId="9">
    <w:abstractNumId w:val="23"/>
  </w:num>
  <w:num w:numId="10">
    <w:abstractNumId w:val="4"/>
  </w:num>
  <w:num w:numId="11">
    <w:abstractNumId w:val="18"/>
  </w:num>
  <w:num w:numId="12">
    <w:abstractNumId w:val="0"/>
  </w:num>
  <w:num w:numId="13">
    <w:abstractNumId w:val="2"/>
  </w:num>
  <w:num w:numId="14">
    <w:abstractNumId w:val="1"/>
  </w:num>
  <w:num w:numId="15">
    <w:abstractNumId w:val="3"/>
  </w:num>
  <w:num w:numId="16">
    <w:abstractNumId w:val="17"/>
  </w:num>
  <w:num w:numId="17">
    <w:abstractNumId w:val="7"/>
  </w:num>
  <w:num w:numId="18">
    <w:abstractNumId w:val="14"/>
  </w:num>
  <w:num w:numId="19">
    <w:abstractNumId w:val="19"/>
  </w:num>
  <w:num w:numId="20">
    <w:abstractNumId w:val="21"/>
  </w:num>
  <w:num w:numId="21">
    <w:abstractNumId w:val="11"/>
  </w:num>
  <w:num w:numId="22">
    <w:abstractNumId w:val="22"/>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oNotTrackFormatting/>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9B6"/>
    <w:rsid w:val="00002741"/>
    <w:rsid w:val="00002D56"/>
    <w:rsid w:val="00004D31"/>
    <w:rsid w:val="00005A40"/>
    <w:rsid w:val="00005E57"/>
    <w:rsid w:val="00005F1D"/>
    <w:rsid w:val="000062FE"/>
    <w:rsid w:val="0000723E"/>
    <w:rsid w:val="00007EB2"/>
    <w:rsid w:val="00011699"/>
    <w:rsid w:val="00012C87"/>
    <w:rsid w:val="0001394E"/>
    <w:rsid w:val="00014882"/>
    <w:rsid w:val="00015213"/>
    <w:rsid w:val="000156BC"/>
    <w:rsid w:val="00016DB2"/>
    <w:rsid w:val="00020185"/>
    <w:rsid w:val="00021828"/>
    <w:rsid w:val="0002200B"/>
    <w:rsid w:val="0002232B"/>
    <w:rsid w:val="000229C8"/>
    <w:rsid w:val="000257F9"/>
    <w:rsid w:val="00026A54"/>
    <w:rsid w:val="0002713A"/>
    <w:rsid w:val="000278F2"/>
    <w:rsid w:val="00030F71"/>
    <w:rsid w:val="00031326"/>
    <w:rsid w:val="000317A7"/>
    <w:rsid w:val="00032B73"/>
    <w:rsid w:val="00033B25"/>
    <w:rsid w:val="00033E7E"/>
    <w:rsid w:val="00033F5C"/>
    <w:rsid w:val="000342D0"/>
    <w:rsid w:val="00034A77"/>
    <w:rsid w:val="00034F9A"/>
    <w:rsid w:val="000372C6"/>
    <w:rsid w:val="0004000C"/>
    <w:rsid w:val="0004014E"/>
    <w:rsid w:val="00041367"/>
    <w:rsid w:val="00041BCA"/>
    <w:rsid w:val="00042A73"/>
    <w:rsid w:val="00042C6E"/>
    <w:rsid w:val="00042DE7"/>
    <w:rsid w:val="00044CC8"/>
    <w:rsid w:val="00044F09"/>
    <w:rsid w:val="00045B89"/>
    <w:rsid w:val="00045C07"/>
    <w:rsid w:val="000470A2"/>
    <w:rsid w:val="00047214"/>
    <w:rsid w:val="00050F02"/>
    <w:rsid w:val="00051D8D"/>
    <w:rsid w:val="00052475"/>
    <w:rsid w:val="000537AB"/>
    <w:rsid w:val="00054A1D"/>
    <w:rsid w:val="000557DE"/>
    <w:rsid w:val="00056E94"/>
    <w:rsid w:val="00056F1B"/>
    <w:rsid w:val="00057297"/>
    <w:rsid w:val="000604E6"/>
    <w:rsid w:val="0006228C"/>
    <w:rsid w:val="000632D9"/>
    <w:rsid w:val="00063E11"/>
    <w:rsid w:val="0006494E"/>
    <w:rsid w:val="00065A79"/>
    <w:rsid w:val="00065E65"/>
    <w:rsid w:val="0006682B"/>
    <w:rsid w:val="000671E3"/>
    <w:rsid w:val="0007157E"/>
    <w:rsid w:val="00071F6D"/>
    <w:rsid w:val="000720FD"/>
    <w:rsid w:val="00072295"/>
    <w:rsid w:val="00072CC0"/>
    <w:rsid w:val="000731B9"/>
    <w:rsid w:val="0007379F"/>
    <w:rsid w:val="00073ACB"/>
    <w:rsid w:val="000748CE"/>
    <w:rsid w:val="000759A2"/>
    <w:rsid w:val="00076A71"/>
    <w:rsid w:val="00077B6F"/>
    <w:rsid w:val="0008357F"/>
    <w:rsid w:val="000863C3"/>
    <w:rsid w:val="00086951"/>
    <w:rsid w:val="00087FA7"/>
    <w:rsid w:val="00090EA3"/>
    <w:rsid w:val="000910DE"/>
    <w:rsid w:val="0009184F"/>
    <w:rsid w:val="000922FB"/>
    <w:rsid w:val="00092E46"/>
    <w:rsid w:val="000932BB"/>
    <w:rsid w:val="0009371C"/>
    <w:rsid w:val="000942FA"/>
    <w:rsid w:val="00095B2C"/>
    <w:rsid w:val="00096D45"/>
    <w:rsid w:val="000A0577"/>
    <w:rsid w:val="000A099C"/>
    <w:rsid w:val="000A1AB5"/>
    <w:rsid w:val="000A21A9"/>
    <w:rsid w:val="000A2A90"/>
    <w:rsid w:val="000A2E0A"/>
    <w:rsid w:val="000A57DB"/>
    <w:rsid w:val="000A7AB2"/>
    <w:rsid w:val="000B080B"/>
    <w:rsid w:val="000B0A0A"/>
    <w:rsid w:val="000B194A"/>
    <w:rsid w:val="000B275C"/>
    <w:rsid w:val="000B3A23"/>
    <w:rsid w:val="000B5812"/>
    <w:rsid w:val="000B5C44"/>
    <w:rsid w:val="000B5CBA"/>
    <w:rsid w:val="000B6F95"/>
    <w:rsid w:val="000B7DFB"/>
    <w:rsid w:val="000C1AEA"/>
    <w:rsid w:val="000C431D"/>
    <w:rsid w:val="000C54D2"/>
    <w:rsid w:val="000C5FC6"/>
    <w:rsid w:val="000C619D"/>
    <w:rsid w:val="000C6267"/>
    <w:rsid w:val="000C6A39"/>
    <w:rsid w:val="000C7A0E"/>
    <w:rsid w:val="000D50C5"/>
    <w:rsid w:val="000D5238"/>
    <w:rsid w:val="000D5F27"/>
    <w:rsid w:val="000D624D"/>
    <w:rsid w:val="000D65C9"/>
    <w:rsid w:val="000D6967"/>
    <w:rsid w:val="000D7972"/>
    <w:rsid w:val="000E117B"/>
    <w:rsid w:val="000E28DC"/>
    <w:rsid w:val="000E3663"/>
    <w:rsid w:val="000E36F3"/>
    <w:rsid w:val="000E4028"/>
    <w:rsid w:val="000E4E6A"/>
    <w:rsid w:val="000E4EAB"/>
    <w:rsid w:val="000E60A9"/>
    <w:rsid w:val="000E61C1"/>
    <w:rsid w:val="000E7C65"/>
    <w:rsid w:val="000E7E7A"/>
    <w:rsid w:val="000F1470"/>
    <w:rsid w:val="000F2391"/>
    <w:rsid w:val="000F2F02"/>
    <w:rsid w:val="000F3776"/>
    <w:rsid w:val="000F4FD7"/>
    <w:rsid w:val="000F5149"/>
    <w:rsid w:val="000F63BB"/>
    <w:rsid w:val="00100562"/>
    <w:rsid w:val="0010085B"/>
    <w:rsid w:val="00100DBD"/>
    <w:rsid w:val="00102EF1"/>
    <w:rsid w:val="001077FB"/>
    <w:rsid w:val="00110CD1"/>
    <w:rsid w:val="0011102C"/>
    <w:rsid w:val="001117E5"/>
    <w:rsid w:val="00120705"/>
    <w:rsid w:val="00121391"/>
    <w:rsid w:val="00123546"/>
    <w:rsid w:val="00123B14"/>
    <w:rsid w:val="00124588"/>
    <w:rsid w:val="00124A7B"/>
    <w:rsid w:val="00127186"/>
    <w:rsid w:val="001273F3"/>
    <w:rsid w:val="001276E7"/>
    <w:rsid w:val="00127F9B"/>
    <w:rsid w:val="00130E70"/>
    <w:rsid w:val="00131AEA"/>
    <w:rsid w:val="0013358E"/>
    <w:rsid w:val="001336EC"/>
    <w:rsid w:val="001341B2"/>
    <w:rsid w:val="001350CC"/>
    <w:rsid w:val="001356BD"/>
    <w:rsid w:val="00136451"/>
    <w:rsid w:val="00137D1B"/>
    <w:rsid w:val="001411B7"/>
    <w:rsid w:val="00141CE5"/>
    <w:rsid w:val="00142DA7"/>
    <w:rsid w:val="00143171"/>
    <w:rsid w:val="001433F8"/>
    <w:rsid w:val="00144571"/>
    <w:rsid w:val="00144F83"/>
    <w:rsid w:val="0014580F"/>
    <w:rsid w:val="00145C60"/>
    <w:rsid w:val="001460D4"/>
    <w:rsid w:val="00146BB0"/>
    <w:rsid w:val="00146E05"/>
    <w:rsid w:val="0014709F"/>
    <w:rsid w:val="00150B2C"/>
    <w:rsid w:val="00150D72"/>
    <w:rsid w:val="00152B9B"/>
    <w:rsid w:val="00152F72"/>
    <w:rsid w:val="00153E68"/>
    <w:rsid w:val="00154A29"/>
    <w:rsid w:val="00155229"/>
    <w:rsid w:val="00155E25"/>
    <w:rsid w:val="00156261"/>
    <w:rsid w:val="0015778C"/>
    <w:rsid w:val="00157D2C"/>
    <w:rsid w:val="0016155E"/>
    <w:rsid w:val="00163536"/>
    <w:rsid w:val="00163926"/>
    <w:rsid w:val="00163ADB"/>
    <w:rsid w:val="00164757"/>
    <w:rsid w:val="00164CF5"/>
    <w:rsid w:val="0016567B"/>
    <w:rsid w:val="00165A0C"/>
    <w:rsid w:val="001676A2"/>
    <w:rsid w:val="0017011A"/>
    <w:rsid w:val="0017280E"/>
    <w:rsid w:val="00176F07"/>
    <w:rsid w:val="0018048A"/>
    <w:rsid w:val="00180829"/>
    <w:rsid w:val="0018212A"/>
    <w:rsid w:val="00182319"/>
    <w:rsid w:val="0018264F"/>
    <w:rsid w:val="001851D6"/>
    <w:rsid w:val="00185E2F"/>
    <w:rsid w:val="001860F5"/>
    <w:rsid w:val="00187611"/>
    <w:rsid w:val="00191610"/>
    <w:rsid w:val="0019246E"/>
    <w:rsid w:val="00192DD9"/>
    <w:rsid w:val="00193B95"/>
    <w:rsid w:val="00194ABD"/>
    <w:rsid w:val="001958A9"/>
    <w:rsid w:val="00195C26"/>
    <w:rsid w:val="00195DA9"/>
    <w:rsid w:val="001969F4"/>
    <w:rsid w:val="001A10B7"/>
    <w:rsid w:val="001A2F32"/>
    <w:rsid w:val="001A5416"/>
    <w:rsid w:val="001A5F4F"/>
    <w:rsid w:val="001A6880"/>
    <w:rsid w:val="001B0B44"/>
    <w:rsid w:val="001B1095"/>
    <w:rsid w:val="001B1F47"/>
    <w:rsid w:val="001B29E2"/>
    <w:rsid w:val="001B375E"/>
    <w:rsid w:val="001B62F6"/>
    <w:rsid w:val="001B67E8"/>
    <w:rsid w:val="001B6987"/>
    <w:rsid w:val="001C3779"/>
    <w:rsid w:val="001C4F40"/>
    <w:rsid w:val="001C5CDB"/>
    <w:rsid w:val="001C5D2F"/>
    <w:rsid w:val="001C63F4"/>
    <w:rsid w:val="001D0C39"/>
    <w:rsid w:val="001D5192"/>
    <w:rsid w:val="001D5FBD"/>
    <w:rsid w:val="001D6891"/>
    <w:rsid w:val="001D6EB9"/>
    <w:rsid w:val="001D7D12"/>
    <w:rsid w:val="001E1211"/>
    <w:rsid w:val="001E161C"/>
    <w:rsid w:val="001E21B0"/>
    <w:rsid w:val="001E36B5"/>
    <w:rsid w:val="001E4A5A"/>
    <w:rsid w:val="001E4AAA"/>
    <w:rsid w:val="001E52A2"/>
    <w:rsid w:val="001E57AB"/>
    <w:rsid w:val="001E595A"/>
    <w:rsid w:val="001E69FB"/>
    <w:rsid w:val="001E7256"/>
    <w:rsid w:val="001F1D3D"/>
    <w:rsid w:val="001F209C"/>
    <w:rsid w:val="001F4642"/>
    <w:rsid w:val="001F63A0"/>
    <w:rsid w:val="001F6AC9"/>
    <w:rsid w:val="002017CE"/>
    <w:rsid w:val="00201AF0"/>
    <w:rsid w:val="0020252E"/>
    <w:rsid w:val="00203988"/>
    <w:rsid w:val="002043EB"/>
    <w:rsid w:val="00205120"/>
    <w:rsid w:val="002071CD"/>
    <w:rsid w:val="0021115D"/>
    <w:rsid w:val="00212835"/>
    <w:rsid w:val="00212C10"/>
    <w:rsid w:val="00212D6D"/>
    <w:rsid w:val="00215271"/>
    <w:rsid w:val="002157F6"/>
    <w:rsid w:val="00215DB2"/>
    <w:rsid w:val="002206BE"/>
    <w:rsid w:val="00224257"/>
    <w:rsid w:val="002243CE"/>
    <w:rsid w:val="0022481B"/>
    <w:rsid w:val="002265D1"/>
    <w:rsid w:val="00226D07"/>
    <w:rsid w:val="00226D5B"/>
    <w:rsid w:val="00226F3C"/>
    <w:rsid w:val="00227E17"/>
    <w:rsid w:val="002312EA"/>
    <w:rsid w:val="0023281A"/>
    <w:rsid w:val="00233DAF"/>
    <w:rsid w:val="00234CFC"/>
    <w:rsid w:val="00234E27"/>
    <w:rsid w:val="0023564B"/>
    <w:rsid w:val="00235AA9"/>
    <w:rsid w:val="00237A54"/>
    <w:rsid w:val="0024096B"/>
    <w:rsid w:val="00240DAF"/>
    <w:rsid w:val="0024271D"/>
    <w:rsid w:val="002429B7"/>
    <w:rsid w:val="00243426"/>
    <w:rsid w:val="0024502B"/>
    <w:rsid w:val="00245B34"/>
    <w:rsid w:val="00246BAF"/>
    <w:rsid w:val="002474AF"/>
    <w:rsid w:val="002510F5"/>
    <w:rsid w:val="00254AD0"/>
    <w:rsid w:val="00255D55"/>
    <w:rsid w:val="00256B0A"/>
    <w:rsid w:val="0025743B"/>
    <w:rsid w:val="002575F6"/>
    <w:rsid w:val="002602E8"/>
    <w:rsid w:val="0026524D"/>
    <w:rsid w:val="00266E29"/>
    <w:rsid w:val="002679C0"/>
    <w:rsid w:val="00267D4C"/>
    <w:rsid w:val="00267ED7"/>
    <w:rsid w:val="00271F43"/>
    <w:rsid w:val="00272DC7"/>
    <w:rsid w:val="00273449"/>
    <w:rsid w:val="0027447A"/>
    <w:rsid w:val="00274E97"/>
    <w:rsid w:val="00274FD0"/>
    <w:rsid w:val="00275C1E"/>
    <w:rsid w:val="00276DC4"/>
    <w:rsid w:val="00277351"/>
    <w:rsid w:val="00277669"/>
    <w:rsid w:val="002776DD"/>
    <w:rsid w:val="00277F42"/>
    <w:rsid w:val="00280491"/>
    <w:rsid w:val="00280FC9"/>
    <w:rsid w:val="00282D98"/>
    <w:rsid w:val="00283442"/>
    <w:rsid w:val="002838A2"/>
    <w:rsid w:val="00283CC5"/>
    <w:rsid w:val="002846E1"/>
    <w:rsid w:val="00284945"/>
    <w:rsid w:val="00284E53"/>
    <w:rsid w:val="00285224"/>
    <w:rsid w:val="0028569F"/>
    <w:rsid w:val="00286720"/>
    <w:rsid w:val="00287D34"/>
    <w:rsid w:val="00290D4C"/>
    <w:rsid w:val="00291623"/>
    <w:rsid w:val="0029332B"/>
    <w:rsid w:val="002937EB"/>
    <w:rsid w:val="002942FC"/>
    <w:rsid w:val="00294372"/>
    <w:rsid w:val="00295DBC"/>
    <w:rsid w:val="002A1C26"/>
    <w:rsid w:val="002A509B"/>
    <w:rsid w:val="002A6D99"/>
    <w:rsid w:val="002A6E1F"/>
    <w:rsid w:val="002A7236"/>
    <w:rsid w:val="002A7A37"/>
    <w:rsid w:val="002B16EF"/>
    <w:rsid w:val="002B1AF2"/>
    <w:rsid w:val="002B261D"/>
    <w:rsid w:val="002B2A63"/>
    <w:rsid w:val="002B372B"/>
    <w:rsid w:val="002B41A9"/>
    <w:rsid w:val="002B5047"/>
    <w:rsid w:val="002B5E28"/>
    <w:rsid w:val="002B6411"/>
    <w:rsid w:val="002B6BC6"/>
    <w:rsid w:val="002B7801"/>
    <w:rsid w:val="002B7DF1"/>
    <w:rsid w:val="002B7E23"/>
    <w:rsid w:val="002C0CCE"/>
    <w:rsid w:val="002C2FD7"/>
    <w:rsid w:val="002C31FF"/>
    <w:rsid w:val="002C3B01"/>
    <w:rsid w:val="002C436F"/>
    <w:rsid w:val="002C7589"/>
    <w:rsid w:val="002D0011"/>
    <w:rsid w:val="002D1081"/>
    <w:rsid w:val="002D1631"/>
    <w:rsid w:val="002D1801"/>
    <w:rsid w:val="002D235C"/>
    <w:rsid w:val="002D2DF8"/>
    <w:rsid w:val="002D2F45"/>
    <w:rsid w:val="002D42FC"/>
    <w:rsid w:val="002D5370"/>
    <w:rsid w:val="002D6301"/>
    <w:rsid w:val="002D64D1"/>
    <w:rsid w:val="002D65CD"/>
    <w:rsid w:val="002D75F4"/>
    <w:rsid w:val="002E01E2"/>
    <w:rsid w:val="002E0D89"/>
    <w:rsid w:val="002E27AF"/>
    <w:rsid w:val="002E32D6"/>
    <w:rsid w:val="002E4639"/>
    <w:rsid w:val="002E6042"/>
    <w:rsid w:val="002F0026"/>
    <w:rsid w:val="002F1C38"/>
    <w:rsid w:val="002F2783"/>
    <w:rsid w:val="002F32E3"/>
    <w:rsid w:val="002F3E59"/>
    <w:rsid w:val="002F4AC5"/>
    <w:rsid w:val="002F5B9F"/>
    <w:rsid w:val="002F6BCE"/>
    <w:rsid w:val="002F764D"/>
    <w:rsid w:val="002F78B7"/>
    <w:rsid w:val="0030009A"/>
    <w:rsid w:val="00302C3D"/>
    <w:rsid w:val="00304A04"/>
    <w:rsid w:val="00305FF3"/>
    <w:rsid w:val="003075CE"/>
    <w:rsid w:val="00310D17"/>
    <w:rsid w:val="00311873"/>
    <w:rsid w:val="003131B1"/>
    <w:rsid w:val="00315579"/>
    <w:rsid w:val="0031580C"/>
    <w:rsid w:val="0031741E"/>
    <w:rsid w:val="003201C3"/>
    <w:rsid w:val="003213E9"/>
    <w:rsid w:val="00321EBA"/>
    <w:rsid w:val="003222B6"/>
    <w:rsid w:val="003225C6"/>
    <w:rsid w:val="00323B03"/>
    <w:rsid w:val="003241C7"/>
    <w:rsid w:val="00325440"/>
    <w:rsid w:val="00327543"/>
    <w:rsid w:val="00327679"/>
    <w:rsid w:val="0032795E"/>
    <w:rsid w:val="00327DBD"/>
    <w:rsid w:val="003304CC"/>
    <w:rsid w:val="00331281"/>
    <w:rsid w:val="00331911"/>
    <w:rsid w:val="00332413"/>
    <w:rsid w:val="00333E4F"/>
    <w:rsid w:val="0033437B"/>
    <w:rsid w:val="00335555"/>
    <w:rsid w:val="00335A43"/>
    <w:rsid w:val="00336643"/>
    <w:rsid w:val="00336DCF"/>
    <w:rsid w:val="00337E2D"/>
    <w:rsid w:val="00340E8D"/>
    <w:rsid w:val="00341E0C"/>
    <w:rsid w:val="00342B7A"/>
    <w:rsid w:val="00343B88"/>
    <w:rsid w:val="00344DF9"/>
    <w:rsid w:val="00345A1D"/>
    <w:rsid w:val="0035069B"/>
    <w:rsid w:val="00350DE9"/>
    <w:rsid w:val="003512DD"/>
    <w:rsid w:val="003528EA"/>
    <w:rsid w:val="003533E0"/>
    <w:rsid w:val="0035453D"/>
    <w:rsid w:val="00354AF2"/>
    <w:rsid w:val="003552B6"/>
    <w:rsid w:val="00355F6E"/>
    <w:rsid w:val="00360020"/>
    <w:rsid w:val="00360660"/>
    <w:rsid w:val="00361030"/>
    <w:rsid w:val="0036196D"/>
    <w:rsid w:val="00361B9B"/>
    <w:rsid w:val="00361E97"/>
    <w:rsid w:val="00362DAE"/>
    <w:rsid w:val="00363CD3"/>
    <w:rsid w:val="00365F41"/>
    <w:rsid w:val="00366838"/>
    <w:rsid w:val="00366E95"/>
    <w:rsid w:val="003704A0"/>
    <w:rsid w:val="0037133A"/>
    <w:rsid w:val="00371B92"/>
    <w:rsid w:val="003725D0"/>
    <w:rsid w:val="003753F8"/>
    <w:rsid w:val="00375E77"/>
    <w:rsid w:val="00377A35"/>
    <w:rsid w:val="0038050C"/>
    <w:rsid w:val="0038445D"/>
    <w:rsid w:val="00386783"/>
    <w:rsid w:val="00392669"/>
    <w:rsid w:val="00392FCB"/>
    <w:rsid w:val="00393019"/>
    <w:rsid w:val="00397956"/>
    <w:rsid w:val="00397F4C"/>
    <w:rsid w:val="003A05E2"/>
    <w:rsid w:val="003A05EC"/>
    <w:rsid w:val="003A1401"/>
    <w:rsid w:val="003A4323"/>
    <w:rsid w:val="003B03DF"/>
    <w:rsid w:val="003B0BF9"/>
    <w:rsid w:val="003B2D0E"/>
    <w:rsid w:val="003B3B5A"/>
    <w:rsid w:val="003B52B7"/>
    <w:rsid w:val="003B5C4B"/>
    <w:rsid w:val="003B6B9A"/>
    <w:rsid w:val="003B7AB8"/>
    <w:rsid w:val="003C1E30"/>
    <w:rsid w:val="003C220C"/>
    <w:rsid w:val="003C2410"/>
    <w:rsid w:val="003C2C20"/>
    <w:rsid w:val="003C44A6"/>
    <w:rsid w:val="003C5ED6"/>
    <w:rsid w:val="003C71F5"/>
    <w:rsid w:val="003C7574"/>
    <w:rsid w:val="003D18E8"/>
    <w:rsid w:val="003D376F"/>
    <w:rsid w:val="003D4076"/>
    <w:rsid w:val="003D647A"/>
    <w:rsid w:val="003D6B17"/>
    <w:rsid w:val="003D6B8E"/>
    <w:rsid w:val="003D6DA1"/>
    <w:rsid w:val="003E0791"/>
    <w:rsid w:val="003E1479"/>
    <w:rsid w:val="003E2386"/>
    <w:rsid w:val="003E288A"/>
    <w:rsid w:val="003E50F1"/>
    <w:rsid w:val="003E6B73"/>
    <w:rsid w:val="003E7C01"/>
    <w:rsid w:val="003F19E2"/>
    <w:rsid w:val="003F2575"/>
    <w:rsid w:val="003F28AC"/>
    <w:rsid w:val="003F4F69"/>
    <w:rsid w:val="003F5010"/>
    <w:rsid w:val="003F78BA"/>
    <w:rsid w:val="003F7C25"/>
    <w:rsid w:val="00400AC4"/>
    <w:rsid w:val="0040299F"/>
    <w:rsid w:val="00402A7A"/>
    <w:rsid w:val="004037D8"/>
    <w:rsid w:val="004039F5"/>
    <w:rsid w:val="00403EB7"/>
    <w:rsid w:val="004045AF"/>
    <w:rsid w:val="0040519D"/>
    <w:rsid w:val="00405D4C"/>
    <w:rsid w:val="00406270"/>
    <w:rsid w:val="0041082F"/>
    <w:rsid w:val="00412118"/>
    <w:rsid w:val="00413B5E"/>
    <w:rsid w:val="004141C1"/>
    <w:rsid w:val="004151E0"/>
    <w:rsid w:val="004155F2"/>
    <w:rsid w:val="00416143"/>
    <w:rsid w:val="00420316"/>
    <w:rsid w:val="00421F3E"/>
    <w:rsid w:val="00424443"/>
    <w:rsid w:val="00426193"/>
    <w:rsid w:val="00426261"/>
    <w:rsid w:val="00426674"/>
    <w:rsid w:val="00430679"/>
    <w:rsid w:val="00431BDC"/>
    <w:rsid w:val="00431EB3"/>
    <w:rsid w:val="00432079"/>
    <w:rsid w:val="00433C8B"/>
    <w:rsid w:val="00434A9E"/>
    <w:rsid w:val="0043534C"/>
    <w:rsid w:val="0043627B"/>
    <w:rsid w:val="00437885"/>
    <w:rsid w:val="00440508"/>
    <w:rsid w:val="00440995"/>
    <w:rsid w:val="00440A2B"/>
    <w:rsid w:val="00440A62"/>
    <w:rsid w:val="00440F43"/>
    <w:rsid w:val="00443037"/>
    <w:rsid w:val="00443B15"/>
    <w:rsid w:val="00443C18"/>
    <w:rsid w:val="004452C0"/>
    <w:rsid w:val="004454FE"/>
    <w:rsid w:val="00450A37"/>
    <w:rsid w:val="00450F12"/>
    <w:rsid w:val="0045294E"/>
    <w:rsid w:val="004533F6"/>
    <w:rsid w:val="004574E7"/>
    <w:rsid w:val="00460ED4"/>
    <w:rsid w:val="004620E6"/>
    <w:rsid w:val="004630D6"/>
    <w:rsid w:val="00463B0B"/>
    <w:rsid w:val="00463E47"/>
    <w:rsid w:val="00464786"/>
    <w:rsid w:val="00465343"/>
    <w:rsid w:val="00465AFA"/>
    <w:rsid w:val="004661AE"/>
    <w:rsid w:val="00466837"/>
    <w:rsid w:val="00467520"/>
    <w:rsid w:val="00467759"/>
    <w:rsid w:val="00470039"/>
    <w:rsid w:val="00471F27"/>
    <w:rsid w:val="0047274B"/>
    <w:rsid w:val="00472ACF"/>
    <w:rsid w:val="00472FCB"/>
    <w:rsid w:val="004753E5"/>
    <w:rsid w:val="004759A2"/>
    <w:rsid w:val="00475A20"/>
    <w:rsid w:val="00477E25"/>
    <w:rsid w:val="004806D4"/>
    <w:rsid w:val="00480724"/>
    <w:rsid w:val="004808CE"/>
    <w:rsid w:val="00481F51"/>
    <w:rsid w:val="004825E9"/>
    <w:rsid w:val="0048331B"/>
    <w:rsid w:val="00483782"/>
    <w:rsid w:val="00485634"/>
    <w:rsid w:val="00485E99"/>
    <w:rsid w:val="0048657B"/>
    <w:rsid w:val="00486F09"/>
    <w:rsid w:val="004873AA"/>
    <w:rsid w:val="0049106A"/>
    <w:rsid w:val="0049131A"/>
    <w:rsid w:val="004913CB"/>
    <w:rsid w:val="0049792D"/>
    <w:rsid w:val="004979D8"/>
    <w:rsid w:val="00497AB5"/>
    <w:rsid w:val="004A114D"/>
    <w:rsid w:val="004A21D1"/>
    <w:rsid w:val="004A23AA"/>
    <w:rsid w:val="004A2BD7"/>
    <w:rsid w:val="004A3936"/>
    <w:rsid w:val="004A3A9F"/>
    <w:rsid w:val="004A3BEC"/>
    <w:rsid w:val="004A5ACF"/>
    <w:rsid w:val="004A61BF"/>
    <w:rsid w:val="004A6D86"/>
    <w:rsid w:val="004A7C83"/>
    <w:rsid w:val="004A7DEC"/>
    <w:rsid w:val="004B19B5"/>
    <w:rsid w:val="004B2AD9"/>
    <w:rsid w:val="004B3B28"/>
    <w:rsid w:val="004B3E48"/>
    <w:rsid w:val="004B4FD4"/>
    <w:rsid w:val="004B5BEC"/>
    <w:rsid w:val="004B7581"/>
    <w:rsid w:val="004B7B9D"/>
    <w:rsid w:val="004C0833"/>
    <w:rsid w:val="004C0951"/>
    <w:rsid w:val="004C0F18"/>
    <w:rsid w:val="004C1C5E"/>
    <w:rsid w:val="004C3D08"/>
    <w:rsid w:val="004C5620"/>
    <w:rsid w:val="004C66BB"/>
    <w:rsid w:val="004C6ECE"/>
    <w:rsid w:val="004D0A80"/>
    <w:rsid w:val="004D39F5"/>
    <w:rsid w:val="004D4560"/>
    <w:rsid w:val="004D5A2C"/>
    <w:rsid w:val="004D7B78"/>
    <w:rsid w:val="004D7E4E"/>
    <w:rsid w:val="004E1D93"/>
    <w:rsid w:val="004E21F6"/>
    <w:rsid w:val="004E3F09"/>
    <w:rsid w:val="004E534D"/>
    <w:rsid w:val="004E5F6B"/>
    <w:rsid w:val="004E69C1"/>
    <w:rsid w:val="004F21B4"/>
    <w:rsid w:val="004F2DB1"/>
    <w:rsid w:val="004F5436"/>
    <w:rsid w:val="004F5975"/>
    <w:rsid w:val="004F5A45"/>
    <w:rsid w:val="004F6A0E"/>
    <w:rsid w:val="005004CA"/>
    <w:rsid w:val="00500A23"/>
    <w:rsid w:val="0050106B"/>
    <w:rsid w:val="0050178F"/>
    <w:rsid w:val="00501FFD"/>
    <w:rsid w:val="00502312"/>
    <w:rsid w:val="00503EB3"/>
    <w:rsid w:val="00504275"/>
    <w:rsid w:val="005055F6"/>
    <w:rsid w:val="00510BF1"/>
    <w:rsid w:val="00510E47"/>
    <w:rsid w:val="0051154B"/>
    <w:rsid w:val="005115CD"/>
    <w:rsid w:val="00512234"/>
    <w:rsid w:val="005162CE"/>
    <w:rsid w:val="00517BB0"/>
    <w:rsid w:val="005211FD"/>
    <w:rsid w:val="005212D2"/>
    <w:rsid w:val="0052168D"/>
    <w:rsid w:val="00522A89"/>
    <w:rsid w:val="00523E7B"/>
    <w:rsid w:val="00523F6E"/>
    <w:rsid w:val="0052400A"/>
    <w:rsid w:val="00525474"/>
    <w:rsid w:val="005259EB"/>
    <w:rsid w:val="005259F2"/>
    <w:rsid w:val="00526003"/>
    <w:rsid w:val="00527291"/>
    <w:rsid w:val="005304FA"/>
    <w:rsid w:val="00530BA5"/>
    <w:rsid w:val="005343F9"/>
    <w:rsid w:val="00537076"/>
    <w:rsid w:val="00540954"/>
    <w:rsid w:val="005421D1"/>
    <w:rsid w:val="00542211"/>
    <w:rsid w:val="00542A44"/>
    <w:rsid w:val="00542D34"/>
    <w:rsid w:val="00543CD9"/>
    <w:rsid w:val="0054459F"/>
    <w:rsid w:val="00544F76"/>
    <w:rsid w:val="00545EE3"/>
    <w:rsid w:val="005465B9"/>
    <w:rsid w:val="005517CE"/>
    <w:rsid w:val="00551E29"/>
    <w:rsid w:val="00554683"/>
    <w:rsid w:val="00554A91"/>
    <w:rsid w:val="00554F63"/>
    <w:rsid w:val="005550D6"/>
    <w:rsid w:val="0055580C"/>
    <w:rsid w:val="00555FB0"/>
    <w:rsid w:val="00560A41"/>
    <w:rsid w:val="00561209"/>
    <w:rsid w:val="00561DD0"/>
    <w:rsid w:val="00564634"/>
    <w:rsid w:val="00564C94"/>
    <w:rsid w:val="00564E05"/>
    <w:rsid w:val="00565952"/>
    <w:rsid w:val="0057097C"/>
    <w:rsid w:val="0057210A"/>
    <w:rsid w:val="00572857"/>
    <w:rsid w:val="0057648D"/>
    <w:rsid w:val="00576598"/>
    <w:rsid w:val="00577D0C"/>
    <w:rsid w:val="00580D87"/>
    <w:rsid w:val="005827F1"/>
    <w:rsid w:val="00582E85"/>
    <w:rsid w:val="0058357A"/>
    <w:rsid w:val="00583BCA"/>
    <w:rsid w:val="00583FA8"/>
    <w:rsid w:val="005845FA"/>
    <w:rsid w:val="00584E1D"/>
    <w:rsid w:val="00584EAD"/>
    <w:rsid w:val="00585124"/>
    <w:rsid w:val="00586425"/>
    <w:rsid w:val="00586535"/>
    <w:rsid w:val="00586EA7"/>
    <w:rsid w:val="005877AC"/>
    <w:rsid w:val="00591001"/>
    <w:rsid w:val="005921FD"/>
    <w:rsid w:val="005931FB"/>
    <w:rsid w:val="005936B4"/>
    <w:rsid w:val="00593718"/>
    <w:rsid w:val="00593796"/>
    <w:rsid w:val="00595C12"/>
    <w:rsid w:val="0059664F"/>
    <w:rsid w:val="005A0C01"/>
    <w:rsid w:val="005A13CC"/>
    <w:rsid w:val="005A3549"/>
    <w:rsid w:val="005A3597"/>
    <w:rsid w:val="005A404F"/>
    <w:rsid w:val="005A40EA"/>
    <w:rsid w:val="005A5EB4"/>
    <w:rsid w:val="005A791E"/>
    <w:rsid w:val="005A7F8B"/>
    <w:rsid w:val="005B0C74"/>
    <w:rsid w:val="005B1E04"/>
    <w:rsid w:val="005B2E20"/>
    <w:rsid w:val="005B4500"/>
    <w:rsid w:val="005B5A51"/>
    <w:rsid w:val="005B5B33"/>
    <w:rsid w:val="005B6058"/>
    <w:rsid w:val="005B6174"/>
    <w:rsid w:val="005B64DA"/>
    <w:rsid w:val="005B6876"/>
    <w:rsid w:val="005B7B9D"/>
    <w:rsid w:val="005B7F37"/>
    <w:rsid w:val="005C0649"/>
    <w:rsid w:val="005C16B4"/>
    <w:rsid w:val="005C1CAD"/>
    <w:rsid w:val="005C2E1C"/>
    <w:rsid w:val="005C2F8A"/>
    <w:rsid w:val="005C3ECE"/>
    <w:rsid w:val="005C61AA"/>
    <w:rsid w:val="005C7857"/>
    <w:rsid w:val="005D0238"/>
    <w:rsid w:val="005D0D23"/>
    <w:rsid w:val="005D0D9F"/>
    <w:rsid w:val="005D0F37"/>
    <w:rsid w:val="005D1904"/>
    <w:rsid w:val="005D3565"/>
    <w:rsid w:val="005D437D"/>
    <w:rsid w:val="005D6D64"/>
    <w:rsid w:val="005D764F"/>
    <w:rsid w:val="005E01F3"/>
    <w:rsid w:val="005E2CB5"/>
    <w:rsid w:val="005E2E9F"/>
    <w:rsid w:val="005E4B92"/>
    <w:rsid w:val="005E5000"/>
    <w:rsid w:val="005E5871"/>
    <w:rsid w:val="005E6DCE"/>
    <w:rsid w:val="005E75BF"/>
    <w:rsid w:val="005E7CEF"/>
    <w:rsid w:val="005F1A6B"/>
    <w:rsid w:val="005F20E6"/>
    <w:rsid w:val="005F3929"/>
    <w:rsid w:val="005F51D9"/>
    <w:rsid w:val="005F7279"/>
    <w:rsid w:val="006008E7"/>
    <w:rsid w:val="0060099B"/>
    <w:rsid w:val="00600D8A"/>
    <w:rsid w:val="006011FE"/>
    <w:rsid w:val="00601262"/>
    <w:rsid w:val="0060139B"/>
    <w:rsid w:val="00602418"/>
    <w:rsid w:val="00602ABA"/>
    <w:rsid w:val="0060328F"/>
    <w:rsid w:val="006038E6"/>
    <w:rsid w:val="006045BC"/>
    <w:rsid w:val="006046B0"/>
    <w:rsid w:val="006064B4"/>
    <w:rsid w:val="0060690A"/>
    <w:rsid w:val="00610B00"/>
    <w:rsid w:val="00610C73"/>
    <w:rsid w:val="00610F97"/>
    <w:rsid w:val="006115FA"/>
    <w:rsid w:val="0061239E"/>
    <w:rsid w:val="006146CD"/>
    <w:rsid w:val="00614908"/>
    <w:rsid w:val="006163E9"/>
    <w:rsid w:val="00617E03"/>
    <w:rsid w:val="00621D72"/>
    <w:rsid w:val="0062392D"/>
    <w:rsid w:val="00624995"/>
    <w:rsid w:val="00624ED8"/>
    <w:rsid w:val="006259C7"/>
    <w:rsid w:val="00626118"/>
    <w:rsid w:val="006278C9"/>
    <w:rsid w:val="006300CE"/>
    <w:rsid w:val="00631026"/>
    <w:rsid w:val="00634C79"/>
    <w:rsid w:val="0063547A"/>
    <w:rsid w:val="00635C75"/>
    <w:rsid w:val="00635CBA"/>
    <w:rsid w:val="006363D7"/>
    <w:rsid w:val="00636A8A"/>
    <w:rsid w:val="00636ED1"/>
    <w:rsid w:val="00642A51"/>
    <w:rsid w:val="006434E7"/>
    <w:rsid w:val="00643BE5"/>
    <w:rsid w:val="00650E8E"/>
    <w:rsid w:val="00651351"/>
    <w:rsid w:val="00651D4F"/>
    <w:rsid w:val="00652873"/>
    <w:rsid w:val="00654955"/>
    <w:rsid w:val="006553CF"/>
    <w:rsid w:val="00655FD3"/>
    <w:rsid w:val="006604A7"/>
    <w:rsid w:val="00660E24"/>
    <w:rsid w:val="00663474"/>
    <w:rsid w:val="00663D63"/>
    <w:rsid w:val="0066454C"/>
    <w:rsid w:val="0066762C"/>
    <w:rsid w:val="00670092"/>
    <w:rsid w:val="006713B2"/>
    <w:rsid w:val="0067399B"/>
    <w:rsid w:val="0067504D"/>
    <w:rsid w:val="0067519C"/>
    <w:rsid w:val="006754B1"/>
    <w:rsid w:val="00676642"/>
    <w:rsid w:val="00677C56"/>
    <w:rsid w:val="00677CD7"/>
    <w:rsid w:val="00677FD8"/>
    <w:rsid w:val="0068231A"/>
    <w:rsid w:val="00682C4D"/>
    <w:rsid w:val="00684526"/>
    <w:rsid w:val="006845E1"/>
    <w:rsid w:val="0068462E"/>
    <w:rsid w:val="00685B2D"/>
    <w:rsid w:val="006860E5"/>
    <w:rsid w:val="00686B84"/>
    <w:rsid w:val="006904B6"/>
    <w:rsid w:val="0069051E"/>
    <w:rsid w:val="0069101B"/>
    <w:rsid w:val="00691441"/>
    <w:rsid w:val="00691540"/>
    <w:rsid w:val="00691BE5"/>
    <w:rsid w:val="00693685"/>
    <w:rsid w:val="00693FBD"/>
    <w:rsid w:val="0069596C"/>
    <w:rsid w:val="00695FE4"/>
    <w:rsid w:val="006A0402"/>
    <w:rsid w:val="006A1B37"/>
    <w:rsid w:val="006A436A"/>
    <w:rsid w:val="006A6A7D"/>
    <w:rsid w:val="006A72D6"/>
    <w:rsid w:val="006B01F1"/>
    <w:rsid w:val="006B10C6"/>
    <w:rsid w:val="006B15BE"/>
    <w:rsid w:val="006B268B"/>
    <w:rsid w:val="006B2B12"/>
    <w:rsid w:val="006B322A"/>
    <w:rsid w:val="006B404B"/>
    <w:rsid w:val="006B46E0"/>
    <w:rsid w:val="006B4BAD"/>
    <w:rsid w:val="006B52C7"/>
    <w:rsid w:val="006B68EB"/>
    <w:rsid w:val="006C2B21"/>
    <w:rsid w:val="006C5C5E"/>
    <w:rsid w:val="006C5CB9"/>
    <w:rsid w:val="006C6E20"/>
    <w:rsid w:val="006C6FF6"/>
    <w:rsid w:val="006D0552"/>
    <w:rsid w:val="006D12EE"/>
    <w:rsid w:val="006D1463"/>
    <w:rsid w:val="006D342A"/>
    <w:rsid w:val="006D39EC"/>
    <w:rsid w:val="006D4E48"/>
    <w:rsid w:val="006D5737"/>
    <w:rsid w:val="006D5F5A"/>
    <w:rsid w:val="006D60B7"/>
    <w:rsid w:val="006D6AE6"/>
    <w:rsid w:val="006E1081"/>
    <w:rsid w:val="006E1522"/>
    <w:rsid w:val="006E164B"/>
    <w:rsid w:val="006E2BEB"/>
    <w:rsid w:val="006E2DA1"/>
    <w:rsid w:val="006E32C2"/>
    <w:rsid w:val="006E3AA6"/>
    <w:rsid w:val="006E48EF"/>
    <w:rsid w:val="006E4D04"/>
    <w:rsid w:val="006E51E9"/>
    <w:rsid w:val="006E579C"/>
    <w:rsid w:val="006E57D5"/>
    <w:rsid w:val="006E7D2A"/>
    <w:rsid w:val="006F4638"/>
    <w:rsid w:val="006F4B7D"/>
    <w:rsid w:val="006F4EC3"/>
    <w:rsid w:val="006F66AE"/>
    <w:rsid w:val="006F7699"/>
    <w:rsid w:val="006F7E40"/>
    <w:rsid w:val="007005B8"/>
    <w:rsid w:val="00701009"/>
    <w:rsid w:val="00701055"/>
    <w:rsid w:val="007023D1"/>
    <w:rsid w:val="00702B02"/>
    <w:rsid w:val="007030DB"/>
    <w:rsid w:val="00703679"/>
    <w:rsid w:val="00704922"/>
    <w:rsid w:val="00705FD0"/>
    <w:rsid w:val="00707F22"/>
    <w:rsid w:val="00716947"/>
    <w:rsid w:val="007172EE"/>
    <w:rsid w:val="007177DC"/>
    <w:rsid w:val="00717B4B"/>
    <w:rsid w:val="00717DE3"/>
    <w:rsid w:val="00720585"/>
    <w:rsid w:val="007210A3"/>
    <w:rsid w:val="00721190"/>
    <w:rsid w:val="00723D0F"/>
    <w:rsid w:val="007243A9"/>
    <w:rsid w:val="00725C3D"/>
    <w:rsid w:val="00726630"/>
    <w:rsid w:val="00727296"/>
    <w:rsid w:val="00731096"/>
    <w:rsid w:val="00732E1D"/>
    <w:rsid w:val="0073384F"/>
    <w:rsid w:val="00734A89"/>
    <w:rsid w:val="00735FA5"/>
    <w:rsid w:val="00736E63"/>
    <w:rsid w:val="007420B2"/>
    <w:rsid w:val="00742409"/>
    <w:rsid w:val="0075046E"/>
    <w:rsid w:val="007523C7"/>
    <w:rsid w:val="00755049"/>
    <w:rsid w:val="0075560B"/>
    <w:rsid w:val="0075567D"/>
    <w:rsid w:val="007564BC"/>
    <w:rsid w:val="00756D88"/>
    <w:rsid w:val="00761233"/>
    <w:rsid w:val="0076198C"/>
    <w:rsid w:val="00761B4B"/>
    <w:rsid w:val="00761E80"/>
    <w:rsid w:val="00762B75"/>
    <w:rsid w:val="0076492F"/>
    <w:rsid w:val="007657E9"/>
    <w:rsid w:val="00766BCC"/>
    <w:rsid w:val="00767AC2"/>
    <w:rsid w:val="0077022C"/>
    <w:rsid w:val="00770383"/>
    <w:rsid w:val="007707B6"/>
    <w:rsid w:val="007721D6"/>
    <w:rsid w:val="00773AF6"/>
    <w:rsid w:val="00773D20"/>
    <w:rsid w:val="00773FC7"/>
    <w:rsid w:val="00775212"/>
    <w:rsid w:val="0077583D"/>
    <w:rsid w:val="007759CA"/>
    <w:rsid w:val="007818AF"/>
    <w:rsid w:val="00781994"/>
    <w:rsid w:val="007819A5"/>
    <w:rsid w:val="007825B4"/>
    <w:rsid w:val="00782CC1"/>
    <w:rsid w:val="0078314F"/>
    <w:rsid w:val="007833C1"/>
    <w:rsid w:val="00786D9A"/>
    <w:rsid w:val="007870B5"/>
    <w:rsid w:val="0079054F"/>
    <w:rsid w:val="00790595"/>
    <w:rsid w:val="00792ADE"/>
    <w:rsid w:val="00792BCF"/>
    <w:rsid w:val="0079359A"/>
    <w:rsid w:val="00793ADF"/>
    <w:rsid w:val="00794C69"/>
    <w:rsid w:val="00794D6D"/>
    <w:rsid w:val="00796751"/>
    <w:rsid w:val="007A2642"/>
    <w:rsid w:val="007A288A"/>
    <w:rsid w:val="007A52BD"/>
    <w:rsid w:val="007A73F2"/>
    <w:rsid w:val="007A795D"/>
    <w:rsid w:val="007B0AD1"/>
    <w:rsid w:val="007B32F0"/>
    <w:rsid w:val="007B3A5E"/>
    <w:rsid w:val="007B56FC"/>
    <w:rsid w:val="007B7482"/>
    <w:rsid w:val="007C052E"/>
    <w:rsid w:val="007C111C"/>
    <w:rsid w:val="007C1EAC"/>
    <w:rsid w:val="007C220F"/>
    <w:rsid w:val="007C2F4B"/>
    <w:rsid w:val="007C3151"/>
    <w:rsid w:val="007C33B7"/>
    <w:rsid w:val="007C4005"/>
    <w:rsid w:val="007C4518"/>
    <w:rsid w:val="007C4901"/>
    <w:rsid w:val="007C5748"/>
    <w:rsid w:val="007C62F3"/>
    <w:rsid w:val="007D1900"/>
    <w:rsid w:val="007D1BBB"/>
    <w:rsid w:val="007D1D1D"/>
    <w:rsid w:val="007D1D9B"/>
    <w:rsid w:val="007D2A69"/>
    <w:rsid w:val="007D30CB"/>
    <w:rsid w:val="007D35EF"/>
    <w:rsid w:val="007D3BDD"/>
    <w:rsid w:val="007D4FFD"/>
    <w:rsid w:val="007D6738"/>
    <w:rsid w:val="007D6B81"/>
    <w:rsid w:val="007D6EF5"/>
    <w:rsid w:val="007E053E"/>
    <w:rsid w:val="007E1E54"/>
    <w:rsid w:val="007E441D"/>
    <w:rsid w:val="007E4FD8"/>
    <w:rsid w:val="007E674F"/>
    <w:rsid w:val="007E6B1E"/>
    <w:rsid w:val="007F143F"/>
    <w:rsid w:val="007F1505"/>
    <w:rsid w:val="007F26F5"/>
    <w:rsid w:val="007F45BF"/>
    <w:rsid w:val="007F659A"/>
    <w:rsid w:val="007F7403"/>
    <w:rsid w:val="00802580"/>
    <w:rsid w:val="00802C0F"/>
    <w:rsid w:val="0080310C"/>
    <w:rsid w:val="00804FB1"/>
    <w:rsid w:val="00807392"/>
    <w:rsid w:val="00810BC0"/>
    <w:rsid w:val="00811B7B"/>
    <w:rsid w:val="00812441"/>
    <w:rsid w:val="00812A78"/>
    <w:rsid w:val="00813309"/>
    <w:rsid w:val="0081454C"/>
    <w:rsid w:val="00814DFF"/>
    <w:rsid w:val="008163CC"/>
    <w:rsid w:val="00816C11"/>
    <w:rsid w:val="00821AC4"/>
    <w:rsid w:val="008221FC"/>
    <w:rsid w:val="0082282C"/>
    <w:rsid w:val="0082338D"/>
    <w:rsid w:val="0082573B"/>
    <w:rsid w:val="008266D0"/>
    <w:rsid w:val="00831006"/>
    <w:rsid w:val="008328B8"/>
    <w:rsid w:val="008354CC"/>
    <w:rsid w:val="008354EF"/>
    <w:rsid w:val="00835C50"/>
    <w:rsid w:val="00841C68"/>
    <w:rsid w:val="00843DBA"/>
    <w:rsid w:val="008449EE"/>
    <w:rsid w:val="0084502D"/>
    <w:rsid w:val="00845E3C"/>
    <w:rsid w:val="008465E2"/>
    <w:rsid w:val="0085087A"/>
    <w:rsid w:val="008545A1"/>
    <w:rsid w:val="008559E2"/>
    <w:rsid w:val="00855D7C"/>
    <w:rsid w:val="00857187"/>
    <w:rsid w:val="00857DBD"/>
    <w:rsid w:val="00860893"/>
    <w:rsid w:val="00860EB5"/>
    <w:rsid w:val="008612FF"/>
    <w:rsid w:val="00863BBE"/>
    <w:rsid w:val="00864650"/>
    <w:rsid w:val="00864E00"/>
    <w:rsid w:val="00864EF7"/>
    <w:rsid w:val="008670CD"/>
    <w:rsid w:val="00867683"/>
    <w:rsid w:val="00867DF5"/>
    <w:rsid w:val="00870B50"/>
    <w:rsid w:val="0087342D"/>
    <w:rsid w:val="008737D2"/>
    <w:rsid w:val="00873874"/>
    <w:rsid w:val="008750E4"/>
    <w:rsid w:val="00875292"/>
    <w:rsid w:val="0087579A"/>
    <w:rsid w:val="0087794D"/>
    <w:rsid w:val="00877D05"/>
    <w:rsid w:val="008814A0"/>
    <w:rsid w:val="00881D02"/>
    <w:rsid w:val="00882055"/>
    <w:rsid w:val="0088398B"/>
    <w:rsid w:val="00883ABD"/>
    <w:rsid w:val="00883DBC"/>
    <w:rsid w:val="00883DBD"/>
    <w:rsid w:val="008855CA"/>
    <w:rsid w:val="00885BAF"/>
    <w:rsid w:val="00886C84"/>
    <w:rsid w:val="00891EF3"/>
    <w:rsid w:val="008920B5"/>
    <w:rsid w:val="00892A4E"/>
    <w:rsid w:val="008949A9"/>
    <w:rsid w:val="00894C55"/>
    <w:rsid w:val="00894D96"/>
    <w:rsid w:val="00895E55"/>
    <w:rsid w:val="008A1574"/>
    <w:rsid w:val="008A17B5"/>
    <w:rsid w:val="008A4D39"/>
    <w:rsid w:val="008A7A2C"/>
    <w:rsid w:val="008B1412"/>
    <w:rsid w:val="008B2E38"/>
    <w:rsid w:val="008B2E96"/>
    <w:rsid w:val="008B345E"/>
    <w:rsid w:val="008B3550"/>
    <w:rsid w:val="008B4140"/>
    <w:rsid w:val="008B5E7A"/>
    <w:rsid w:val="008B67C3"/>
    <w:rsid w:val="008B6825"/>
    <w:rsid w:val="008B6A46"/>
    <w:rsid w:val="008C0BFD"/>
    <w:rsid w:val="008C1AC8"/>
    <w:rsid w:val="008C3614"/>
    <w:rsid w:val="008C397E"/>
    <w:rsid w:val="008C5352"/>
    <w:rsid w:val="008C6332"/>
    <w:rsid w:val="008C6A64"/>
    <w:rsid w:val="008C7DD6"/>
    <w:rsid w:val="008D176D"/>
    <w:rsid w:val="008D1895"/>
    <w:rsid w:val="008D316C"/>
    <w:rsid w:val="008D4E09"/>
    <w:rsid w:val="008D53D4"/>
    <w:rsid w:val="008D58E4"/>
    <w:rsid w:val="008D5EFA"/>
    <w:rsid w:val="008D6364"/>
    <w:rsid w:val="008D7C8F"/>
    <w:rsid w:val="008E136A"/>
    <w:rsid w:val="008E153C"/>
    <w:rsid w:val="008E2A12"/>
    <w:rsid w:val="008E2D83"/>
    <w:rsid w:val="008E2F98"/>
    <w:rsid w:val="008E3B83"/>
    <w:rsid w:val="008E498A"/>
    <w:rsid w:val="008E587E"/>
    <w:rsid w:val="008E6EB5"/>
    <w:rsid w:val="008F063F"/>
    <w:rsid w:val="008F0C84"/>
    <w:rsid w:val="008F18EB"/>
    <w:rsid w:val="008F4BDD"/>
    <w:rsid w:val="008F6A81"/>
    <w:rsid w:val="00903BC0"/>
    <w:rsid w:val="00903F67"/>
    <w:rsid w:val="00904281"/>
    <w:rsid w:val="009053FB"/>
    <w:rsid w:val="009058B2"/>
    <w:rsid w:val="0090761D"/>
    <w:rsid w:val="009119C9"/>
    <w:rsid w:val="009123A9"/>
    <w:rsid w:val="00912D56"/>
    <w:rsid w:val="00912DB5"/>
    <w:rsid w:val="0091363A"/>
    <w:rsid w:val="00914DBE"/>
    <w:rsid w:val="0091556F"/>
    <w:rsid w:val="00915BCD"/>
    <w:rsid w:val="009163BE"/>
    <w:rsid w:val="00917015"/>
    <w:rsid w:val="00917B91"/>
    <w:rsid w:val="00917EE7"/>
    <w:rsid w:val="009254A3"/>
    <w:rsid w:val="00927E1C"/>
    <w:rsid w:val="00930D6E"/>
    <w:rsid w:val="0093172E"/>
    <w:rsid w:val="0093289F"/>
    <w:rsid w:val="00935EEF"/>
    <w:rsid w:val="009416AB"/>
    <w:rsid w:val="00943543"/>
    <w:rsid w:val="00943731"/>
    <w:rsid w:val="00944001"/>
    <w:rsid w:val="0094417F"/>
    <w:rsid w:val="0094472E"/>
    <w:rsid w:val="0094794B"/>
    <w:rsid w:val="009501BA"/>
    <w:rsid w:val="009504E2"/>
    <w:rsid w:val="00951049"/>
    <w:rsid w:val="00951C11"/>
    <w:rsid w:val="00952A72"/>
    <w:rsid w:val="009545A2"/>
    <w:rsid w:val="00954EF0"/>
    <w:rsid w:val="00955232"/>
    <w:rsid w:val="009553CD"/>
    <w:rsid w:val="00955E17"/>
    <w:rsid w:val="00955F4B"/>
    <w:rsid w:val="00961886"/>
    <w:rsid w:val="0096210A"/>
    <w:rsid w:val="00962D32"/>
    <w:rsid w:val="00964F79"/>
    <w:rsid w:val="009654E9"/>
    <w:rsid w:val="009661D8"/>
    <w:rsid w:val="009662F6"/>
    <w:rsid w:val="00967E93"/>
    <w:rsid w:val="00970664"/>
    <w:rsid w:val="00970E8E"/>
    <w:rsid w:val="009710AC"/>
    <w:rsid w:val="00971214"/>
    <w:rsid w:val="0097124C"/>
    <w:rsid w:val="009719C5"/>
    <w:rsid w:val="00973C9A"/>
    <w:rsid w:val="009746C1"/>
    <w:rsid w:val="00976754"/>
    <w:rsid w:val="0097755B"/>
    <w:rsid w:val="00981351"/>
    <w:rsid w:val="00982D63"/>
    <w:rsid w:val="0098348A"/>
    <w:rsid w:val="00983D52"/>
    <w:rsid w:val="00984E00"/>
    <w:rsid w:val="00986393"/>
    <w:rsid w:val="009902CC"/>
    <w:rsid w:val="00994AB8"/>
    <w:rsid w:val="00994C0F"/>
    <w:rsid w:val="00995260"/>
    <w:rsid w:val="00995DAD"/>
    <w:rsid w:val="00996C9F"/>
    <w:rsid w:val="009A020F"/>
    <w:rsid w:val="009A2051"/>
    <w:rsid w:val="009A29E2"/>
    <w:rsid w:val="009A3405"/>
    <w:rsid w:val="009A4653"/>
    <w:rsid w:val="009B0EAA"/>
    <w:rsid w:val="009B2061"/>
    <w:rsid w:val="009B39F6"/>
    <w:rsid w:val="009B419C"/>
    <w:rsid w:val="009B4FA4"/>
    <w:rsid w:val="009C0321"/>
    <w:rsid w:val="009C0911"/>
    <w:rsid w:val="009C122F"/>
    <w:rsid w:val="009C1238"/>
    <w:rsid w:val="009C16F2"/>
    <w:rsid w:val="009C387B"/>
    <w:rsid w:val="009C45F4"/>
    <w:rsid w:val="009D0217"/>
    <w:rsid w:val="009D1D0E"/>
    <w:rsid w:val="009D2344"/>
    <w:rsid w:val="009D33FC"/>
    <w:rsid w:val="009D3DC8"/>
    <w:rsid w:val="009D531B"/>
    <w:rsid w:val="009D53D6"/>
    <w:rsid w:val="009D5498"/>
    <w:rsid w:val="009D6450"/>
    <w:rsid w:val="009D6E3E"/>
    <w:rsid w:val="009D7046"/>
    <w:rsid w:val="009D75F5"/>
    <w:rsid w:val="009D763E"/>
    <w:rsid w:val="009E1005"/>
    <w:rsid w:val="009E128B"/>
    <w:rsid w:val="009E1329"/>
    <w:rsid w:val="009E2282"/>
    <w:rsid w:val="009E3A57"/>
    <w:rsid w:val="009E5339"/>
    <w:rsid w:val="009E5E94"/>
    <w:rsid w:val="009E6181"/>
    <w:rsid w:val="009E68A3"/>
    <w:rsid w:val="009E6AD9"/>
    <w:rsid w:val="009E7BAC"/>
    <w:rsid w:val="009F0B07"/>
    <w:rsid w:val="009F1C93"/>
    <w:rsid w:val="009F218C"/>
    <w:rsid w:val="009F2BFE"/>
    <w:rsid w:val="009F3E99"/>
    <w:rsid w:val="009F3F86"/>
    <w:rsid w:val="009F4983"/>
    <w:rsid w:val="009F4CAC"/>
    <w:rsid w:val="009F6A42"/>
    <w:rsid w:val="009F7823"/>
    <w:rsid w:val="009F7D01"/>
    <w:rsid w:val="00A01E5F"/>
    <w:rsid w:val="00A02247"/>
    <w:rsid w:val="00A0375C"/>
    <w:rsid w:val="00A037AD"/>
    <w:rsid w:val="00A03E2F"/>
    <w:rsid w:val="00A03F82"/>
    <w:rsid w:val="00A04F98"/>
    <w:rsid w:val="00A05ACD"/>
    <w:rsid w:val="00A06AE0"/>
    <w:rsid w:val="00A079D0"/>
    <w:rsid w:val="00A11131"/>
    <w:rsid w:val="00A11E41"/>
    <w:rsid w:val="00A12C7F"/>
    <w:rsid w:val="00A1375D"/>
    <w:rsid w:val="00A13E56"/>
    <w:rsid w:val="00A13EAF"/>
    <w:rsid w:val="00A155AA"/>
    <w:rsid w:val="00A20832"/>
    <w:rsid w:val="00A221B6"/>
    <w:rsid w:val="00A22C08"/>
    <w:rsid w:val="00A2533D"/>
    <w:rsid w:val="00A258EF"/>
    <w:rsid w:val="00A25F6D"/>
    <w:rsid w:val="00A2637B"/>
    <w:rsid w:val="00A2747F"/>
    <w:rsid w:val="00A27B2C"/>
    <w:rsid w:val="00A302B6"/>
    <w:rsid w:val="00A30316"/>
    <w:rsid w:val="00A305C7"/>
    <w:rsid w:val="00A30AA6"/>
    <w:rsid w:val="00A31EA9"/>
    <w:rsid w:val="00A32FAD"/>
    <w:rsid w:val="00A33715"/>
    <w:rsid w:val="00A33E2F"/>
    <w:rsid w:val="00A34596"/>
    <w:rsid w:val="00A34CAE"/>
    <w:rsid w:val="00A3537D"/>
    <w:rsid w:val="00A36D17"/>
    <w:rsid w:val="00A3706D"/>
    <w:rsid w:val="00A3747D"/>
    <w:rsid w:val="00A40FE8"/>
    <w:rsid w:val="00A411FB"/>
    <w:rsid w:val="00A41532"/>
    <w:rsid w:val="00A41F0E"/>
    <w:rsid w:val="00A42D5E"/>
    <w:rsid w:val="00A44788"/>
    <w:rsid w:val="00A4571A"/>
    <w:rsid w:val="00A463BB"/>
    <w:rsid w:val="00A475A0"/>
    <w:rsid w:val="00A50606"/>
    <w:rsid w:val="00A50A21"/>
    <w:rsid w:val="00A518A6"/>
    <w:rsid w:val="00A51953"/>
    <w:rsid w:val="00A5387D"/>
    <w:rsid w:val="00A539BF"/>
    <w:rsid w:val="00A5418F"/>
    <w:rsid w:val="00A54A93"/>
    <w:rsid w:val="00A5669E"/>
    <w:rsid w:val="00A56CFE"/>
    <w:rsid w:val="00A60ACD"/>
    <w:rsid w:val="00A617B1"/>
    <w:rsid w:val="00A617ED"/>
    <w:rsid w:val="00A61E3F"/>
    <w:rsid w:val="00A62C40"/>
    <w:rsid w:val="00A62FCE"/>
    <w:rsid w:val="00A6342D"/>
    <w:rsid w:val="00A64F1D"/>
    <w:rsid w:val="00A67016"/>
    <w:rsid w:val="00A676A1"/>
    <w:rsid w:val="00A7042F"/>
    <w:rsid w:val="00A721B3"/>
    <w:rsid w:val="00A758F9"/>
    <w:rsid w:val="00A76BF1"/>
    <w:rsid w:val="00A80A95"/>
    <w:rsid w:val="00A810A5"/>
    <w:rsid w:val="00A81201"/>
    <w:rsid w:val="00A82DE8"/>
    <w:rsid w:val="00A834C8"/>
    <w:rsid w:val="00A83CB2"/>
    <w:rsid w:val="00A852B1"/>
    <w:rsid w:val="00A85768"/>
    <w:rsid w:val="00A874E5"/>
    <w:rsid w:val="00A90E84"/>
    <w:rsid w:val="00A91A6C"/>
    <w:rsid w:val="00A93D86"/>
    <w:rsid w:val="00A96112"/>
    <w:rsid w:val="00A96DFD"/>
    <w:rsid w:val="00A9784C"/>
    <w:rsid w:val="00A97C8E"/>
    <w:rsid w:val="00AA0ACB"/>
    <w:rsid w:val="00AA47CB"/>
    <w:rsid w:val="00AA5971"/>
    <w:rsid w:val="00AA59A6"/>
    <w:rsid w:val="00AA62C3"/>
    <w:rsid w:val="00AA6486"/>
    <w:rsid w:val="00AA6F62"/>
    <w:rsid w:val="00AA799A"/>
    <w:rsid w:val="00AA7BCC"/>
    <w:rsid w:val="00AA7F71"/>
    <w:rsid w:val="00AB05D8"/>
    <w:rsid w:val="00AB133D"/>
    <w:rsid w:val="00AB1BE3"/>
    <w:rsid w:val="00AB230C"/>
    <w:rsid w:val="00AB2441"/>
    <w:rsid w:val="00AB4359"/>
    <w:rsid w:val="00AB5681"/>
    <w:rsid w:val="00AB60C9"/>
    <w:rsid w:val="00AB72A5"/>
    <w:rsid w:val="00AB7A25"/>
    <w:rsid w:val="00AC1D5C"/>
    <w:rsid w:val="00AC4403"/>
    <w:rsid w:val="00AC5298"/>
    <w:rsid w:val="00AC5D28"/>
    <w:rsid w:val="00AD0499"/>
    <w:rsid w:val="00AD08BC"/>
    <w:rsid w:val="00AD2604"/>
    <w:rsid w:val="00AD2BC8"/>
    <w:rsid w:val="00AD2E8A"/>
    <w:rsid w:val="00AD43A9"/>
    <w:rsid w:val="00AD4A30"/>
    <w:rsid w:val="00AD6840"/>
    <w:rsid w:val="00AD7092"/>
    <w:rsid w:val="00AD7B01"/>
    <w:rsid w:val="00AE02BC"/>
    <w:rsid w:val="00AE0D65"/>
    <w:rsid w:val="00AE1394"/>
    <w:rsid w:val="00AE4C3D"/>
    <w:rsid w:val="00AE5567"/>
    <w:rsid w:val="00AE7593"/>
    <w:rsid w:val="00AE78DA"/>
    <w:rsid w:val="00AF1CB0"/>
    <w:rsid w:val="00AF345F"/>
    <w:rsid w:val="00AF3891"/>
    <w:rsid w:val="00AF54D0"/>
    <w:rsid w:val="00AF687D"/>
    <w:rsid w:val="00B00001"/>
    <w:rsid w:val="00B030D4"/>
    <w:rsid w:val="00B04EEC"/>
    <w:rsid w:val="00B0523D"/>
    <w:rsid w:val="00B05C56"/>
    <w:rsid w:val="00B06B4C"/>
    <w:rsid w:val="00B10FA1"/>
    <w:rsid w:val="00B14275"/>
    <w:rsid w:val="00B14489"/>
    <w:rsid w:val="00B14AF1"/>
    <w:rsid w:val="00B16776"/>
    <w:rsid w:val="00B16C74"/>
    <w:rsid w:val="00B171EE"/>
    <w:rsid w:val="00B17702"/>
    <w:rsid w:val="00B20E87"/>
    <w:rsid w:val="00B20FC0"/>
    <w:rsid w:val="00B215A7"/>
    <w:rsid w:val="00B2165C"/>
    <w:rsid w:val="00B224BE"/>
    <w:rsid w:val="00B225E7"/>
    <w:rsid w:val="00B227B5"/>
    <w:rsid w:val="00B22B51"/>
    <w:rsid w:val="00B22DE3"/>
    <w:rsid w:val="00B243A9"/>
    <w:rsid w:val="00B25FBB"/>
    <w:rsid w:val="00B27CA8"/>
    <w:rsid w:val="00B324D8"/>
    <w:rsid w:val="00B32B96"/>
    <w:rsid w:val="00B330CB"/>
    <w:rsid w:val="00B34DD3"/>
    <w:rsid w:val="00B35FDA"/>
    <w:rsid w:val="00B36388"/>
    <w:rsid w:val="00B3659D"/>
    <w:rsid w:val="00B4089C"/>
    <w:rsid w:val="00B42E2A"/>
    <w:rsid w:val="00B43C5A"/>
    <w:rsid w:val="00B43CE6"/>
    <w:rsid w:val="00B46F31"/>
    <w:rsid w:val="00B50722"/>
    <w:rsid w:val="00B52AAB"/>
    <w:rsid w:val="00B52B2B"/>
    <w:rsid w:val="00B52F99"/>
    <w:rsid w:val="00B548D4"/>
    <w:rsid w:val="00B54B0F"/>
    <w:rsid w:val="00B55CA0"/>
    <w:rsid w:val="00B55D32"/>
    <w:rsid w:val="00B56D70"/>
    <w:rsid w:val="00B5779A"/>
    <w:rsid w:val="00B6144B"/>
    <w:rsid w:val="00B615E0"/>
    <w:rsid w:val="00B63DD8"/>
    <w:rsid w:val="00B640A3"/>
    <w:rsid w:val="00B6744D"/>
    <w:rsid w:val="00B70D3C"/>
    <w:rsid w:val="00B71438"/>
    <w:rsid w:val="00B71959"/>
    <w:rsid w:val="00B72751"/>
    <w:rsid w:val="00B72D88"/>
    <w:rsid w:val="00B740CB"/>
    <w:rsid w:val="00B74D0A"/>
    <w:rsid w:val="00B769EC"/>
    <w:rsid w:val="00B77A19"/>
    <w:rsid w:val="00B77EA0"/>
    <w:rsid w:val="00B80599"/>
    <w:rsid w:val="00B813BA"/>
    <w:rsid w:val="00B82AC9"/>
    <w:rsid w:val="00B82F7A"/>
    <w:rsid w:val="00B84A80"/>
    <w:rsid w:val="00B8545A"/>
    <w:rsid w:val="00B85C39"/>
    <w:rsid w:val="00B86EB6"/>
    <w:rsid w:val="00B87012"/>
    <w:rsid w:val="00B9106B"/>
    <w:rsid w:val="00B922B1"/>
    <w:rsid w:val="00B9232C"/>
    <w:rsid w:val="00B93DE8"/>
    <w:rsid w:val="00B945AA"/>
    <w:rsid w:val="00B94EDF"/>
    <w:rsid w:val="00BA2B82"/>
    <w:rsid w:val="00BA2CB2"/>
    <w:rsid w:val="00BA53DE"/>
    <w:rsid w:val="00BA5AC9"/>
    <w:rsid w:val="00BA5EBD"/>
    <w:rsid w:val="00BA6DD9"/>
    <w:rsid w:val="00BA775A"/>
    <w:rsid w:val="00BB0F50"/>
    <w:rsid w:val="00BB1F43"/>
    <w:rsid w:val="00BB3413"/>
    <w:rsid w:val="00BB3A23"/>
    <w:rsid w:val="00BB3C99"/>
    <w:rsid w:val="00BB6985"/>
    <w:rsid w:val="00BB6C81"/>
    <w:rsid w:val="00BB764A"/>
    <w:rsid w:val="00BB7E8D"/>
    <w:rsid w:val="00BC0893"/>
    <w:rsid w:val="00BC16B4"/>
    <w:rsid w:val="00BC1B4A"/>
    <w:rsid w:val="00BC2435"/>
    <w:rsid w:val="00BC2574"/>
    <w:rsid w:val="00BC2B73"/>
    <w:rsid w:val="00BC2D94"/>
    <w:rsid w:val="00BC3178"/>
    <w:rsid w:val="00BC378B"/>
    <w:rsid w:val="00BC399D"/>
    <w:rsid w:val="00BC5048"/>
    <w:rsid w:val="00BC5B75"/>
    <w:rsid w:val="00BD152E"/>
    <w:rsid w:val="00BD1828"/>
    <w:rsid w:val="00BD1A61"/>
    <w:rsid w:val="00BD33E0"/>
    <w:rsid w:val="00BD4425"/>
    <w:rsid w:val="00BD44C9"/>
    <w:rsid w:val="00BD4882"/>
    <w:rsid w:val="00BD4986"/>
    <w:rsid w:val="00BD53E3"/>
    <w:rsid w:val="00BD57AA"/>
    <w:rsid w:val="00BD5A9A"/>
    <w:rsid w:val="00BD7159"/>
    <w:rsid w:val="00BE10FA"/>
    <w:rsid w:val="00BE3E06"/>
    <w:rsid w:val="00BE3FAC"/>
    <w:rsid w:val="00BE4A2D"/>
    <w:rsid w:val="00BE592D"/>
    <w:rsid w:val="00BE6B1F"/>
    <w:rsid w:val="00BE6C8A"/>
    <w:rsid w:val="00BF097C"/>
    <w:rsid w:val="00BF1410"/>
    <w:rsid w:val="00BF1980"/>
    <w:rsid w:val="00BF2C48"/>
    <w:rsid w:val="00BF3359"/>
    <w:rsid w:val="00BF378A"/>
    <w:rsid w:val="00BF47B4"/>
    <w:rsid w:val="00BF7C3D"/>
    <w:rsid w:val="00BF7F50"/>
    <w:rsid w:val="00C017E7"/>
    <w:rsid w:val="00C02768"/>
    <w:rsid w:val="00C05F18"/>
    <w:rsid w:val="00C109B3"/>
    <w:rsid w:val="00C10E49"/>
    <w:rsid w:val="00C11912"/>
    <w:rsid w:val="00C11F6F"/>
    <w:rsid w:val="00C13ACA"/>
    <w:rsid w:val="00C14AC4"/>
    <w:rsid w:val="00C17522"/>
    <w:rsid w:val="00C210D0"/>
    <w:rsid w:val="00C214B4"/>
    <w:rsid w:val="00C21AF5"/>
    <w:rsid w:val="00C21FA8"/>
    <w:rsid w:val="00C227FE"/>
    <w:rsid w:val="00C256D9"/>
    <w:rsid w:val="00C25B49"/>
    <w:rsid w:val="00C26AA2"/>
    <w:rsid w:val="00C27843"/>
    <w:rsid w:val="00C27AC7"/>
    <w:rsid w:val="00C31841"/>
    <w:rsid w:val="00C321D0"/>
    <w:rsid w:val="00C325BE"/>
    <w:rsid w:val="00C327F5"/>
    <w:rsid w:val="00C348D9"/>
    <w:rsid w:val="00C35652"/>
    <w:rsid w:val="00C35C78"/>
    <w:rsid w:val="00C35C91"/>
    <w:rsid w:val="00C363DF"/>
    <w:rsid w:val="00C365C6"/>
    <w:rsid w:val="00C3680F"/>
    <w:rsid w:val="00C37988"/>
    <w:rsid w:val="00C40EB5"/>
    <w:rsid w:val="00C40ECF"/>
    <w:rsid w:val="00C40F12"/>
    <w:rsid w:val="00C41824"/>
    <w:rsid w:val="00C41D99"/>
    <w:rsid w:val="00C43292"/>
    <w:rsid w:val="00C450A7"/>
    <w:rsid w:val="00C47023"/>
    <w:rsid w:val="00C53DD3"/>
    <w:rsid w:val="00C55838"/>
    <w:rsid w:val="00C565B7"/>
    <w:rsid w:val="00C56A81"/>
    <w:rsid w:val="00C57934"/>
    <w:rsid w:val="00C57DD6"/>
    <w:rsid w:val="00C60E22"/>
    <w:rsid w:val="00C64B29"/>
    <w:rsid w:val="00C64BC8"/>
    <w:rsid w:val="00C658FD"/>
    <w:rsid w:val="00C65C78"/>
    <w:rsid w:val="00C678D2"/>
    <w:rsid w:val="00C67C79"/>
    <w:rsid w:val="00C704CC"/>
    <w:rsid w:val="00C7056D"/>
    <w:rsid w:val="00C7280E"/>
    <w:rsid w:val="00C7297D"/>
    <w:rsid w:val="00C7310B"/>
    <w:rsid w:val="00C749E3"/>
    <w:rsid w:val="00C75197"/>
    <w:rsid w:val="00C75304"/>
    <w:rsid w:val="00C75FF5"/>
    <w:rsid w:val="00C762AA"/>
    <w:rsid w:val="00C815AD"/>
    <w:rsid w:val="00C818B3"/>
    <w:rsid w:val="00C81BC4"/>
    <w:rsid w:val="00C8300F"/>
    <w:rsid w:val="00C8391A"/>
    <w:rsid w:val="00C83AFB"/>
    <w:rsid w:val="00C83BDA"/>
    <w:rsid w:val="00C842AA"/>
    <w:rsid w:val="00C84AFB"/>
    <w:rsid w:val="00C84F66"/>
    <w:rsid w:val="00C8688C"/>
    <w:rsid w:val="00C86F71"/>
    <w:rsid w:val="00C9026D"/>
    <w:rsid w:val="00C90294"/>
    <w:rsid w:val="00C90803"/>
    <w:rsid w:val="00C90885"/>
    <w:rsid w:val="00C925BD"/>
    <w:rsid w:val="00C959E8"/>
    <w:rsid w:val="00C95FA3"/>
    <w:rsid w:val="00C97CBA"/>
    <w:rsid w:val="00C97E41"/>
    <w:rsid w:val="00CA0735"/>
    <w:rsid w:val="00CA19C6"/>
    <w:rsid w:val="00CA1E17"/>
    <w:rsid w:val="00CA211D"/>
    <w:rsid w:val="00CA22C2"/>
    <w:rsid w:val="00CA2C86"/>
    <w:rsid w:val="00CA4C1D"/>
    <w:rsid w:val="00CA5082"/>
    <w:rsid w:val="00CA5BF5"/>
    <w:rsid w:val="00CB31E6"/>
    <w:rsid w:val="00CB3251"/>
    <w:rsid w:val="00CB75B7"/>
    <w:rsid w:val="00CB7E54"/>
    <w:rsid w:val="00CB7F0F"/>
    <w:rsid w:val="00CC190D"/>
    <w:rsid w:val="00CC2DBB"/>
    <w:rsid w:val="00CC3957"/>
    <w:rsid w:val="00CC3B6F"/>
    <w:rsid w:val="00CC7605"/>
    <w:rsid w:val="00CC7B73"/>
    <w:rsid w:val="00CD0CCD"/>
    <w:rsid w:val="00CD18CB"/>
    <w:rsid w:val="00CD2C75"/>
    <w:rsid w:val="00CD3630"/>
    <w:rsid w:val="00CD3B28"/>
    <w:rsid w:val="00CD5247"/>
    <w:rsid w:val="00CD7C3F"/>
    <w:rsid w:val="00CE0908"/>
    <w:rsid w:val="00CE1F3B"/>
    <w:rsid w:val="00CE20CB"/>
    <w:rsid w:val="00CE23C2"/>
    <w:rsid w:val="00CE36C7"/>
    <w:rsid w:val="00CE447E"/>
    <w:rsid w:val="00CE5657"/>
    <w:rsid w:val="00CE5BA1"/>
    <w:rsid w:val="00CE5CCF"/>
    <w:rsid w:val="00CE793D"/>
    <w:rsid w:val="00CF142C"/>
    <w:rsid w:val="00CF2E2D"/>
    <w:rsid w:val="00CF344A"/>
    <w:rsid w:val="00CF42E1"/>
    <w:rsid w:val="00CF49F4"/>
    <w:rsid w:val="00CF567E"/>
    <w:rsid w:val="00CF6FA6"/>
    <w:rsid w:val="00D01940"/>
    <w:rsid w:val="00D01F35"/>
    <w:rsid w:val="00D03060"/>
    <w:rsid w:val="00D047C4"/>
    <w:rsid w:val="00D04C7E"/>
    <w:rsid w:val="00D05E23"/>
    <w:rsid w:val="00D1297C"/>
    <w:rsid w:val="00D13490"/>
    <w:rsid w:val="00D1388C"/>
    <w:rsid w:val="00D13D7A"/>
    <w:rsid w:val="00D14EA1"/>
    <w:rsid w:val="00D15EF9"/>
    <w:rsid w:val="00D168D0"/>
    <w:rsid w:val="00D16A00"/>
    <w:rsid w:val="00D16F12"/>
    <w:rsid w:val="00D17955"/>
    <w:rsid w:val="00D20754"/>
    <w:rsid w:val="00D21F56"/>
    <w:rsid w:val="00D22188"/>
    <w:rsid w:val="00D23A50"/>
    <w:rsid w:val="00D242AA"/>
    <w:rsid w:val="00D25235"/>
    <w:rsid w:val="00D25B89"/>
    <w:rsid w:val="00D26369"/>
    <w:rsid w:val="00D26886"/>
    <w:rsid w:val="00D2764F"/>
    <w:rsid w:val="00D319A9"/>
    <w:rsid w:val="00D341E0"/>
    <w:rsid w:val="00D36A1D"/>
    <w:rsid w:val="00D422DF"/>
    <w:rsid w:val="00D42C2F"/>
    <w:rsid w:val="00D44E0E"/>
    <w:rsid w:val="00D44E4D"/>
    <w:rsid w:val="00D44F72"/>
    <w:rsid w:val="00D46B9B"/>
    <w:rsid w:val="00D50DA5"/>
    <w:rsid w:val="00D51C2A"/>
    <w:rsid w:val="00D522D3"/>
    <w:rsid w:val="00D5266F"/>
    <w:rsid w:val="00D53958"/>
    <w:rsid w:val="00D53CA4"/>
    <w:rsid w:val="00D5403B"/>
    <w:rsid w:val="00D546C6"/>
    <w:rsid w:val="00D55130"/>
    <w:rsid w:val="00D57767"/>
    <w:rsid w:val="00D60056"/>
    <w:rsid w:val="00D607E1"/>
    <w:rsid w:val="00D61003"/>
    <w:rsid w:val="00D61466"/>
    <w:rsid w:val="00D61D69"/>
    <w:rsid w:val="00D622BB"/>
    <w:rsid w:val="00D637FE"/>
    <w:rsid w:val="00D6431A"/>
    <w:rsid w:val="00D65324"/>
    <w:rsid w:val="00D66611"/>
    <w:rsid w:val="00D67104"/>
    <w:rsid w:val="00D67934"/>
    <w:rsid w:val="00D7110E"/>
    <w:rsid w:val="00D7112D"/>
    <w:rsid w:val="00D71292"/>
    <w:rsid w:val="00D72831"/>
    <w:rsid w:val="00D72D88"/>
    <w:rsid w:val="00D73A75"/>
    <w:rsid w:val="00D762FF"/>
    <w:rsid w:val="00D765D7"/>
    <w:rsid w:val="00D76A85"/>
    <w:rsid w:val="00D80130"/>
    <w:rsid w:val="00D8135A"/>
    <w:rsid w:val="00D815CB"/>
    <w:rsid w:val="00D82ECC"/>
    <w:rsid w:val="00D849F6"/>
    <w:rsid w:val="00D8588E"/>
    <w:rsid w:val="00D91B75"/>
    <w:rsid w:val="00D92E1E"/>
    <w:rsid w:val="00D93B68"/>
    <w:rsid w:val="00D94996"/>
    <w:rsid w:val="00D95681"/>
    <w:rsid w:val="00D9713F"/>
    <w:rsid w:val="00D971EF"/>
    <w:rsid w:val="00D973EC"/>
    <w:rsid w:val="00D979C7"/>
    <w:rsid w:val="00D97A06"/>
    <w:rsid w:val="00DA22F9"/>
    <w:rsid w:val="00DA2705"/>
    <w:rsid w:val="00DA2976"/>
    <w:rsid w:val="00DA29B5"/>
    <w:rsid w:val="00DA5167"/>
    <w:rsid w:val="00DA59DB"/>
    <w:rsid w:val="00DA6F4A"/>
    <w:rsid w:val="00DA7122"/>
    <w:rsid w:val="00DB020D"/>
    <w:rsid w:val="00DB03F9"/>
    <w:rsid w:val="00DB0F00"/>
    <w:rsid w:val="00DB16D7"/>
    <w:rsid w:val="00DB2706"/>
    <w:rsid w:val="00DB384C"/>
    <w:rsid w:val="00DB4949"/>
    <w:rsid w:val="00DB5696"/>
    <w:rsid w:val="00DB7D2C"/>
    <w:rsid w:val="00DB7DC5"/>
    <w:rsid w:val="00DB7FD4"/>
    <w:rsid w:val="00DC056C"/>
    <w:rsid w:val="00DC07EC"/>
    <w:rsid w:val="00DC0AA7"/>
    <w:rsid w:val="00DC1055"/>
    <w:rsid w:val="00DC4706"/>
    <w:rsid w:val="00DC4AF1"/>
    <w:rsid w:val="00DC6275"/>
    <w:rsid w:val="00DC64D7"/>
    <w:rsid w:val="00DC68A8"/>
    <w:rsid w:val="00DC68B0"/>
    <w:rsid w:val="00DC79A1"/>
    <w:rsid w:val="00DD0513"/>
    <w:rsid w:val="00DD068E"/>
    <w:rsid w:val="00DD086C"/>
    <w:rsid w:val="00DD4A3B"/>
    <w:rsid w:val="00DD5B80"/>
    <w:rsid w:val="00DD6A07"/>
    <w:rsid w:val="00DD75E8"/>
    <w:rsid w:val="00DD7ED7"/>
    <w:rsid w:val="00DE0333"/>
    <w:rsid w:val="00DE0D4B"/>
    <w:rsid w:val="00DE2162"/>
    <w:rsid w:val="00DE3038"/>
    <w:rsid w:val="00DE35E1"/>
    <w:rsid w:val="00DE5A1C"/>
    <w:rsid w:val="00DF2648"/>
    <w:rsid w:val="00DF444D"/>
    <w:rsid w:val="00DF44F3"/>
    <w:rsid w:val="00DF4EBE"/>
    <w:rsid w:val="00DF56BC"/>
    <w:rsid w:val="00DF5B35"/>
    <w:rsid w:val="00DF60CD"/>
    <w:rsid w:val="00DF630B"/>
    <w:rsid w:val="00DF6F84"/>
    <w:rsid w:val="00DF7240"/>
    <w:rsid w:val="00E006F5"/>
    <w:rsid w:val="00E01CC2"/>
    <w:rsid w:val="00E02FAD"/>
    <w:rsid w:val="00E05F48"/>
    <w:rsid w:val="00E06D38"/>
    <w:rsid w:val="00E06D96"/>
    <w:rsid w:val="00E07487"/>
    <w:rsid w:val="00E10389"/>
    <w:rsid w:val="00E10BE8"/>
    <w:rsid w:val="00E11BBB"/>
    <w:rsid w:val="00E14938"/>
    <w:rsid w:val="00E15117"/>
    <w:rsid w:val="00E15969"/>
    <w:rsid w:val="00E16040"/>
    <w:rsid w:val="00E16793"/>
    <w:rsid w:val="00E1694F"/>
    <w:rsid w:val="00E169A8"/>
    <w:rsid w:val="00E16AC7"/>
    <w:rsid w:val="00E16DC0"/>
    <w:rsid w:val="00E17C2D"/>
    <w:rsid w:val="00E20BBA"/>
    <w:rsid w:val="00E22FBC"/>
    <w:rsid w:val="00E23A9F"/>
    <w:rsid w:val="00E242BB"/>
    <w:rsid w:val="00E247A0"/>
    <w:rsid w:val="00E24E5F"/>
    <w:rsid w:val="00E24F0C"/>
    <w:rsid w:val="00E2503A"/>
    <w:rsid w:val="00E25695"/>
    <w:rsid w:val="00E259F8"/>
    <w:rsid w:val="00E26C46"/>
    <w:rsid w:val="00E27C3C"/>
    <w:rsid w:val="00E33B0A"/>
    <w:rsid w:val="00E340E4"/>
    <w:rsid w:val="00E35593"/>
    <w:rsid w:val="00E35922"/>
    <w:rsid w:val="00E403D5"/>
    <w:rsid w:val="00E4148D"/>
    <w:rsid w:val="00E41960"/>
    <w:rsid w:val="00E432A9"/>
    <w:rsid w:val="00E4410A"/>
    <w:rsid w:val="00E44555"/>
    <w:rsid w:val="00E470F5"/>
    <w:rsid w:val="00E47A59"/>
    <w:rsid w:val="00E50429"/>
    <w:rsid w:val="00E51ABA"/>
    <w:rsid w:val="00E5269C"/>
    <w:rsid w:val="00E5281D"/>
    <w:rsid w:val="00E52DA5"/>
    <w:rsid w:val="00E54B7F"/>
    <w:rsid w:val="00E57EEC"/>
    <w:rsid w:val="00E60C2F"/>
    <w:rsid w:val="00E60DF6"/>
    <w:rsid w:val="00E621F7"/>
    <w:rsid w:val="00E63785"/>
    <w:rsid w:val="00E649FB"/>
    <w:rsid w:val="00E64B41"/>
    <w:rsid w:val="00E720B9"/>
    <w:rsid w:val="00E761F7"/>
    <w:rsid w:val="00E76B23"/>
    <w:rsid w:val="00E80763"/>
    <w:rsid w:val="00E8097A"/>
    <w:rsid w:val="00E80C25"/>
    <w:rsid w:val="00E80F35"/>
    <w:rsid w:val="00E820A1"/>
    <w:rsid w:val="00E82377"/>
    <w:rsid w:val="00E82BD3"/>
    <w:rsid w:val="00E82C2D"/>
    <w:rsid w:val="00E8376B"/>
    <w:rsid w:val="00E84333"/>
    <w:rsid w:val="00E86E32"/>
    <w:rsid w:val="00E87058"/>
    <w:rsid w:val="00E9016D"/>
    <w:rsid w:val="00E90978"/>
    <w:rsid w:val="00E90C01"/>
    <w:rsid w:val="00E918EC"/>
    <w:rsid w:val="00E92920"/>
    <w:rsid w:val="00E92D68"/>
    <w:rsid w:val="00E936E1"/>
    <w:rsid w:val="00E949F8"/>
    <w:rsid w:val="00E95437"/>
    <w:rsid w:val="00E957F3"/>
    <w:rsid w:val="00E97BD7"/>
    <w:rsid w:val="00EA062F"/>
    <w:rsid w:val="00EA1D15"/>
    <w:rsid w:val="00EA2AF3"/>
    <w:rsid w:val="00EA2EB8"/>
    <w:rsid w:val="00EA457A"/>
    <w:rsid w:val="00EA486E"/>
    <w:rsid w:val="00EA6331"/>
    <w:rsid w:val="00EA7E6A"/>
    <w:rsid w:val="00EA7E97"/>
    <w:rsid w:val="00EB0C61"/>
    <w:rsid w:val="00EB0FB0"/>
    <w:rsid w:val="00EB1A7F"/>
    <w:rsid w:val="00EB1FED"/>
    <w:rsid w:val="00EB402A"/>
    <w:rsid w:val="00EB4380"/>
    <w:rsid w:val="00EB50DD"/>
    <w:rsid w:val="00EB51BF"/>
    <w:rsid w:val="00EB54FA"/>
    <w:rsid w:val="00EB577C"/>
    <w:rsid w:val="00EB61E3"/>
    <w:rsid w:val="00EB69A7"/>
    <w:rsid w:val="00EB70B8"/>
    <w:rsid w:val="00EB7117"/>
    <w:rsid w:val="00EB74A7"/>
    <w:rsid w:val="00EC00A2"/>
    <w:rsid w:val="00EC023D"/>
    <w:rsid w:val="00EC13F7"/>
    <w:rsid w:val="00EC1C34"/>
    <w:rsid w:val="00EC2443"/>
    <w:rsid w:val="00EC2B0A"/>
    <w:rsid w:val="00EC2DFB"/>
    <w:rsid w:val="00EC34E8"/>
    <w:rsid w:val="00EC58BE"/>
    <w:rsid w:val="00EC77D4"/>
    <w:rsid w:val="00ED071A"/>
    <w:rsid w:val="00ED1BDF"/>
    <w:rsid w:val="00ED35B0"/>
    <w:rsid w:val="00ED3D76"/>
    <w:rsid w:val="00ED5E79"/>
    <w:rsid w:val="00ED6659"/>
    <w:rsid w:val="00ED7C0D"/>
    <w:rsid w:val="00EE0CC4"/>
    <w:rsid w:val="00EE1DA9"/>
    <w:rsid w:val="00EE2F44"/>
    <w:rsid w:val="00EE57EA"/>
    <w:rsid w:val="00EE6848"/>
    <w:rsid w:val="00EE732E"/>
    <w:rsid w:val="00EE7EBD"/>
    <w:rsid w:val="00EF03D3"/>
    <w:rsid w:val="00EF0DD4"/>
    <w:rsid w:val="00EF1165"/>
    <w:rsid w:val="00EF1B54"/>
    <w:rsid w:val="00EF2976"/>
    <w:rsid w:val="00EF2F20"/>
    <w:rsid w:val="00EF3997"/>
    <w:rsid w:val="00EF4584"/>
    <w:rsid w:val="00EF4A4C"/>
    <w:rsid w:val="00EF6A63"/>
    <w:rsid w:val="00EF72EA"/>
    <w:rsid w:val="00EF7D48"/>
    <w:rsid w:val="00F01C8F"/>
    <w:rsid w:val="00F046E0"/>
    <w:rsid w:val="00F04998"/>
    <w:rsid w:val="00F053C2"/>
    <w:rsid w:val="00F059EA"/>
    <w:rsid w:val="00F07A92"/>
    <w:rsid w:val="00F11375"/>
    <w:rsid w:val="00F113F1"/>
    <w:rsid w:val="00F11BBE"/>
    <w:rsid w:val="00F11F4E"/>
    <w:rsid w:val="00F1216F"/>
    <w:rsid w:val="00F126D0"/>
    <w:rsid w:val="00F138E8"/>
    <w:rsid w:val="00F14C32"/>
    <w:rsid w:val="00F14E08"/>
    <w:rsid w:val="00F201A2"/>
    <w:rsid w:val="00F2054B"/>
    <w:rsid w:val="00F229F7"/>
    <w:rsid w:val="00F2348D"/>
    <w:rsid w:val="00F235E9"/>
    <w:rsid w:val="00F24CE3"/>
    <w:rsid w:val="00F262F4"/>
    <w:rsid w:val="00F26476"/>
    <w:rsid w:val="00F267BF"/>
    <w:rsid w:val="00F30145"/>
    <w:rsid w:val="00F30E73"/>
    <w:rsid w:val="00F30FC7"/>
    <w:rsid w:val="00F31AF2"/>
    <w:rsid w:val="00F3214D"/>
    <w:rsid w:val="00F324FB"/>
    <w:rsid w:val="00F329CA"/>
    <w:rsid w:val="00F332DF"/>
    <w:rsid w:val="00F343A7"/>
    <w:rsid w:val="00F35E45"/>
    <w:rsid w:val="00F36861"/>
    <w:rsid w:val="00F369CE"/>
    <w:rsid w:val="00F37B01"/>
    <w:rsid w:val="00F41563"/>
    <w:rsid w:val="00F41725"/>
    <w:rsid w:val="00F4460F"/>
    <w:rsid w:val="00F45730"/>
    <w:rsid w:val="00F47EC4"/>
    <w:rsid w:val="00F50C80"/>
    <w:rsid w:val="00F5108F"/>
    <w:rsid w:val="00F515AF"/>
    <w:rsid w:val="00F51FC6"/>
    <w:rsid w:val="00F525E3"/>
    <w:rsid w:val="00F536CF"/>
    <w:rsid w:val="00F53CBF"/>
    <w:rsid w:val="00F53EE8"/>
    <w:rsid w:val="00F54159"/>
    <w:rsid w:val="00F541A4"/>
    <w:rsid w:val="00F5538E"/>
    <w:rsid w:val="00F55DE8"/>
    <w:rsid w:val="00F56A2B"/>
    <w:rsid w:val="00F57B0C"/>
    <w:rsid w:val="00F60877"/>
    <w:rsid w:val="00F6087E"/>
    <w:rsid w:val="00F6129E"/>
    <w:rsid w:val="00F62F8C"/>
    <w:rsid w:val="00F64A6C"/>
    <w:rsid w:val="00F6682C"/>
    <w:rsid w:val="00F718D1"/>
    <w:rsid w:val="00F7335D"/>
    <w:rsid w:val="00F733E5"/>
    <w:rsid w:val="00F7587A"/>
    <w:rsid w:val="00F75F2F"/>
    <w:rsid w:val="00F76E4B"/>
    <w:rsid w:val="00F7784C"/>
    <w:rsid w:val="00F77B10"/>
    <w:rsid w:val="00F81D58"/>
    <w:rsid w:val="00F827BB"/>
    <w:rsid w:val="00F82D29"/>
    <w:rsid w:val="00F836DF"/>
    <w:rsid w:val="00F83C19"/>
    <w:rsid w:val="00F84F17"/>
    <w:rsid w:val="00F855BC"/>
    <w:rsid w:val="00F86C9F"/>
    <w:rsid w:val="00F87AC0"/>
    <w:rsid w:val="00F87D73"/>
    <w:rsid w:val="00F919C8"/>
    <w:rsid w:val="00F926C2"/>
    <w:rsid w:val="00F928B9"/>
    <w:rsid w:val="00F93EC6"/>
    <w:rsid w:val="00F942DB"/>
    <w:rsid w:val="00F950CB"/>
    <w:rsid w:val="00F957A3"/>
    <w:rsid w:val="00F963C6"/>
    <w:rsid w:val="00F96731"/>
    <w:rsid w:val="00F97233"/>
    <w:rsid w:val="00F97F11"/>
    <w:rsid w:val="00FA100A"/>
    <w:rsid w:val="00FA20C9"/>
    <w:rsid w:val="00FA5A41"/>
    <w:rsid w:val="00FA692A"/>
    <w:rsid w:val="00FA7B0A"/>
    <w:rsid w:val="00FA7CB5"/>
    <w:rsid w:val="00FB02E1"/>
    <w:rsid w:val="00FB1832"/>
    <w:rsid w:val="00FB274A"/>
    <w:rsid w:val="00FB2E8F"/>
    <w:rsid w:val="00FB3713"/>
    <w:rsid w:val="00FB66E7"/>
    <w:rsid w:val="00FB6F6E"/>
    <w:rsid w:val="00FC2373"/>
    <w:rsid w:val="00FC2497"/>
    <w:rsid w:val="00FC3258"/>
    <w:rsid w:val="00FC3C46"/>
    <w:rsid w:val="00FC6BEA"/>
    <w:rsid w:val="00FC7AEA"/>
    <w:rsid w:val="00FD0356"/>
    <w:rsid w:val="00FD101D"/>
    <w:rsid w:val="00FD1CEC"/>
    <w:rsid w:val="00FD1E5C"/>
    <w:rsid w:val="00FD23E3"/>
    <w:rsid w:val="00FD3435"/>
    <w:rsid w:val="00FD3448"/>
    <w:rsid w:val="00FD355B"/>
    <w:rsid w:val="00FD5EBC"/>
    <w:rsid w:val="00FD64B5"/>
    <w:rsid w:val="00FD65FF"/>
    <w:rsid w:val="00FD667C"/>
    <w:rsid w:val="00FD72D2"/>
    <w:rsid w:val="00FE0DB4"/>
    <w:rsid w:val="00FE15ED"/>
    <w:rsid w:val="00FE1C2A"/>
    <w:rsid w:val="00FE4980"/>
    <w:rsid w:val="00FE5FB7"/>
    <w:rsid w:val="00FE6751"/>
    <w:rsid w:val="00FF09A4"/>
    <w:rsid w:val="00FF4501"/>
    <w:rsid w:val="00FF4AE0"/>
    <w:rsid w:val="044A6841"/>
    <w:rsid w:val="06D258B1"/>
    <w:rsid w:val="071C2724"/>
    <w:rsid w:val="08C007D0"/>
    <w:rsid w:val="0CF0B64C"/>
    <w:rsid w:val="0D5987E5"/>
    <w:rsid w:val="0E28C962"/>
    <w:rsid w:val="0EF51B63"/>
    <w:rsid w:val="104E6385"/>
    <w:rsid w:val="14803956"/>
    <w:rsid w:val="14A322BC"/>
    <w:rsid w:val="173B6669"/>
    <w:rsid w:val="174E7CD8"/>
    <w:rsid w:val="17B38A75"/>
    <w:rsid w:val="19033CE9"/>
    <w:rsid w:val="1B00833C"/>
    <w:rsid w:val="1B0967C9"/>
    <w:rsid w:val="1F8276E3"/>
    <w:rsid w:val="243D0AA7"/>
    <w:rsid w:val="24E389ED"/>
    <w:rsid w:val="28584E09"/>
    <w:rsid w:val="28A0654F"/>
    <w:rsid w:val="2F3E2002"/>
    <w:rsid w:val="3246843C"/>
    <w:rsid w:val="337A5329"/>
    <w:rsid w:val="33C331FE"/>
    <w:rsid w:val="35E9DF66"/>
    <w:rsid w:val="36B80F76"/>
    <w:rsid w:val="39C3F478"/>
    <w:rsid w:val="3C2A9EE2"/>
    <w:rsid w:val="3C7F0408"/>
    <w:rsid w:val="3E05DD07"/>
    <w:rsid w:val="458C4655"/>
    <w:rsid w:val="4C657899"/>
    <w:rsid w:val="4F609AB7"/>
    <w:rsid w:val="4FD888E4"/>
    <w:rsid w:val="54F60F6C"/>
    <w:rsid w:val="55360D32"/>
    <w:rsid w:val="55EA7AEA"/>
    <w:rsid w:val="578B8FDA"/>
    <w:rsid w:val="5B9A2BA9"/>
    <w:rsid w:val="60FCAA16"/>
    <w:rsid w:val="64A87C0A"/>
    <w:rsid w:val="66D92466"/>
    <w:rsid w:val="68D31735"/>
    <w:rsid w:val="6ACD3AA9"/>
    <w:rsid w:val="6D828210"/>
    <w:rsid w:val="6F2199C3"/>
    <w:rsid w:val="6FAC2DA4"/>
    <w:rsid w:val="7007F86F"/>
    <w:rsid w:val="7094B0B2"/>
    <w:rsid w:val="76430567"/>
    <w:rsid w:val="778536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5C73"/>
  <w15:docId w15:val="{7446AE76-2A89-4D3E-9DD9-D90FA2A5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74"/>
  </w:style>
  <w:style w:type="paragraph" w:styleId="Heading3">
    <w:name w:val="heading 3"/>
    <w:basedOn w:val="Normal"/>
    <w:link w:val="Heading3Char"/>
    <w:uiPriority w:val="9"/>
    <w:qFormat/>
    <w:rsid w:val="003552B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EB51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32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C68B0"/>
    <w:rPr>
      <w:sz w:val="16"/>
      <w:szCs w:val="16"/>
    </w:rPr>
  </w:style>
  <w:style w:type="paragraph" w:styleId="CommentText">
    <w:name w:val="annotation text"/>
    <w:basedOn w:val="Normal"/>
    <w:link w:val="CommentTextChar"/>
    <w:uiPriority w:val="99"/>
    <w:unhideWhenUsed/>
    <w:rsid w:val="00DC68B0"/>
    <w:pPr>
      <w:spacing w:line="240" w:lineRule="auto"/>
    </w:pPr>
    <w:rPr>
      <w:sz w:val="20"/>
      <w:szCs w:val="20"/>
    </w:rPr>
  </w:style>
  <w:style w:type="character" w:customStyle="1" w:styleId="CommentTextChar">
    <w:name w:val="Comment Text Char"/>
    <w:basedOn w:val="DefaultParagraphFont"/>
    <w:link w:val="CommentText"/>
    <w:uiPriority w:val="99"/>
    <w:rsid w:val="00DC68B0"/>
    <w:rPr>
      <w:sz w:val="20"/>
      <w:szCs w:val="20"/>
    </w:rPr>
  </w:style>
  <w:style w:type="paragraph" w:styleId="CommentSubject">
    <w:name w:val="annotation subject"/>
    <w:basedOn w:val="CommentText"/>
    <w:next w:val="CommentText"/>
    <w:link w:val="CommentSubjectChar"/>
    <w:uiPriority w:val="99"/>
    <w:semiHidden/>
    <w:unhideWhenUsed/>
    <w:rsid w:val="00DC68B0"/>
    <w:rPr>
      <w:b/>
      <w:bCs/>
    </w:rPr>
  </w:style>
  <w:style w:type="character" w:customStyle="1" w:styleId="CommentSubjectChar">
    <w:name w:val="Comment Subject Char"/>
    <w:basedOn w:val="CommentTextChar"/>
    <w:link w:val="CommentSubject"/>
    <w:uiPriority w:val="99"/>
    <w:semiHidden/>
    <w:rsid w:val="00DC68B0"/>
    <w:rPr>
      <w:b/>
      <w:bCs/>
      <w:sz w:val="20"/>
      <w:szCs w:val="20"/>
    </w:rPr>
  </w:style>
  <w:style w:type="paragraph" w:styleId="Subtitle">
    <w:name w:val="Subtitle"/>
    <w:basedOn w:val="Normal"/>
    <w:link w:val="SubtitleChar"/>
    <w:qFormat/>
    <w:rsid w:val="009F4CAC"/>
    <w:pPr>
      <w:spacing w:after="0" w:line="240" w:lineRule="auto"/>
      <w:ind w:left="851"/>
      <w:jc w:val="both"/>
    </w:pPr>
    <w:rPr>
      <w:rFonts w:ascii="Times New Roman" w:eastAsia="Times New Roman" w:hAnsi="Times New Roman" w:cs="Times New Roman"/>
      <w:sz w:val="28"/>
      <w:szCs w:val="20"/>
      <w:lang w:eastAsia="lv-LV"/>
    </w:rPr>
  </w:style>
  <w:style w:type="character" w:customStyle="1" w:styleId="SubtitleChar">
    <w:name w:val="Subtitle Char"/>
    <w:basedOn w:val="DefaultParagraphFont"/>
    <w:link w:val="Subtitle"/>
    <w:rsid w:val="009F4CAC"/>
    <w:rPr>
      <w:rFonts w:ascii="Times New Roman" w:eastAsia="Times New Roman" w:hAnsi="Times New Roman" w:cs="Times New Roman"/>
      <w:sz w:val="28"/>
      <w:szCs w:val="20"/>
      <w:lang w:eastAsia="lv-LV"/>
    </w:rPr>
  </w:style>
  <w:style w:type="paragraph" w:styleId="NoSpacing">
    <w:name w:val="No Spacing"/>
    <w:uiPriority w:val="1"/>
    <w:qFormat/>
    <w:rsid w:val="009F2BFE"/>
    <w:pPr>
      <w:widowControl w:val="0"/>
      <w:spacing w:after="0" w:line="240" w:lineRule="auto"/>
      <w:ind w:firstLine="720"/>
      <w:jc w:val="both"/>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3552B6"/>
    <w:rPr>
      <w:rFonts w:ascii="Times New Roman" w:eastAsia="Times New Roman" w:hAnsi="Times New Roman" w:cs="Times New Roman"/>
      <w:b/>
      <w:bCs/>
      <w:sz w:val="27"/>
      <w:szCs w:val="27"/>
      <w:lang w:eastAsia="lv-LV"/>
    </w:rPr>
  </w:style>
  <w:style w:type="paragraph" w:styleId="EndnoteText">
    <w:name w:val="endnote text"/>
    <w:basedOn w:val="Normal"/>
    <w:link w:val="EndnoteTextChar"/>
    <w:uiPriority w:val="99"/>
    <w:semiHidden/>
    <w:unhideWhenUsed/>
    <w:rsid w:val="00257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75F6"/>
    <w:rPr>
      <w:sz w:val="20"/>
      <w:szCs w:val="20"/>
    </w:rPr>
  </w:style>
  <w:style w:type="character" w:styleId="EndnoteReference">
    <w:name w:val="endnote reference"/>
    <w:basedOn w:val="DefaultParagraphFont"/>
    <w:uiPriority w:val="99"/>
    <w:semiHidden/>
    <w:unhideWhenUsed/>
    <w:rsid w:val="002575F6"/>
    <w:rPr>
      <w:vertAlign w:val="superscript"/>
    </w:rPr>
  </w:style>
  <w:style w:type="paragraph" w:styleId="FootnoteText">
    <w:name w:val="footnote text"/>
    <w:aliases w:val="Footnote Char,Footnote text,Fußn,Fußnote,Fußnote Char,Fußnotentext Char Char,Reference,Schriftart: 10 pt,Schriftart: 8 pt,Schriftart: 9 pt,Voetnoottekst Char,Voetnoottekst Char1,Voetnoottekst Char2 Char Char,WB-Fußnotentext,fußn,o,stile 1"/>
    <w:basedOn w:val="Normal"/>
    <w:link w:val="FootnoteTextChar"/>
    <w:unhideWhenUsed/>
    <w:qFormat/>
    <w:rsid w:val="002575F6"/>
    <w:pPr>
      <w:spacing w:after="0" w:line="240" w:lineRule="auto"/>
    </w:pPr>
    <w:rPr>
      <w:sz w:val="20"/>
      <w:szCs w:val="20"/>
    </w:rPr>
  </w:style>
  <w:style w:type="character" w:customStyle="1" w:styleId="FootnoteTextChar">
    <w:name w:val="Footnote Text Char"/>
    <w:aliases w:val="Footnote Char Char1,Footnote text Char1,Fußn Char1,Fußnote Char2,Fußnote Char Char1,Fußnotentext Char Char Char1,Reference Char1,Schriftart: 10 pt Char1,Schriftart: 8 pt Char1,Schriftart: 9 pt Char1,Voetnoottekst Char Char1,fußn Char1"/>
    <w:basedOn w:val="DefaultParagraphFont"/>
    <w:link w:val="FootnoteText"/>
    <w:uiPriority w:val="99"/>
    <w:rsid w:val="002575F6"/>
    <w:rPr>
      <w:sz w:val="20"/>
      <w:szCs w:val="20"/>
    </w:r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S,Times 10 Point,de nota al pie,stylish"/>
    <w:basedOn w:val="DefaultParagraphFont"/>
    <w:link w:val="FootnotesymbolCarZchn"/>
    <w:unhideWhenUsed/>
    <w:qFormat/>
    <w:rsid w:val="002575F6"/>
    <w:rPr>
      <w:vertAlign w:val="superscript"/>
    </w:rPr>
  </w:style>
  <w:style w:type="paragraph" w:styleId="Revision">
    <w:name w:val="Revision"/>
    <w:hidden/>
    <w:uiPriority w:val="99"/>
    <w:semiHidden/>
    <w:rsid w:val="003B5C4B"/>
    <w:pPr>
      <w:spacing w:after="0" w:line="240" w:lineRule="auto"/>
    </w:pPr>
  </w:style>
  <w:style w:type="character" w:customStyle="1" w:styleId="UnresolvedMention1">
    <w:name w:val="Unresolved Mention1"/>
    <w:basedOn w:val="DefaultParagraphFont"/>
    <w:uiPriority w:val="99"/>
    <w:semiHidden/>
    <w:unhideWhenUsed/>
    <w:rsid w:val="003A05EC"/>
    <w:rPr>
      <w:color w:val="808080"/>
      <w:shd w:val="clear" w:color="auto" w:fill="E6E6E6"/>
    </w:rPr>
  </w:style>
  <w:style w:type="character" w:customStyle="1" w:styleId="normaltextrun">
    <w:name w:val="normaltextrun"/>
    <w:basedOn w:val="DefaultParagraphFont"/>
    <w:rsid w:val="00723D0F"/>
  </w:style>
  <w:style w:type="paragraph" w:styleId="ListParagraph">
    <w:name w:val="List Paragraph"/>
    <w:basedOn w:val="Normal"/>
    <w:uiPriority w:val="34"/>
    <w:qFormat/>
    <w:rsid w:val="003F7C25"/>
    <w:pPr>
      <w:ind w:left="720"/>
      <w:contextualSpacing/>
    </w:pPr>
  </w:style>
  <w:style w:type="paragraph" w:styleId="Title">
    <w:name w:val="Title"/>
    <w:basedOn w:val="Normal"/>
    <w:link w:val="TitleChar"/>
    <w:qFormat/>
    <w:rsid w:val="00BD33E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D33E0"/>
    <w:rPr>
      <w:rFonts w:ascii="Times New Roman" w:eastAsia="Times New Roman" w:hAnsi="Times New Roman" w:cs="Times New Roman"/>
      <w:sz w:val="28"/>
      <w:szCs w:val="20"/>
    </w:rPr>
  </w:style>
  <w:style w:type="character" w:styleId="Strong">
    <w:name w:val="Strong"/>
    <w:uiPriority w:val="22"/>
    <w:qFormat/>
    <w:rsid w:val="00BD33E0"/>
    <w:rPr>
      <w:b/>
      <w:bCs/>
    </w:rPr>
  </w:style>
  <w:style w:type="numbering" w:customStyle="1" w:styleId="NoList1">
    <w:name w:val="No List1"/>
    <w:next w:val="NoList"/>
    <w:uiPriority w:val="99"/>
    <w:semiHidden/>
    <w:unhideWhenUsed/>
    <w:rsid w:val="0066762C"/>
  </w:style>
  <w:style w:type="paragraph" w:customStyle="1" w:styleId="naisnod">
    <w:name w:val="naisnod"/>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Latvian">
    <w:name w:val="Normal – Latvian"/>
    <w:basedOn w:val="Normal"/>
    <w:rsid w:val="0066762C"/>
    <w:pPr>
      <w:tabs>
        <w:tab w:val="left" w:pos="1829"/>
      </w:tabs>
      <w:spacing w:after="120" w:line="240" w:lineRule="auto"/>
      <w:jc w:val="both"/>
    </w:pPr>
    <w:rPr>
      <w:rFonts w:ascii="Times New Roman" w:eastAsia="Times New Roman" w:hAnsi="Times New Roman" w:cs="Times New Roman"/>
      <w:sz w:val="28"/>
      <w:szCs w:val="28"/>
    </w:rPr>
  </w:style>
  <w:style w:type="table" w:styleId="TableGrid">
    <w:name w:val="Table Grid"/>
    <w:basedOn w:val="TableNormal"/>
    <w:uiPriority w:val="59"/>
    <w:rsid w:val="0066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6762C"/>
    <w:rPr>
      <w:color w:val="0000FF"/>
      <w:u w:val="single"/>
    </w:rPr>
  </w:style>
  <w:style w:type="character" w:customStyle="1" w:styleId="FollowedHyperlink1">
    <w:name w:val="FollowedHyperlink1"/>
    <w:basedOn w:val="DefaultParagraphFont"/>
    <w:uiPriority w:val="99"/>
    <w:semiHidden/>
    <w:unhideWhenUsed/>
    <w:rsid w:val="0066762C"/>
    <w:rPr>
      <w:color w:val="800080"/>
      <w:u w:val="single"/>
    </w:rPr>
  </w:style>
  <w:style w:type="paragraph" w:styleId="PlainText">
    <w:name w:val="Plain Text"/>
    <w:basedOn w:val="Normal"/>
    <w:link w:val="PlainTextChar"/>
    <w:rsid w:val="0066762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66762C"/>
    <w:rPr>
      <w:rFonts w:ascii="Courier New" w:eastAsia="Times New Roman" w:hAnsi="Courier New" w:cs="Times New Roman"/>
      <w:sz w:val="20"/>
      <w:szCs w:val="20"/>
      <w:lang w:val="en-GB"/>
    </w:rPr>
  </w:style>
  <w:style w:type="paragraph" w:styleId="NormalWeb">
    <w:name w:val="Normal (Web)"/>
    <w:basedOn w:val="Normal"/>
    <w:uiPriority w:val="99"/>
    <w:unhideWhenUsed/>
    <w:rsid w:val="00667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762C"/>
    <w:rPr>
      <w:i/>
      <w:iCs/>
    </w:rPr>
  </w:style>
  <w:style w:type="paragraph" w:customStyle="1" w:styleId="Committee">
    <w:name w:val="Committee"/>
    <w:basedOn w:val="Normal"/>
    <w:rsid w:val="0066762C"/>
    <w:pPr>
      <w:widowControl w:val="0"/>
      <w:spacing w:before="240" w:after="1200" w:line="240" w:lineRule="auto"/>
      <w:jc w:val="center"/>
    </w:pPr>
    <w:rPr>
      <w:rFonts w:ascii="Times New Roman" w:eastAsia="Times New Roman" w:hAnsi="Times New Roman" w:cs="Times New Roman"/>
      <w:i/>
      <w:sz w:val="24"/>
      <w:szCs w:val="20"/>
      <w:lang w:eastAsia="en-GB"/>
    </w:rPr>
  </w:style>
  <w:style w:type="character" w:customStyle="1" w:styleId="UnresolvedMention2">
    <w:name w:val="Unresolved Mention2"/>
    <w:basedOn w:val="DefaultParagraphFont"/>
    <w:uiPriority w:val="99"/>
    <w:semiHidden/>
    <w:unhideWhenUsed/>
    <w:rsid w:val="0066762C"/>
    <w:rPr>
      <w:color w:val="605E5C"/>
      <w:shd w:val="clear" w:color="auto" w:fill="E1DFDD"/>
    </w:rPr>
  </w:style>
  <w:style w:type="character" w:styleId="UnresolvedMention">
    <w:name w:val="Unresolved Mention"/>
    <w:basedOn w:val="DefaultParagraphFont"/>
    <w:uiPriority w:val="99"/>
    <w:semiHidden/>
    <w:unhideWhenUsed/>
    <w:rsid w:val="0066762C"/>
    <w:rPr>
      <w:color w:val="605E5C"/>
      <w:shd w:val="clear" w:color="auto" w:fill="E1DFDD"/>
    </w:rPr>
  </w:style>
  <w:style w:type="character" w:customStyle="1" w:styleId="italic">
    <w:name w:val="italic"/>
    <w:basedOn w:val="DefaultParagraphFont"/>
    <w:rsid w:val="0066762C"/>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321EBA"/>
    <w:pPr>
      <w:spacing w:line="240" w:lineRule="exact"/>
      <w:jc w:val="both"/>
    </w:pPr>
    <w:rPr>
      <w:vertAlign w:val="superscript"/>
    </w:rPr>
  </w:style>
  <w:style w:type="character" w:customStyle="1" w:styleId="FootnoteTextChar1">
    <w:name w:val="Footnote Text Char1"/>
    <w:aliases w:val="Footnote Char Char,Footnote text Char,Fußn Char,Fußnote Char1,Fußnote Char Char,Fußnotentext Char Char Char,Reference Char,Schriftart: 10 pt Char,Schriftart: 8 pt Char,Schriftart: 9 pt Char,Voetnoottekst Char Char,fußn Char,o Char"/>
    <w:uiPriority w:val="99"/>
    <w:locked/>
    <w:rsid w:val="00321EBA"/>
    <w:rPr>
      <w:rFonts w:ascii="Times New Roman" w:eastAsia="Times New Roman" w:hAnsi="Times New Roman" w:cs="Times New Roman"/>
      <w:sz w:val="20"/>
      <w:szCs w:val="20"/>
      <w:lang w:val="en-GB"/>
    </w:rPr>
  </w:style>
  <w:style w:type="paragraph" w:customStyle="1" w:styleId="FootnoteRefernece">
    <w:name w:val="Footnote Refernece"/>
    <w:aliases w:val="E,Footnotes refss,Odwołanie przypisu,ftref"/>
    <w:basedOn w:val="Normal"/>
    <w:next w:val="Normal"/>
    <w:uiPriority w:val="99"/>
    <w:rsid w:val="006D4E48"/>
    <w:pPr>
      <w:spacing w:line="240" w:lineRule="exact"/>
      <w:ind w:firstLine="720"/>
      <w:jc w:val="both"/>
      <w:textAlignment w:val="baseline"/>
    </w:pPr>
    <w:rPr>
      <w:rFonts w:ascii="Times New Roman" w:hAnsi="Times New Roman"/>
      <w:sz w:val="28"/>
      <w:vertAlign w:val="superscript"/>
    </w:rPr>
  </w:style>
  <w:style w:type="character" w:customStyle="1" w:styleId="FootnoteCharacters">
    <w:name w:val="Footnote Characters"/>
    <w:rsid w:val="0058357A"/>
  </w:style>
  <w:style w:type="paragraph" w:customStyle="1" w:styleId="paragraph">
    <w:name w:val="paragraph"/>
    <w:basedOn w:val="Normal"/>
    <w:rsid w:val="00D276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indhit">
    <w:name w:val="findhit"/>
    <w:basedOn w:val="DefaultParagraphFont"/>
    <w:rsid w:val="00D2764F"/>
  </w:style>
  <w:style w:type="character" w:customStyle="1" w:styleId="eop">
    <w:name w:val="eop"/>
    <w:basedOn w:val="DefaultParagraphFont"/>
    <w:rsid w:val="00D2764F"/>
  </w:style>
  <w:style w:type="character" w:customStyle="1" w:styleId="spellingerror">
    <w:name w:val="spellingerror"/>
    <w:basedOn w:val="DefaultParagraphFont"/>
    <w:rsid w:val="00D2764F"/>
  </w:style>
  <w:style w:type="paragraph" w:customStyle="1" w:styleId="naislab">
    <w:name w:val="naislab"/>
    <w:basedOn w:val="Normal"/>
    <w:rsid w:val="009254A3"/>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05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7089229">
      <w:bodyDiv w:val="1"/>
      <w:marLeft w:val="0"/>
      <w:marRight w:val="0"/>
      <w:marTop w:val="0"/>
      <w:marBottom w:val="0"/>
      <w:divBdr>
        <w:top w:val="none" w:sz="0" w:space="0" w:color="auto"/>
        <w:left w:val="none" w:sz="0" w:space="0" w:color="auto"/>
        <w:bottom w:val="none" w:sz="0" w:space="0" w:color="auto"/>
        <w:right w:val="none" w:sz="0" w:space="0" w:color="auto"/>
      </w:divBdr>
      <w:divsChild>
        <w:div w:id="1960333998">
          <w:marLeft w:val="0"/>
          <w:marRight w:val="0"/>
          <w:marTop w:val="0"/>
          <w:marBottom w:val="0"/>
          <w:divBdr>
            <w:top w:val="none" w:sz="0" w:space="0" w:color="auto"/>
            <w:left w:val="none" w:sz="0" w:space="0" w:color="auto"/>
            <w:bottom w:val="none" w:sz="0" w:space="0" w:color="auto"/>
            <w:right w:val="none" w:sz="0" w:space="0" w:color="auto"/>
          </w:divBdr>
        </w:div>
      </w:divsChild>
    </w:div>
    <w:div w:id="229312633">
      <w:bodyDiv w:val="1"/>
      <w:marLeft w:val="0"/>
      <w:marRight w:val="0"/>
      <w:marTop w:val="0"/>
      <w:marBottom w:val="0"/>
      <w:divBdr>
        <w:top w:val="none" w:sz="0" w:space="0" w:color="auto"/>
        <w:left w:val="none" w:sz="0" w:space="0" w:color="auto"/>
        <w:bottom w:val="none" w:sz="0" w:space="0" w:color="auto"/>
        <w:right w:val="none" w:sz="0" w:space="0" w:color="auto"/>
      </w:divBdr>
    </w:div>
    <w:div w:id="276524029">
      <w:bodyDiv w:val="1"/>
      <w:marLeft w:val="0"/>
      <w:marRight w:val="0"/>
      <w:marTop w:val="0"/>
      <w:marBottom w:val="0"/>
      <w:divBdr>
        <w:top w:val="none" w:sz="0" w:space="0" w:color="auto"/>
        <w:left w:val="none" w:sz="0" w:space="0" w:color="auto"/>
        <w:bottom w:val="none" w:sz="0" w:space="0" w:color="auto"/>
        <w:right w:val="none" w:sz="0" w:space="0" w:color="auto"/>
      </w:divBdr>
    </w:div>
    <w:div w:id="489910499">
      <w:bodyDiv w:val="1"/>
      <w:marLeft w:val="0"/>
      <w:marRight w:val="0"/>
      <w:marTop w:val="0"/>
      <w:marBottom w:val="0"/>
      <w:divBdr>
        <w:top w:val="none" w:sz="0" w:space="0" w:color="auto"/>
        <w:left w:val="none" w:sz="0" w:space="0" w:color="auto"/>
        <w:bottom w:val="none" w:sz="0" w:space="0" w:color="auto"/>
        <w:right w:val="none" w:sz="0" w:space="0" w:color="auto"/>
      </w:divBdr>
      <w:divsChild>
        <w:div w:id="1277105983">
          <w:marLeft w:val="0"/>
          <w:marRight w:val="0"/>
          <w:marTop w:val="480"/>
          <w:marBottom w:val="240"/>
          <w:divBdr>
            <w:top w:val="none" w:sz="0" w:space="0" w:color="auto"/>
            <w:left w:val="none" w:sz="0" w:space="0" w:color="auto"/>
            <w:bottom w:val="none" w:sz="0" w:space="0" w:color="auto"/>
            <w:right w:val="none" w:sz="0" w:space="0" w:color="auto"/>
          </w:divBdr>
        </w:div>
        <w:div w:id="1556505117">
          <w:marLeft w:val="0"/>
          <w:marRight w:val="0"/>
          <w:marTop w:val="0"/>
          <w:marBottom w:val="567"/>
          <w:divBdr>
            <w:top w:val="none" w:sz="0" w:space="0" w:color="auto"/>
            <w:left w:val="none" w:sz="0" w:space="0" w:color="auto"/>
            <w:bottom w:val="none" w:sz="0" w:space="0" w:color="auto"/>
            <w:right w:val="none" w:sz="0" w:space="0" w:color="auto"/>
          </w:divBdr>
        </w:div>
      </w:divsChild>
    </w:div>
    <w:div w:id="548809102">
      <w:bodyDiv w:val="1"/>
      <w:marLeft w:val="0"/>
      <w:marRight w:val="0"/>
      <w:marTop w:val="0"/>
      <w:marBottom w:val="0"/>
      <w:divBdr>
        <w:top w:val="none" w:sz="0" w:space="0" w:color="auto"/>
        <w:left w:val="none" w:sz="0" w:space="0" w:color="auto"/>
        <w:bottom w:val="none" w:sz="0" w:space="0" w:color="auto"/>
        <w:right w:val="none" w:sz="0" w:space="0" w:color="auto"/>
      </w:divBdr>
    </w:div>
    <w:div w:id="605120005">
      <w:bodyDiv w:val="1"/>
      <w:marLeft w:val="0"/>
      <w:marRight w:val="0"/>
      <w:marTop w:val="0"/>
      <w:marBottom w:val="0"/>
      <w:divBdr>
        <w:top w:val="none" w:sz="0" w:space="0" w:color="auto"/>
        <w:left w:val="none" w:sz="0" w:space="0" w:color="auto"/>
        <w:bottom w:val="none" w:sz="0" w:space="0" w:color="auto"/>
        <w:right w:val="none" w:sz="0" w:space="0" w:color="auto"/>
      </w:divBdr>
    </w:div>
    <w:div w:id="639727897">
      <w:bodyDiv w:val="1"/>
      <w:marLeft w:val="0"/>
      <w:marRight w:val="0"/>
      <w:marTop w:val="0"/>
      <w:marBottom w:val="0"/>
      <w:divBdr>
        <w:top w:val="none" w:sz="0" w:space="0" w:color="auto"/>
        <w:left w:val="none" w:sz="0" w:space="0" w:color="auto"/>
        <w:bottom w:val="none" w:sz="0" w:space="0" w:color="auto"/>
        <w:right w:val="none" w:sz="0" w:space="0" w:color="auto"/>
      </w:divBdr>
    </w:div>
    <w:div w:id="693531245">
      <w:bodyDiv w:val="1"/>
      <w:marLeft w:val="0"/>
      <w:marRight w:val="0"/>
      <w:marTop w:val="0"/>
      <w:marBottom w:val="0"/>
      <w:divBdr>
        <w:top w:val="none" w:sz="0" w:space="0" w:color="auto"/>
        <w:left w:val="none" w:sz="0" w:space="0" w:color="auto"/>
        <w:bottom w:val="none" w:sz="0" w:space="0" w:color="auto"/>
        <w:right w:val="none" w:sz="0" w:space="0" w:color="auto"/>
      </w:divBdr>
    </w:div>
    <w:div w:id="699428731">
      <w:bodyDiv w:val="1"/>
      <w:marLeft w:val="0"/>
      <w:marRight w:val="0"/>
      <w:marTop w:val="0"/>
      <w:marBottom w:val="0"/>
      <w:divBdr>
        <w:top w:val="none" w:sz="0" w:space="0" w:color="auto"/>
        <w:left w:val="none" w:sz="0" w:space="0" w:color="auto"/>
        <w:bottom w:val="none" w:sz="0" w:space="0" w:color="auto"/>
        <w:right w:val="none" w:sz="0" w:space="0" w:color="auto"/>
      </w:divBdr>
    </w:div>
    <w:div w:id="806899882">
      <w:bodyDiv w:val="1"/>
      <w:marLeft w:val="0"/>
      <w:marRight w:val="0"/>
      <w:marTop w:val="0"/>
      <w:marBottom w:val="0"/>
      <w:divBdr>
        <w:top w:val="none" w:sz="0" w:space="0" w:color="auto"/>
        <w:left w:val="none" w:sz="0" w:space="0" w:color="auto"/>
        <w:bottom w:val="none" w:sz="0" w:space="0" w:color="auto"/>
        <w:right w:val="none" w:sz="0" w:space="0" w:color="auto"/>
      </w:divBdr>
    </w:div>
    <w:div w:id="921068230">
      <w:bodyDiv w:val="1"/>
      <w:marLeft w:val="0"/>
      <w:marRight w:val="0"/>
      <w:marTop w:val="0"/>
      <w:marBottom w:val="0"/>
      <w:divBdr>
        <w:top w:val="none" w:sz="0" w:space="0" w:color="auto"/>
        <w:left w:val="none" w:sz="0" w:space="0" w:color="auto"/>
        <w:bottom w:val="none" w:sz="0" w:space="0" w:color="auto"/>
        <w:right w:val="none" w:sz="0" w:space="0" w:color="auto"/>
      </w:divBdr>
    </w:div>
    <w:div w:id="1148086725">
      <w:bodyDiv w:val="1"/>
      <w:marLeft w:val="0"/>
      <w:marRight w:val="0"/>
      <w:marTop w:val="0"/>
      <w:marBottom w:val="0"/>
      <w:divBdr>
        <w:top w:val="none" w:sz="0" w:space="0" w:color="auto"/>
        <w:left w:val="none" w:sz="0" w:space="0" w:color="auto"/>
        <w:bottom w:val="none" w:sz="0" w:space="0" w:color="auto"/>
        <w:right w:val="none" w:sz="0" w:space="0" w:color="auto"/>
      </w:divBdr>
      <w:divsChild>
        <w:div w:id="369651938">
          <w:marLeft w:val="0"/>
          <w:marRight w:val="0"/>
          <w:marTop w:val="0"/>
          <w:marBottom w:val="0"/>
          <w:divBdr>
            <w:top w:val="none" w:sz="0" w:space="0" w:color="auto"/>
            <w:left w:val="none" w:sz="0" w:space="0" w:color="auto"/>
            <w:bottom w:val="none" w:sz="0" w:space="0" w:color="auto"/>
            <w:right w:val="none" w:sz="0" w:space="0" w:color="auto"/>
          </w:divBdr>
          <w:divsChild>
            <w:div w:id="1685128563">
              <w:marLeft w:val="0"/>
              <w:marRight w:val="0"/>
              <w:marTop w:val="0"/>
              <w:marBottom w:val="0"/>
              <w:divBdr>
                <w:top w:val="none" w:sz="0" w:space="0" w:color="auto"/>
                <w:left w:val="none" w:sz="0" w:space="0" w:color="auto"/>
                <w:bottom w:val="none" w:sz="0" w:space="0" w:color="auto"/>
                <w:right w:val="none" w:sz="0" w:space="0" w:color="auto"/>
              </w:divBdr>
              <w:divsChild>
                <w:div w:id="1375499335">
                  <w:marLeft w:val="0"/>
                  <w:marRight w:val="0"/>
                  <w:marTop w:val="0"/>
                  <w:marBottom w:val="0"/>
                  <w:divBdr>
                    <w:top w:val="none" w:sz="0" w:space="0" w:color="auto"/>
                    <w:left w:val="none" w:sz="0" w:space="0" w:color="auto"/>
                    <w:bottom w:val="none" w:sz="0" w:space="0" w:color="auto"/>
                    <w:right w:val="none" w:sz="0" w:space="0" w:color="auto"/>
                  </w:divBdr>
                  <w:divsChild>
                    <w:div w:id="2067951202">
                      <w:marLeft w:val="0"/>
                      <w:marRight w:val="0"/>
                      <w:marTop w:val="0"/>
                      <w:marBottom w:val="0"/>
                      <w:divBdr>
                        <w:top w:val="none" w:sz="0" w:space="0" w:color="auto"/>
                        <w:left w:val="none" w:sz="0" w:space="0" w:color="auto"/>
                        <w:bottom w:val="none" w:sz="0" w:space="0" w:color="auto"/>
                        <w:right w:val="none" w:sz="0" w:space="0" w:color="auto"/>
                      </w:divBdr>
                      <w:divsChild>
                        <w:div w:id="778528021">
                          <w:marLeft w:val="0"/>
                          <w:marRight w:val="0"/>
                          <w:marTop w:val="0"/>
                          <w:marBottom w:val="0"/>
                          <w:divBdr>
                            <w:top w:val="none" w:sz="0" w:space="0" w:color="auto"/>
                            <w:left w:val="none" w:sz="0" w:space="0" w:color="auto"/>
                            <w:bottom w:val="none" w:sz="0" w:space="0" w:color="auto"/>
                            <w:right w:val="none" w:sz="0" w:space="0" w:color="auto"/>
                          </w:divBdr>
                          <w:divsChild>
                            <w:div w:id="627860768">
                              <w:marLeft w:val="0"/>
                              <w:marRight w:val="0"/>
                              <w:marTop w:val="0"/>
                              <w:marBottom w:val="0"/>
                              <w:divBdr>
                                <w:top w:val="none" w:sz="0" w:space="0" w:color="auto"/>
                                <w:left w:val="none" w:sz="0" w:space="0" w:color="auto"/>
                                <w:bottom w:val="none" w:sz="0" w:space="0" w:color="auto"/>
                                <w:right w:val="none" w:sz="0" w:space="0" w:color="auto"/>
                              </w:divBdr>
                              <w:divsChild>
                                <w:div w:id="2007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4654">
      <w:bodyDiv w:val="1"/>
      <w:marLeft w:val="0"/>
      <w:marRight w:val="0"/>
      <w:marTop w:val="0"/>
      <w:marBottom w:val="0"/>
      <w:divBdr>
        <w:top w:val="none" w:sz="0" w:space="0" w:color="auto"/>
        <w:left w:val="none" w:sz="0" w:space="0" w:color="auto"/>
        <w:bottom w:val="none" w:sz="0" w:space="0" w:color="auto"/>
        <w:right w:val="none" w:sz="0" w:space="0" w:color="auto"/>
      </w:divBdr>
    </w:div>
    <w:div w:id="1266646221">
      <w:bodyDiv w:val="1"/>
      <w:marLeft w:val="0"/>
      <w:marRight w:val="0"/>
      <w:marTop w:val="0"/>
      <w:marBottom w:val="0"/>
      <w:divBdr>
        <w:top w:val="none" w:sz="0" w:space="0" w:color="auto"/>
        <w:left w:val="none" w:sz="0" w:space="0" w:color="auto"/>
        <w:bottom w:val="none" w:sz="0" w:space="0" w:color="auto"/>
        <w:right w:val="none" w:sz="0" w:space="0" w:color="auto"/>
      </w:divBdr>
    </w:div>
    <w:div w:id="1311443173">
      <w:bodyDiv w:val="1"/>
      <w:marLeft w:val="0"/>
      <w:marRight w:val="0"/>
      <w:marTop w:val="0"/>
      <w:marBottom w:val="0"/>
      <w:divBdr>
        <w:top w:val="none" w:sz="0" w:space="0" w:color="auto"/>
        <w:left w:val="none" w:sz="0" w:space="0" w:color="auto"/>
        <w:bottom w:val="none" w:sz="0" w:space="0" w:color="auto"/>
        <w:right w:val="none" w:sz="0" w:space="0" w:color="auto"/>
      </w:divBdr>
      <w:divsChild>
        <w:div w:id="1021975756">
          <w:marLeft w:val="0"/>
          <w:marRight w:val="0"/>
          <w:marTop w:val="0"/>
          <w:marBottom w:val="0"/>
          <w:divBdr>
            <w:top w:val="none" w:sz="0" w:space="0" w:color="auto"/>
            <w:left w:val="none" w:sz="0" w:space="0" w:color="auto"/>
            <w:bottom w:val="none" w:sz="0" w:space="0" w:color="auto"/>
            <w:right w:val="none" w:sz="0" w:space="0" w:color="auto"/>
          </w:divBdr>
        </w:div>
      </w:divsChild>
    </w:div>
    <w:div w:id="1329359936">
      <w:bodyDiv w:val="1"/>
      <w:marLeft w:val="0"/>
      <w:marRight w:val="0"/>
      <w:marTop w:val="0"/>
      <w:marBottom w:val="0"/>
      <w:divBdr>
        <w:top w:val="none" w:sz="0" w:space="0" w:color="auto"/>
        <w:left w:val="none" w:sz="0" w:space="0" w:color="auto"/>
        <w:bottom w:val="none" w:sz="0" w:space="0" w:color="auto"/>
        <w:right w:val="none" w:sz="0" w:space="0" w:color="auto"/>
      </w:divBdr>
      <w:divsChild>
        <w:div w:id="2049795174">
          <w:marLeft w:val="0"/>
          <w:marRight w:val="0"/>
          <w:marTop w:val="0"/>
          <w:marBottom w:val="0"/>
          <w:divBdr>
            <w:top w:val="none" w:sz="0" w:space="0" w:color="auto"/>
            <w:left w:val="none" w:sz="0" w:space="0" w:color="auto"/>
            <w:bottom w:val="none" w:sz="0" w:space="0" w:color="auto"/>
            <w:right w:val="none" w:sz="0" w:space="0" w:color="auto"/>
          </w:divBdr>
        </w:div>
        <w:div w:id="835650113">
          <w:marLeft w:val="0"/>
          <w:marRight w:val="0"/>
          <w:marTop w:val="0"/>
          <w:marBottom w:val="0"/>
          <w:divBdr>
            <w:top w:val="none" w:sz="0" w:space="0" w:color="auto"/>
            <w:left w:val="none" w:sz="0" w:space="0" w:color="auto"/>
            <w:bottom w:val="none" w:sz="0" w:space="0" w:color="auto"/>
            <w:right w:val="none" w:sz="0" w:space="0" w:color="auto"/>
          </w:divBdr>
        </w:div>
        <w:div w:id="2120955279">
          <w:marLeft w:val="0"/>
          <w:marRight w:val="0"/>
          <w:marTop w:val="0"/>
          <w:marBottom w:val="0"/>
          <w:divBdr>
            <w:top w:val="none" w:sz="0" w:space="0" w:color="auto"/>
            <w:left w:val="none" w:sz="0" w:space="0" w:color="auto"/>
            <w:bottom w:val="none" w:sz="0" w:space="0" w:color="auto"/>
            <w:right w:val="none" w:sz="0" w:space="0" w:color="auto"/>
          </w:divBdr>
        </w:div>
        <w:div w:id="1430396500">
          <w:marLeft w:val="0"/>
          <w:marRight w:val="0"/>
          <w:marTop w:val="0"/>
          <w:marBottom w:val="0"/>
          <w:divBdr>
            <w:top w:val="none" w:sz="0" w:space="0" w:color="auto"/>
            <w:left w:val="none" w:sz="0" w:space="0" w:color="auto"/>
            <w:bottom w:val="none" w:sz="0" w:space="0" w:color="auto"/>
            <w:right w:val="none" w:sz="0" w:space="0" w:color="auto"/>
          </w:divBdr>
        </w:div>
        <w:div w:id="389813398">
          <w:marLeft w:val="0"/>
          <w:marRight w:val="0"/>
          <w:marTop w:val="0"/>
          <w:marBottom w:val="0"/>
          <w:divBdr>
            <w:top w:val="none" w:sz="0" w:space="0" w:color="auto"/>
            <w:left w:val="none" w:sz="0" w:space="0" w:color="auto"/>
            <w:bottom w:val="none" w:sz="0" w:space="0" w:color="auto"/>
            <w:right w:val="none" w:sz="0" w:space="0" w:color="auto"/>
          </w:divBdr>
        </w:div>
        <w:div w:id="1566329400">
          <w:marLeft w:val="0"/>
          <w:marRight w:val="0"/>
          <w:marTop w:val="0"/>
          <w:marBottom w:val="0"/>
          <w:divBdr>
            <w:top w:val="none" w:sz="0" w:space="0" w:color="auto"/>
            <w:left w:val="none" w:sz="0" w:space="0" w:color="auto"/>
            <w:bottom w:val="none" w:sz="0" w:space="0" w:color="auto"/>
            <w:right w:val="none" w:sz="0" w:space="0" w:color="auto"/>
          </w:divBdr>
        </w:div>
        <w:div w:id="1648170649">
          <w:marLeft w:val="0"/>
          <w:marRight w:val="0"/>
          <w:marTop w:val="0"/>
          <w:marBottom w:val="0"/>
          <w:divBdr>
            <w:top w:val="none" w:sz="0" w:space="0" w:color="auto"/>
            <w:left w:val="none" w:sz="0" w:space="0" w:color="auto"/>
            <w:bottom w:val="none" w:sz="0" w:space="0" w:color="auto"/>
            <w:right w:val="none" w:sz="0" w:space="0" w:color="auto"/>
          </w:divBdr>
        </w:div>
        <w:div w:id="2121024440">
          <w:marLeft w:val="0"/>
          <w:marRight w:val="0"/>
          <w:marTop w:val="0"/>
          <w:marBottom w:val="0"/>
          <w:divBdr>
            <w:top w:val="none" w:sz="0" w:space="0" w:color="auto"/>
            <w:left w:val="none" w:sz="0" w:space="0" w:color="auto"/>
            <w:bottom w:val="none" w:sz="0" w:space="0" w:color="auto"/>
            <w:right w:val="none" w:sz="0" w:space="0" w:color="auto"/>
          </w:divBdr>
        </w:div>
        <w:div w:id="2127195324">
          <w:marLeft w:val="0"/>
          <w:marRight w:val="0"/>
          <w:marTop w:val="0"/>
          <w:marBottom w:val="0"/>
          <w:divBdr>
            <w:top w:val="none" w:sz="0" w:space="0" w:color="auto"/>
            <w:left w:val="none" w:sz="0" w:space="0" w:color="auto"/>
            <w:bottom w:val="none" w:sz="0" w:space="0" w:color="auto"/>
            <w:right w:val="none" w:sz="0" w:space="0" w:color="auto"/>
          </w:divBdr>
        </w:div>
        <w:div w:id="172451864">
          <w:marLeft w:val="0"/>
          <w:marRight w:val="0"/>
          <w:marTop w:val="0"/>
          <w:marBottom w:val="0"/>
          <w:divBdr>
            <w:top w:val="none" w:sz="0" w:space="0" w:color="auto"/>
            <w:left w:val="none" w:sz="0" w:space="0" w:color="auto"/>
            <w:bottom w:val="none" w:sz="0" w:space="0" w:color="auto"/>
            <w:right w:val="none" w:sz="0" w:space="0" w:color="auto"/>
          </w:divBdr>
        </w:div>
        <w:div w:id="1993634637">
          <w:marLeft w:val="0"/>
          <w:marRight w:val="0"/>
          <w:marTop w:val="0"/>
          <w:marBottom w:val="0"/>
          <w:divBdr>
            <w:top w:val="none" w:sz="0" w:space="0" w:color="auto"/>
            <w:left w:val="none" w:sz="0" w:space="0" w:color="auto"/>
            <w:bottom w:val="none" w:sz="0" w:space="0" w:color="auto"/>
            <w:right w:val="none" w:sz="0" w:space="0" w:color="auto"/>
          </w:divBdr>
        </w:div>
        <w:div w:id="1958290110">
          <w:marLeft w:val="0"/>
          <w:marRight w:val="0"/>
          <w:marTop w:val="0"/>
          <w:marBottom w:val="0"/>
          <w:divBdr>
            <w:top w:val="none" w:sz="0" w:space="0" w:color="auto"/>
            <w:left w:val="none" w:sz="0" w:space="0" w:color="auto"/>
            <w:bottom w:val="none" w:sz="0" w:space="0" w:color="auto"/>
            <w:right w:val="none" w:sz="0" w:space="0" w:color="auto"/>
          </w:divBdr>
        </w:div>
        <w:div w:id="1949772185">
          <w:marLeft w:val="0"/>
          <w:marRight w:val="0"/>
          <w:marTop w:val="0"/>
          <w:marBottom w:val="0"/>
          <w:divBdr>
            <w:top w:val="none" w:sz="0" w:space="0" w:color="auto"/>
            <w:left w:val="none" w:sz="0" w:space="0" w:color="auto"/>
            <w:bottom w:val="none" w:sz="0" w:space="0" w:color="auto"/>
            <w:right w:val="none" w:sz="0" w:space="0" w:color="auto"/>
          </w:divBdr>
        </w:div>
        <w:div w:id="1577474422">
          <w:marLeft w:val="0"/>
          <w:marRight w:val="0"/>
          <w:marTop w:val="0"/>
          <w:marBottom w:val="0"/>
          <w:divBdr>
            <w:top w:val="none" w:sz="0" w:space="0" w:color="auto"/>
            <w:left w:val="none" w:sz="0" w:space="0" w:color="auto"/>
            <w:bottom w:val="none" w:sz="0" w:space="0" w:color="auto"/>
            <w:right w:val="none" w:sz="0" w:space="0" w:color="auto"/>
          </w:divBdr>
        </w:div>
        <w:div w:id="795564615">
          <w:marLeft w:val="0"/>
          <w:marRight w:val="0"/>
          <w:marTop w:val="0"/>
          <w:marBottom w:val="0"/>
          <w:divBdr>
            <w:top w:val="none" w:sz="0" w:space="0" w:color="auto"/>
            <w:left w:val="none" w:sz="0" w:space="0" w:color="auto"/>
            <w:bottom w:val="none" w:sz="0" w:space="0" w:color="auto"/>
            <w:right w:val="none" w:sz="0" w:space="0" w:color="auto"/>
          </w:divBdr>
        </w:div>
        <w:div w:id="2001232377">
          <w:marLeft w:val="0"/>
          <w:marRight w:val="0"/>
          <w:marTop w:val="0"/>
          <w:marBottom w:val="0"/>
          <w:divBdr>
            <w:top w:val="none" w:sz="0" w:space="0" w:color="auto"/>
            <w:left w:val="none" w:sz="0" w:space="0" w:color="auto"/>
            <w:bottom w:val="none" w:sz="0" w:space="0" w:color="auto"/>
            <w:right w:val="none" w:sz="0" w:space="0" w:color="auto"/>
          </w:divBdr>
        </w:div>
        <w:div w:id="1138911506">
          <w:marLeft w:val="0"/>
          <w:marRight w:val="0"/>
          <w:marTop w:val="0"/>
          <w:marBottom w:val="0"/>
          <w:divBdr>
            <w:top w:val="none" w:sz="0" w:space="0" w:color="auto"/>
            <w:left w:val="none" w:sz="0" w:space="0" w:color="auto"/>
            <w:bottom w:val="none" w:sz="0" w:space="0" w:color="auto"/>
            <w:right w:val="none" w:sz="0" w:space="0" w:color="auto"/>
          </w:divBdr>
        </w:div>
        <w:div w:id="236137370">
          <w:marLeft w:val="0"/>
          <w:marRight w:val="0"/>
          <w:marTop w:val="0"/>
          <w:marBottom w:val="0"/>
          <w:divBdr>
            <w:top w:val="none" w:sz="0" w:space="0" w:color="auto"/>
            <w:left w:val="none" w:sz="0" w:space="0" w:color="auto"/>
            <w:bottom w:val="none" w:sz="0" w:space="0" w:color="auto"/>
            <w:right w:val="none" w:sz="0" w:space="0" w:color="auto"/>
          </w:divBdr>
        </w:div>
        <w:div w:id="1145045314">
          <w:marLeft w:val="0"/>
          <w:marRight w:val="0"/>
          <w:marTop w:val="0"/>
          <w:marBottom w:val="0"/>
          <w:divBdr>
            <w:top w:val="none" w:sz="0" w:space="0" w:color="auto"/>
            <w:left w:val="none" w:sz="0" w:space="0" w:color="auto"/>
            <w:bottom w:val="none" w:sz="0" w:space="0" w:color="auto"/>
            <w:right w:val="none" w:sz="0" w:space="0" w:color="auto"/>
          </w:divBdr>
        </w:div>
        <w:div w:id="1066684228">
          <w:marLeft w:val="0"/>
          <w:marRight w:val="0"/>
          <w:marTop w:val="0"/>
          <w:marBottom w:val="0"/>
          <w:divBdr>
            <w:top w:val="none" w:sz="0" w:space="0" w:color="auto"/>
            <w:left w:val="none" w:sz="0" w:space="0" w:color="auto"/>
            <w:bottom w:val="none" w:sz="0" w:space="0" w:color="auto"/>
            <w:right w:val="none" w:sz="0" w:space="0" w:color="auto"/>
          </w:divBdr>
        </w:div>
        <w:div w:id="1928228627">
          <w:marLeft w:val="0"/>
          <w:marRight w:val="0"/>
          <w:marTop w:val="0"/>
          <w:marBottom w:val="0"/>
          <w:divBdr>
            <w:top w:val="none" w:sz="0" w:space="0" w:color="auto"/>
            <w:left w:val="none" w:sz="0" w:space="0" w:color="auto"/>
            <w:bottom w:val="none" w:sz="0" w:space="0" w:color="auto"/>
            <w:right w:val="none" w:sz="0" w:space="0" w:color="auto"/>
          </w:divBdr>
        </w:div>
      </w:divsChild>
    </w:div>
    <w:div w:id="1519151798">
      <w:bodyDiv w:val="1"/>
      <w:marLeft w:val="0"/>
      <w:marRight w:val="0"/>
      <w:marTop w:val="0"/>
      <w:marBottom w:val="0"/>
      <w:divBdr>
        <w:top w:val="none" w:sz="0" w:space="0" w:color="auto"/>
        <w:left w:val="none" w:sz="0" w:space="0" w:color="auto"/>
        <w:bottom w:val="none" w:sz="0" w:space="0" w:color="auto"/>
        <w:right w:val="none" w:sz="0" w:space="0" w:color="auto"/>
      </w:divBdr>
      <w:divsChild>
        <w:div w:id="1350178660">
          <w:marLeft w:val="0"/>
          <w:marRight w:val="0"/>
          <w:marTop w:val="0"/>
          <w:marBottom w:val="0"/>
          <w:divBdr>
            <w:top w:val="none" w:sz="0" w:space="0" w:color="auto"/>
            <w:left w:val="none" w:sz="0" w:space="0" w:color="auto"/>
            <w:bottom w:val="none" w:sz="0" w:space="0" w:color="auto"/>
            <w:right w:val="none" w:sz="0" w:space="0" w:color="auto"/>
          </w:divBdr>
        </w:div>
      </w:divsChild>
    </w:div>
    <w:div w:id="1534659163">
      <w:bodyDiv w:val="1"/>
      <w:marLeft w:val="0"/>
      <w:marRight w:val="0"/>
      <w:marTop w:val="0"/>
      <w:marBottom w:val="0"/>
      <w:divBdr>
        <w:top w:val="none" w:sz="0" w:space="0" w:color="auto"/>
        <w:left w:val="none" w:sz="0" w:space="0" w:color="auto"/>
        <w:bottom w:val="none" w:sz="0" w:space="0" w:color="auto"/>
        <w:right w:val="none" w:sz="0" w:space="0" w:color="auto"/>
      </w:divBdr>
    </w:div>
    <w:div w:id="1662809871">
      <w:bodyDiv w:val="1"/>
      <w:marLeft w:val="0"/>
      <w:marRight w:val="0"/>
      <w:marTop w:val="0"/>
      <w:marBottom w:val="0"/>
      <w:divBdr>
        <w:top w:val="none" w:sz="0" w:space="0" w:color="auto"/>
        <w:left w:val="none" w:sz="0" w:space="0" w:color="auto"/>
        <w:bottom w:val="none" w:sz="0" w:space="0" w:color="auto"/>
        <w:right w:val="none" w:sz="0" w:space="0" w:color="auto"/>
      </w:divBdr>
    </w:div>
    <w:div w:id="1765876440">
      <w:bodyDiv w:val="1"/>
      <w:marLeft w:val="0"/>
      <w:marRight w:val="0"/>
      <w:marTop w:val="0"/>
      <w:marBottom w:val="0"/>
      <w:divBdr>
        <w:top w:val="none" w:sz="0" w:space="0" w:color="auto"/>
        <w:left w:val="none" w:sz="0" w:space="0" w:color="auto"/>
        <w:bottom w:val="none" w:sz="0" w:space="0" w:color="auto"/>
        <w:right w:val="none" w:sz="0" w:space="0" w:color="auto"/>
      </w:divBdr>
    </w:div>
    <w:div w:id="1864051446">
      <w:bodyDiv w:val="1"/>
      <w:marLeft w:val="0"/>
      <w:marRight w:val="0"/>
      <w:marTop w:val="0"/>
      <w:marBottom w:val="0"/>
      <w:divBdr>
        <w:top w:val="none" w:sz="0" w:space="0" w:color="auto"/>
        <w:left w:val="none" w:sz="0" w:space="0" w:color="auto"/>
        <w:bottom w:val="none" w:sz="0" w:space="0" w:color="auto"/>
        <w:right w:val="none" w:sz="0" w:space="0" w:color="auto"/>
      </w:divBdr>
    </w:div>
    <w:div w:id="1877887511">
      <w:bodyDiv w:val="1"/>
      <w:marLeft w:val="0"/>
      <w:marRight w:val="0"/>
      <w:marTop w:val="0"/>
      <w:marBottom w:val="0"/>
      <w:divBdr>
        <w:top w:val="none" w:sz="0" w:space="0" w:color="auto"/>
        <w:left w:val="none" w:sz="0" w:space="0" w:color="auto"/>
        <w:bottom w:val="none" w:sz="0" w:space="0" w:color="auto"/>
        <w:right w:val="none" w:sz="0" w:space="0" w:color="auto"/>
      </w:divBdr>
    </w:div>
    <w:div w:id="1889683449">
      <w:bodyDiv w:val="1"/>
      <w:marLeft w:val="0"/>
      <w:marRight w:val="0"/>
      <w:marTop w:val="0"/>
      <w:marBottom w:val="0"/>
      <w:divBdr>
        <w:top w:val="none" w:sz="0" w:space="0" w:color="auto"/>
        <w:left w:val="none" w:sz="0" w:space="0" w:color="auto"/>
        <w:bottom w:val="none" w:sz="0" w:space="0" w:color="auto"/>
        <w:right w:val="none" w:sz="0" w:space="0" w:color="auto"/>
      </w:divBdr>
      <w:divsChild>
        <w:div w:id="1940330327">
          <w:marLeft w:val="0"/>
          <w:marRight w:val="0"/>
          <w:marTop w:val="0"/>
          <w:marBottom w:val="0"/>
          <w:divBdr>
            <w:top w:val="none" w:sz="0" w:space="0" w:color="auto"/>
            <w:left w:val="none" w:sz="0" w:space="0" w:color="auto"/>
            <w:bottom w:val="none" w:sz="0" w:space="0" w:color="auto"/>
            <w:right w:val="none" w:sz="0" w:space="0" w:color="auto"/>
          </w:divBdr>
        </w:div>
      </w:divsChild>
    </w:div>
    <w:div w:id="1925413909">
      <w:bodyDiv w:val="1"/>
      <w:marLeft w:val="0"/>
      <w:marRight w:val="0"/>
      <w:marTop w:val="0"/>
      <w:marBottom w:val="0"/>
      <w:divBdr>
        <w:top w:val="none" w:sz="0" w:space="0" w:color="auto"/>
        <w:left w:val="none" w:sz="0" w:space="0" w:color="auto"/>
        <w:bottom w:val="none" w:sz="0" w:space="0" w:color="auto"/>
        <w:right w:val="none" w:sz="0" w:space="0" w:color="auto"/>
      </w:divBdr>
    </w:div>
    <w:div w:id="1977055868">
      <w:bodyDiv w:val="1"/>
      <w:marLeft w:val="0"/>
      <w:marRight w:val="0"/>
      <w:marTop w:val="0"/>
      <w:marBottom w:val="0"/>
      <w:divBdr>
        <w:top w:val="none" w:sz="0" w:space="0" w:color="auto"/>
        <w:left w:val="none" w:sz="0" w:space="0" w:color="auto"/>
        <w:bottom w:val="none" w:sz="0" w:space="0" w:color="auto"/>
        <w:right w:val="none" w:sz="0" w:space="0" w:color="auto"/>
      </w:divBdr>
    </w:div>
    <w:div w:id="2110852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08834-elektroenergijas-tirgus-liku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108834-elektroenergijas-tirgus-likums" TargetMode="External"/><Relationship Id="rId17" Type="http://schemas.openxmlformats.org/officeDocument/2006/relationships/hyperlink" Target="mailto:Neimanis@em.gov.lv" TargetMode="External"/><Relationship Id="rId2" Type="http://schemas.openxmlformats.org/officeDocument/2006/relationships/customXml" Target="../customXml/item2.xml"/><Relationship Id="rId16" Type="http://schemas.openxmlformats.org/officeDocument/2006/relationships/hyperlink" Target="mailto:Alvils.Strikeris@em.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08834-elektroenergijas-tirgus-likums" TargetMode="External"/><Relationship Id="rId5" Type="http://schemas.openxmlformats.org/officeDocument/2006/relationships/numbering" Target="numbering.xml"/><Relationship Id="rId15" Type="http://schemas.openxmlformats.org/officeDocument/2006/relationships/hyperlink" Target="https://m.likumi.lv/ta/id/108834-elektroenergijas-tirgus-liku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08834-elektroenergijas-tirgu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C15CC6592DA47AE5D4F7D5872DD17" ma:contentTypeVersion="9" ma:contentTypeDescription="Create a new document." ma:contentTypeScope="" ma:versionID="313ec1614bae3b755bb85cc3b0688ad1">
  <xsd:schema xmlns:xsd="http://www.w3.org/2001/XMLSchema" xmlns:xs="http://www.w3.org/2001/XMLSchema" xmlns:p="http://schemas.microsoft.com/office/2006/metadata/properties" xmlns:ns2="29f78415-175b-40a2-bcd2-403b664ecbcc" xmlns:ns3="bacc163a-1942-4e6f-b285-0c86b3efd77b" targetNamespace="http://schemas.microsoft.com/office/2006/metadata/properties" ma:root="true" ma:fieldsID="1dd3ce44d7bf6bb7893fe5af29be4440" ns2:_="" ns3:_="">
    <xsd:import namespace="29f78415-175b-40a2-bcd2-403b664ecbcc"/>
    <xsd:import namespace="bacc163a-1942-4e6f-b285-0c86b3efd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78415-175b-40a2-bcd2-403b664e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c163a-1942-4e6f-b285-0c86b3efd7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AAB0-EB4A-48DB-A50A-7D813A1C1AB6}">
  <ds:schemaRefs>
    <ds:schemaRef ds:uri="http://schemas.microsoft.com/sharepoint/v3/contenttype/forms"/>
  </ds:schemaRefs>
</ds:datastoreItem>
</file>

<file path=customXml/itemProps2.xml><?xml version="1.0" encoding="utf-8"?>
<ds:datastoreItem xmlns:ds="http://schemas.openxmlformats.org/officeDocument/2006/customXml" ds:itemID="{D33C0B52-1683-4D9E-9C93-13E00D03B1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431DD-ABB0-4904-819F-B52C04B5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78415-175b-40a2-bcd2-403b664ecbcc"/>
    <ds:schemaRef ds:uri="bacc163a-1942-4e6f-b285-0c86b3efd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2714B-CACE-4CA4-9A8F-82525C4C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14317</Words>
  <Characters>8161</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Ministru kabineta noteikumu projekts “Noteikumi par elektroenerģijas ražošanu, izmantojot atjaunojamos energoresursus, cenu noteikšanas kārtību un uzraudzību”</vt:lpstr>
    </vt:vector>
  </TitlesOfParts>
  <Company>Ekonomikas ministrija</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elektroenerģijas ražošanu, izmantojot atjaunojamos energoresursus, cenu noteikšanas kārtību un uzraudzību”</dc:title>
  <dc:subject>Projekta sākotnējās ietekmes novērtējuma apvienotais ziņojums (anotācija)</dc:subject>
  <dc:creator>Aivars.Neimanis@em.gov.lv</dc:creator>
  <cp:keywords/>
  <dc:description>A.Neimanis, 67013249, Aivars.Neimanis@em.gov.lv</dc:description>
  <cp:lastModifiedBy>Līga Dreijalte</cp:lastModifiedBy>
  <cp:revision>6</cp:revision>
  <cp:lastPrinted>2020-03-04T06:29:00Z</cp:lastPrinted>
  <dcterms:created xsi:type="dcterms:W3CDTF">2020-11-30T17:11:00Z</dcterms:created>
  <dcterms:modified xsi:type="dcterms:W3CDTF">2020-11-30T17:13:00Z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0x010100074C15CC6592DA47AE5D4F7D5872DD17</vt:lpwstr>
  </property>
</Properties>
</file>