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0BE189" w14:textId="23E1656F" w:rsidR="000E2960" w:rsidRPr="00C67333" w:rsidRDefault="005D5DB9" w:rsidP="00895C28">
      <w:pPr>
        <w:jc w:val="center"/>
        <w:rPr>
          <w:rFonts w:ascii="Times New Roman" w:hAnsi="Times New Roman" w:cs="Times New Roman"/>
          <w:b/>
          <w:bCs/>
          <w:sz w:val="28"/>
          <w:szCs w:val="28"/>
        </w:rPr>
      </w:pPr>
      <w:r>
        <w:rPr>
          <w:rFonts w:ascii="Times New Roman" w:hAnsi="Times New Roman" w:cs="Times New Roman"/>
          <w:b/>
          <w:bCs/>
          <w:sz w:val="28"/>
          <w:szCs w:val="28"/>
        </w:rPr>
        <w:t xml:space="preserve">Paziņojums par metodiku saskaņā ar </w:t>
      </w:r>
      <w:r w:rsidR="00D76FCC">
        <w:rPr>
          <w:rFonts w:ascii="Times New Roman" w:hAnsi="Times New Roman" w:cs="Times New Roman"/>
          <w:b/>
          <w:bCs/>
          <w:sz w:val="28"/>
          <w:szCs w:val="28"/>
        </w:rPr>
        <w:t xml:space="preserve">Eiropas Parlamenta un Padomes </w:t>
      </w:r>
      <w:r>
        <w:rPr>
          <w:rFonts w:ascii="Times New Roman" w:hAnsi="Times New Roman" w:cs="Times New Roman"/>
          <w:b/>
          <w:bCs/>
          <w:sz w:val="28"/>
          <w:szCs w:val="28"/>
        </w:rPr>
        <w:t xml:space="preserve">Regulas </w:t>
      </w:r>
      <w:r w:rsidR="00D76FCC">
        <w:rPr>
          <w:rFonts w:ascii="Times New Roman" w:hAnsi="Times New Roman" w:cs="Times New Roman"/>
          <w:b/>
          <w:bCs/>
          <w:sz w:val="28"/>
          <w:szCs w:val="28"/>
        </w:rPr>
        <w:t xml:space="preserve">(ES) 2018/1999 par enerģētikas savienības un rīcības klimata politikas jomā pārvaldību </w:t>
      </w:r>
      <w:r>
        <w:rPr>
          <w:rFonts w:ascii="Times New Roman" w:hAnsi="Times New Roman" w:cs="Times New Roman"/>
          <w:b/>
          <w:bCs/>
          <w:sz w:val="28"/>
          <w:szCs w:val="28"/>
        </w:rPr>
        <w:t>III.</w:t>
      </w:r>
      <w:r w:rsidR="00D76FCC">
        <w:rPr>
          <w:rFonts w:ascii="Times New Roman" w:hAnsi="Times New Roman" w:cs="Times New Roman"/>
          <w:b/>
          <w:bCs/>
          <w:sz w:val="28"/>
          <w:szCs w:val="28"/>
        </w:rPr>
        <w:t xml:space="preserve"> </w:t>
      </w:r>
      <w:bookmarkStart w:id="0" w:name="_GoBack"/>
      <w:bookmarkEnd w:id="0"/>
      <w:r>
        <w:rPr>
          <w:rFonts w:ascii="Times New Roman" w:hAnsi="Times New Roman" w:cs="Times New Roman"/>
          <w:b/>
          <w:bCs/>
          <w:sz w:val="28"/>
          <w:szCs w:val="28"/>
        </w:rPr>
        <w:t>pielikuma 4.a)punktu</w:t>
      </w:r>
    </w:p>
    <w:p w14:paraId="6CF23B7F" w14:textId="77777777" w:rsidR="00D76FCC" w:rsidRDefault="00D76FCC" w:rsidP="003A0754">
      <w:pPr>
        <w:rPr>
          <w:rFonts w:ascii="Times New Roman" w:hAnsi="Times New Roman" w:cs="Times New Roman"/>
          <w:b/>
          <w:sz w:val="28"/>
          <w:szCs w:val="28"/>
        </w:rPr>
      </w:pPr>
    </w:p>
    <w:p w14:paraId="64CC24A9" w14:textId="2B120262" w:rsidR="005D5DB9" w:rsidRPr="00C67333" w:rsidRDefault="005D5DB9" w:rsidP="003A0754">
      <w:pPr>
        <w:rPr>
          <w:rFonts w:ascii="Times New Roman" w:hAnsi="Times New Roman" w:cs="Times New Roman"/>
          <w:b/>
          <w:sz w:val="28"/>
          <w:szCs w:val="28"/>
        </w:rPr>
      </w:pPr>
      <w:r>
        <w:rPr>
          <w:rFonts w:ascii="Times New Roman" w:hAnsi="Times New Roman" w:cs="Times New Roman"/>
          <w:b/>
          <w:sz w:val="28"/>
          <w:szCs w:val="28"/>
        </w:rPr>
        <w:t>Paziņoto pasākumu ietaupījumu aprēķināšanas metodes</w:t>
      </w:r>
    </w:p>
    <w:p w14:paraId="478F27A2" w14:textId="7E2938E2" w:rsidR="0019587E" w:rsidRPr="00C67333" w:rsidRDefault="003A0754" w:rsidP="00D3513D">
      <w:pPr>
        <w:jc w:val="both"/>
        <w:rPr>
          <w:rFonts w:ascii="Times New Roman" w:hAnsi="Times New Roman" w:cs="Times New Roman"/>
          <w:sz w:val="28"/>
          <w:szCs w:val="28"/>
        </w:rPr>
      </w:pPr>
      <w:r w:rsidRPr="00C67333">
        <w:rPr>
          <w:rFonts w:ascii="Times New Roman" w:hAnsi="Times New Roman" w:cs="Times New Roman"/>
          <w:sz w:val="28"/>
          <w:szCs w:val="28"/>
        </w:rPr>
        <w:t xml:space="preserve">Ministru kabineta 2016.gada 11.oktobra noteikumu Nr.668 “Energoefektivitātes monitoringa un piemērojamā </w:t>
      </w:r>
      <w:proofErr w:type="spellStart"/>
      <w:r w:rsidRPr="00C67333">
        <w:rPr>
          <w:rFonts w:ascii="Times New Roman" w:hAnsi="Times New Roman" w:cs="Times New Roman"/>
          <w:sz w:val="28"/>
          <w:szCs w:val="28"/>
        </w:rPr>
        <w:t>energopārvaldības</w:t>
      </w:r>
      <w:proofErr w:type="spellEnd"/>
      <w:r w:rsidRPr="00C67333">
        <w:rPr>
          <w:rFonts w:ascii="Times New Roman" w:hAnsi="Times New Roman" w:cs="Times New Roman"/>
          <w:sz w:val="28"/>
          <w:szCs w:val="28"/>
        </w:rPr>
        <w:t xml:space="preserve"> sistēmas standarta noteikumi” (turpmāk – MK noteikumi Nr.668)  5.punktā uzskaitītas enerģijas ietaupījumu aprēķināšanai izmantojamās metodes</w:t>
      </w:r>
      <w:r w:rsidR="0019587E" w:rsidRPr="00C67333">
        <w:rPr>
          <w:rFonts w:ascii="Times New Roman" w:hAnsi="Times New Roman" w:cs="Times New Roman"/>
          <w:sz w:val="28"/>
          <w:szCs w:val="28"/>
        </w:rPr>
        <w:t>. Uzskaitījumu papildina Metodiskie norādījumi enerģijas ietaupījumu ziņošanai un aprēķināšanai</w:t>
      </w:r>
      <w:r w:rsidR="0019587E" w:rsidRPr="00C67333">
        <w:rPr>
          <w:rStyle w:val="FootnoteReference"/>
          <w:rFonts w:ascii="Times New Roman" w:hAnsi="Times New Roman" w:cs="Times New Roman"/>
          <w:sz w:val="28"/>
          <w:szCs w:val="28"/>
        </w:rPr>
        <w:footnoteReference w:id="1"/>
      </w:r>
      <w:r w:rsidR="00025B03" w:rsidRPr="00C67333">
        <w:rPr>
          <w:rFonts w:ascii="Times New Roman" w:hAnsi="Times New Roman" w:cs="Times New Roman"/>
          <w:sz w:val="28"/>
          <w:szCs w:val="28"/>
        </w:rPr>
        <w:t>, Metodiskie norādījumi informēšanas un izglītošanas pasākumu enerģijas ietaupījumu novērtēšanai</w:t>
      </w:r>
      <w:r w:rsidR="00025B03" w:rsidRPr="00C67333">
        <w:rPr>
          <w:rStyle w:val="FootnoteReference"/>
          <w:rFonts w:ascii="Times New Roman" w:hAnsi="Times New Roman" w:cs="Times New Roman"/>
          <w:sz w:val="28"/>
          <w:szCs w:val="28"/>
        </w:rPr>
        <w:footnoteReference w:id="2"/>
      </w:r>
      <w:r w:rsidR="00025B03" w:rsidRPr="00C67333">
        <w:rPr>
          <w:rFonts w:ascii="Times New Roman" w:hAnsi="Times New Roman" w:cs="Times New Roman"/>
          <w:sz w:val="28"/>
          <w:szCs w:val="28"/>
        </w:rPr>
        <w:t xml:space="preserve"> un </w:t>
      </w:r>
      <w:r w:rsidR="0019587E" w:rsidRPr="00C67333">
        <w:rPr>
          <w:rFonts w:ascii="Times New Roman" w:hAnsi="Times New Roman" w:cs="Times New Roman"/>
          <w:sz w:val="28"/>
          <w:szCs w:val="28"/>
        </w:rPr>
        <w:t>Enerģijas ietaupījumu katalogs, kas pieejams tīmekļa vietnē</w:t>
      </w:r>
      <w:r w:rsidR="0019587E" w:rsidRPr="00C67333">
        <w:rPr>
          <w:rStyle w:val="FootnoteReference"/>
          <w:rFonts w:ascii="Times New Roman" w:hAnsi="Times New Roman" w:cs="Times New Roman"/>
          <w:sz w:val="28"/>
          <w:szCs w:val="28"/>
        </w:rPr>
        <w:footnoteReference w:id="3"/>
      </w:r>
      <w:r w:rsidR="0019587E" w:rsidRPr="00C67333">
        <w:rPr>
          <w:rFonts w:ascii="Times New Roman" w:hAnsi="Times New Roman" w:cs="Times New Roman"/>
          <w:sz w:val="28"/>
          <w:szCs w:val="28"/>
        </w:rPr>
        <w:t>. Minētie dokumenti pēc vajadzības tiek aktualizēti apstiprināto pasākumu praktiskās ieviešanas gaitā, piemēram, atbilstoši atbalsta programmu saturam.</w:t>
      </w:r>
    </w:p>
    <w:p w14:paraId="395A9B56" w14:textId="7AA5B09B" w:rsidR="003A0754" w:rsidRPr="00C67333" w:rsidRDefault="0019587E" w:rsidP="003A0754">
      <w:pPr>
        <w:jc w:val="both"/>
        <w:rPr>
          <w:rFonts w:ascii="Times New Roman" w:hAnsi="Times New Roman" w:cs="Times New Roman"/>
          <w:sz w:val="28"/>
          <w:szCs w:val="28"/>
        </w:rPr>
      </w:pPr>
      <w:r w:rsidRPr="00C67333">
        <w:rPr>
          <w:rFonts w:ascii="Times New Roman" w:hAnsi="Times New Roman" w:cs="Times New Roman"/>
          <w:sz w:val="28"/>
          <w:szCs w:val="28"/>
        </w:rPr>
        <w:t>MK noteikumos</w:t>
      </w:r>
      <w:r w:rsidR="00222A05" w:rsidRPr="00C67333">
        <w:rPr>
          <w:rFonts w:ascii="Times New Roman" w:hAnsi="Times New Roman" w:cs="Times New Roman"/>
          <w:sz w:val="28"/>
          <w:szCs w:val="28"/>
        </w:rPr>
        <w:t xml:space="preserve"> Nr.668</w:t>
      </w:r>
      <w:r w:rsidRPr="00C67333">
        <w:rPr>
          <w:rFonts w:ascii="Times New Roman" w:hAnsi="Times New Roman" w:cs="Times New Roman"/>
          <w:sz w:val="28"/>
          <w:szCs w:val="28"/>
        </w:rPr>
        <w:t xml:space="preserve"> uzskaitītas šādas enerģijas ietaupījumu aprēķināšanai izmantojamās metodes</w:t>
      </w:r>
      <w:r w:rsidR="003A0754" w:rsidRPr="00C67333">
        <w:rPr>
          <w:rFonts w:ascii="Times New Roman" w:hAnsi="Times New Roman" w:cs="Times New Roman"/>
          <w:sz w:val="28"/>
          <w:szCs w:val="28"/>
        </w:rPr>
        <w:t xml:space="preserve">: </w:t>
      </w:r>
    </w:p>
    <w:p w14:paraId="64061359" w14:textId="07E22ABE" w:rsidR="003A0754" w:rsidRPr="00C67333" w:rsidRDefault="003A0754" w:rsidP="00401396">
      <w:pPr>
        <w:pStyle w:val="tv213"/>
        <w:numPr>
          <w:ilvl w:val="0"/>
          <w:numId w:val="2"/>
        </w:numPr>
        <w:shd w:val="clear" w:color="auto" w:fill="FFFFFF"/>
        <w:spacing w:before="0" w:beforeAutospacing="0" w:after="0" w:afterAutospacing="0" w:line="293" w:lineRule="atLeast"/>
        <w:jc w:val="both"/>
        <w:rPr>
          <w:sz w:val="28"/>
          <w:szCs w:val="28"/>
        </w:rPr>
      </w:pPr>
      <w:r w:rsidRPr="00C67333">
        <w:rPr>
          <w:sz w:val="28"/>
          <w:szCs w:val="28"/>
          <w:u w:val="single"/>
        </w:rPr>
        <w:t>paredzamā ietaupījuma (</w:t>
      </w:r>
      <w:proofErr w:type="spellStart"/>
      <w:r w:rsidRPr="00C67333">
        <w:rPr>
          <w:i/>
          <w:iCs/>
          <w:sz w:val="28"/>
          <w:szCs w:val="28"/>
          <w:u w:val="single"/>
        </w:rPr>
        <w:t>ex-ante</w:t>
      </w:r>
      <w:proofErr w:type="spellEnd"/>
      <w:r w:rsidRPr="00C67333">
        <w:rPr>
          <w:sz w:val="28"/>
          <w:szCs w:val="28"/>
          <w:u w:val="single"/>
        </w:rPr>
        <w:t>) metode</w:t>
      </w:r>
      <w:r w:rsidRPr="00C67333">
        <w:rPr>
          <w:sz w:val="28"/>
          <w:szCs w:val="28"/>
        </w:rPr>
        <w:t xml:space="preserve"> – enerģijas ietaupījumu aprēķina, </w:t>
      </w:r>
      <w:r w:rsidR="00401396" w:rsidRPr="00C67333">
        <w:rPr>
          <w:sz w:val="28"/>
          <w:szCs w:val="28"/>
        </w:rPr>
        <w:t>izmantojot Enerģijas ietaupījumu kataloga (turpmāk – katalogs) datus. Katalogs pieejams Ekonomikas ministrijas tīmekļa vietnē</w:t>
      </w:r>
      <w:r w:rsidR="00401396" w:rsidRPr="00C67333">
        <w:rPr>
          <w:rStyle w:val="FootnoteReference"/>
          <w:sz w:val="28"/>
          <w:szCs w:val="28"/>
        </w:rPr>
        <w:footnoteReference w:id="4"/>
      </w:r>
      <w:r w:rsidR="00401396" w:rsidRPr="00C67333">
        <w:rPr>
          <w:sz w:val="28"/>
          <w:szCs w:val="28"/>
        </w:rPr>
        <w:t xml:space="preserve"> un tas pēc atbilstoša pasākumu </w:t>
      </w:r>
      <w:proofErr w:type="spellStart"/>
      <w:r w:rsidR="00401396" w:rsidRPr="00C67333">
        <w:rPr>
          <w:sz w:val="28"/>
          <w:szCs w:val="28"/>
        </w:rPr>
        <w:t>izvērtējuma</w:t>
      </w:r>
      <w:proofErr w:type="spellEnd"/>
      <w:r w:rsidR="00401396" w:rsidRPr="00C67333">
        <w:rPr>
          <w:sz w:val="28"/>
          <w:szCs w:val="28"/>
        </w:rPr>
        <w:t xml:space="preserve"> tiek papildināts ar jauniem energoefektivitātes </w:t>
      </w:r>
      <w:proofErr w:type="spellStart"/>
      <w:r w:rsidR="00401396" w:rsidRPr="00C67333">
        <w:rPr>
          <w:sz w:val="28"/>
          <w:szCs w:val="28"/>
        </w:rPr>
        <w:t>pasākumiem.</w:t>
      </w:r>
      <w:r w:rsidR="0019587E" w:rsidRPr="00C67333">
        <w:rPr>
          <w:sz w:val="28"/>
          <w:szCs w:val="28"/>
        </w:rPr>
        <w:t>Metodi</w:t>
      </w:r>
      <w:proofErr w:type="spellEnd"/>
      <w:r w:rsidR="0019587E" w:rsidRPr="00C67333">
        <w:rPr>
          <w:sz w:val="28"/>
          <w:szCs w:val="28"/>
        </w:rPr>
        <w:t xml:space="preserve">   izmanto </w:t>
      </w:r>
      <w:r w:rsidR="00401396" w:rsidRPr="00C67333">
        <w:rPr>
          <w:sz w:val="28"/>
          <w:szCs w:val="28"/>
        </w:rPr>
        <w:t>šādos</w:t>
      </w:r>
      <w:r w:rsidR="0019587E" w:rsidRPr="00C67333">
        <w:rPr>
          <w:sz w:val="28"/>
          <w:szCs w:val="28"/>
        </w:rPr>
        <w:t xml:space="preserve"> gadījumos: ja plānota esošu iekārtu nomaiņa ar jaunām, efektīvākām iekārtām, un ja plānota esošu iekārtu automātiskas/attālinātas vadības iekārtas uzstādīšana, lai uzlabotu esošās iekārtas efektivitāti (piemēram, apgaismojuma vai apgaismojuma attālinātas vadības ierīces, apkures sistēmas vai to vadības ierīces (piemēram, </w:t>
      </w:r>
      <w:proofErr w:type="spellStart"/>
      <w:r w:rsidR="0019587E" w:rsidRPr="00C67333">
        <w:rPr>
          <w:sz w:val="28"/>
          <w:szCs w:val="28"/>
        </w:rPr>
        <w:t>siltumsūkņu</w:t>
      </w:r>
      <w:proofErr w:type="spellEnd"/>
      <w:r w:rsidR="0019587E" w:rsidRPr="00C67333">
        <w:rPr>
          <w:sz w:val="28"/>
          <w:szCs w:val="28"/>
        </w:rPr>
        <w:t xml:space="preserve"> apkures sistēmas), dažāda veida motoru vai citu elektroiekārtu nomaiņa, atsevišķu ēkas būvelementu (logu, durvju) nomaiņa vai atsevišķu ēkas elementu </w:t>
      </w:r>
      <w:proofErr w:type="spellStart"/>
      <w:r w:rsidR="0019587E" w:rsidRPr="00C67333">
        <w:rPr>
          <w:sz w:val="28"/>
          <w:szCs w:val="28"/>
        </w:rPr>
        <w:t>siltumnoturības</w:t>
      </w:r>
      <w:proofErr w:type="spellEnd"/>
      <w:r w:rsidR="0019587E" w:rsidRPr="00C67333">
        <w:rPr>
          <w:sz w:val="28"/>
          <w:szCs w:val="28"/>
        </w:rPr>
        <w:t xml:space="preserve"> paaugstināšana).</w:t>
      </w:r>
    </w:p>
    <w:p w14:paraId="40780E2D" w14:textId="0A8E7266" w:rsidR="00F744CA" w:rsidRPr="00C67333" w:rsidRDefault="003A0754" w:rsidP="00256DE1">
      <w:pPr>
        <w:pStyle w:val="ListParagraph"/>
        <w:numPr>
          <w:ilvl w:val="0"/>
          <w:numId w:val="2"/>
        </w:numPr>
        <w:spacing w:after="0" w:line="240" w:lineRule="auto"/>
        <w:jc w:val="both"/>
        <w:rPr>
          <w:rFonts w:ascii="Times New Roman" w:hAnsi="Times New Roman" w:cs="Times New Roman"/>
          <w:sz w:val="28"/>
          <w:szCs w:val="28"/>
        </w:rPr>
      </w:pPr>
      <w:r w:rsidRPr="00C67333">
        <w:rPr>
          <w:rFonts w:ascii="Times New Roman" w:hAnsi="Times New Roman" w:cs="Times New Roman"/>
          <w:sz w:val="28"/>
          <w:szCs w:val="28"/>
          <w:u w:val="single"/>
        </w:rPr>
        <w:t>uzskaitītā ietaupījuma (</w:t>
      </w:r>
      <w:proofErr w:type="spellStart"/>
      <w:r w:rsidRPr="00C67333">
        <w:rPr>
          <w:rFonts w:ascii="Times New Roman" w:hAnsi="Times New Roman" w:cs="Times New Roman"/>
          <w:i/>
          <w:iCs/>
          <w:sz w:val="28"/>
          <w:szCs w:val="28"/>
          <w:u w:val="single"/>
        </w:rPr>
        <w:t>ex</w:t>
      </w:r>
      <w:proofErr w:type="spellEnd"/>
      <w:r w:rsidRPr="00C67333">
        <w:rPr>
          <w:rFonts w:ascii="Times New Roman" w:hAnsi="Times New Roman" w:cs="Times New Roman"/>
          <w:i/>
          <w:iCs/>
          <w:sz w:val="28"/>
          <w:szCs w:val="28"/>
          <w:u w:val="single"/>
        </w:rPr>
        <w:t>-post</w:t>
      </w:r>
      <w:r w:rsidRPr="00C67333">
        <w:rPr>
          <w:rFonts w:ascii="Times New Roman" w:hAnsi="Times New Roman" w:cs="Times New Roman"/>
          <w:sz w:val="28"/>
          <w:szCs w:val="28"/>
          <w:u w:val="single"/>
        </w:rPr>
        <w:t>) metode</w:t>
      </w:r>
      <w:r w:rsidRPr="00C67333">
        <w:rPr>
          <w:rFonts w:ascii="Times New Roman" w:hAnsi="Times New Roman" w:cs="Times New Roman"/>
          <w:sz w:val="28"/>
          <w:szCs w:val="28"/>
        </w:rPr>
        <w:t xml:space="preserve"> – enerģijas ietaupījumu aprēķina, nosakot faktisko enerģijas patēriņu </w:t>
      </w:r>
      <w:r w:rsidR="00F744CA" w:rsidRPr="00C67333">
        <w:rPr>
          <w:rFonts w:ascii="Times New Roman" w:hAnsi="Times New Roman" w:cs="Times New Roman"/>
          <w:sz w:val="28"/>
          <w:szCs w:val="28"/>
        </w:rPr>
        <w:t xml:space="preserve">pirms un pēc </w:t>
      </w:r>
      <w:r w:rsidR="00F744CA" w:rsidRPr="00C67333">
        <w:rPr>
          <w:rFonts w:ascii="Times New Roman" w:hAnsi="Times New Roman" w:cs="Times New Roman"/>
          <w:sz w:val="28"/>
          <w:szCs w:val="28"/>
        </w:rPr>
        <w:lastRenderedPageBreak/>
        <w:t xml:space="preserve">energoefektivitātes pasākuma ieviešanas </w:t>
      </w:r>
      <w:r w:rsidRPr="00C67333">
        <w:rPr>
          <w:rFonts w:ascii="Times New Roman" w:hAnsi="Times New Roman" w:cs="Times New Roman"/>
          <w:sz w:val="28"/>
          <w:szCs w:val="28"/>
        </w:rPr>
        <w:t>un ņemot vērā faktorus, kas var ietekmēt enerģijas patēriņu</w:t>
      </w:r>
      <w:r w:rsidR="00635D53" w:rsidRPr="00C67333">
        <w:rPr>
          <w:rFonts w:ascii="Times New Roman" w:hAnsi="Times New Roman" w:cs="Times New Roman"/>
          <w:sz w:val="28"/>
          <w:szCs w:val="28"/>
        </w:rPr>
        <w:t>,</w:t>
      </w:r>
    </w:p>
    <w:p w14:paraId="6113D864" w14:textId="1049AEA6" w:rsidR="00635D53" w:rsidRPr="00C67333" w:rsidRDefault="0019587E" w:rsidP="00C67333">
      <w:pPr>
        <w:pStyle w:val="ListParagraph"/>
        <w:numPr>
          <w:ilvl w:val="0"/>
          <w:numId w:val="2"/>
        </w:numPr>
        <w:spacing w:after="0" w:line="240" w:lineRule="auto"/>
        <w:jc w:val="both"/>
        <w:rPr>
          <w:rFonts w:ascii="Times New Roman" w:hAnsi="Times New Roman" w:cs="Times New Roman"/>
          <w:sz w:val="28"/>
          <w:szCs w:val="28"/>
        </w:rPr>
      </w:pPr>
      <w:r w:rsidRPr="00C67333">
        <w:rPr>
          <w:rFonts w:ascii="Times New Roman" w:hAnsi="Times New Roman" w:cs="Times New Roman"/>
          <w:sz w:val="28"/>
          <w:szCs w:val="28"/>
        </w:rPr>
        <w:t>piemēram, iekārtu noslogojuma grafiku, ražošanas paplašināšanos</w:t>
      </w:r>
      <w:r w:rsidR="00635D53" w:rsidRPr="00C67333">
        <w:rPr>
          <w:rFonts w:ascii="Times New Roman" w:hAnsi="Times New Roman" w:cs="Times New Roman"/>
          <w:sz w:val="28"/>
          <w:szCs w:val="28"/>
        </w:rPr>
        <w:t xml:space="preserve">, </w:t>
      </w:r>
      <w:r w:rsidR="00635D53" w:rsidRPr="00C67333">
        <w:rPr>
          <w:rFonts w:ascii="Times New Roman" w:hAnsi="Times New Roman" w:cs="Times New Roman"/>
          <w:bCs/>
          <w:sz w:val="28"/>
          <w:szCs w:val="28"/>
        </w:rPr>
        <w:t>piemēram, kurināmā veidu un tā sadegšanas siltumu, iekārtas lietderības koeficientu u.c.</w:t>
      </w:r>
      <w:r w:rsidR="00635D53" w:rsidRPr="00C67333">
        <w:rPr>
          <w:rFonts w:ascii="Times New Roman" w:hAnsi="Times New Roman" w:cs="Times New Roman"/>
          <w:sz w:val="28"/>
          <w:szCs w:val="28"/>
        </w:rPr>
        <w:t xml:space="preserve"> </w:t>
      </w:r>
    </w:p>
    <w:p w14:paraId="1E88E990" w14:textId="75BDC462" w:rsidR="00401396" w:rsidRPr="00C67333" w:rsidRDefault="00401396" w:rsidP="00401396">
      <w:pPr>
        <w:spacing w:after="0" w:line="240" w:lineRule="auto"/>
        <w:ind w:firstLine="567"/>
        <w:jc w:val="both"/>
        <w:rPr>
          <w:rFonts w:ascii="Times New Roman" w:hAnsi="Times New Roman" w:cs="Times New Roman"/>
          <w:sz w:val="28"/>
          <w:szCs w:val="28"/>
        </w:rPr>
      </w:pPr>
      <w:r w:rsidRPr="00C67333">
        <w:rPr>
          <w:rFonts w:ascii="Times New Roman" w:hAnsi="Times New Roman" w:cs="Times New Roman"/>
          <w:sz w:val="28"/>
          <w:szCs w:val="28"/>
        </w:rPr>
        <w:t xml:space="preserve"> </w:t>
      </w:r>
    </w:p>
    <w:p w14:paraId="14A926E6" w14:textId="77777777" w:rsidR="00401396" w:rsidRPr="00C67333" w:rsidRDefault="00401396" w:rsidP="00401396">
      <w:pPr>
        <w:spacing w:after="0" w:line="240" w:lineRule="auto"/>
        <w:ind w:firstLine="567"/>
        <w:jc w:val="both"/>
        <w:rPr>
          <w:rFonts w:ascii="Times New Roman" w:hAnsi="Times New Roman" w:cs="Times New Roman"/>
          <w:sz w:val="28"/>
          <w:szCs w:val="28"/>
        </w:rPr>
      </w:pPr>
      <w:r w:rsidRPr="00C67333">
        <w:rPr>
          <w:rFonts w:ascii="Times New Roman" w:hAnsi="Times New Roman" w:cs="Times New Roman"/>
          <w:sz w:val="28"/>
          <w:szCs w:val="28"/>
        </w:rPr>
        <w:t>Enerģijas patēriņš pirms un pēc enerģijas efektivitātes paaugstināšanas pasākumu realizēšanas tiek definēts kā enerģijas patēriņa izmaiņas pret atsauces patēriņa līmeni.</w:t>
      </w:r>
    </w:p>
    <w:p w14:paraId="3845FD01" w14:textId="77777777" w:rsidR="00401396" w:rsidRPr="00C67333" w:rsidRDefault="00401396" w:rsidP="00401396">
      <w:pPr>
        <w:spacing w:after="0" w:line="240" w:lineRule="auto"/>
        <w:ind w:firstLine="720"/>
        <w:jc w:val="both"/>
        <w:rPr>
          <w:rFonts w:ascii="Times New Roman" w:hAnsi="Times New Roman" w:cs="Times New Roman"/>
          <w:sz w:val="28"/>
          <w:szCs w:val="28"/>
        </w:rPr>
      </w:pPr>
      <w:r w:rsidRPr="00C67333">
        <w:rPr>
          <w:rFonts w:ascii="Times New Roman" w:hAnsi="Times New Roman" w:cs="Times New Roman"/>
          <w:sz w:val="28"/>
          <w:szCs w:val="28"/>
        </w:rPr>
        <w:t xml:space="preserve">Vispārējā gadījumā veiktā </w:t>
      </w:r>
      <w:proofErr w:type="spellStart"/>
      <w:r w:rsidRPr="00C67333">
        <w:rPr>
          <w:rFonts w:ascii="Times New Roman" w:hAnsi="Times New Roman" w:cs="Times New Roman"/>
          <w:bCs/>
          <w:sz w:val="28"/>
          <w:szCs w:val="28"/>
        </w:rPr>
        <w:t>energofektivitātes</w:t>
      </w:r>
      <w:proofErr w:type="spellEnd"/>
      <w:r w:rsidRPr="00C67333">
        <w:rPr>
          <w:rFonts w:ascii="Times New Roman" w:hAnsi="Times New Roman" w:cs="Times New Roman"/>
          <w:bCs/>
          <w:sz w:val="28"/>
          <w:szCs w:val="28"/>
        </w:rPr>
        <w:t xml:space="preserve"> pasākuma enerģijas ietaupījumu</w:t>
      </w:r>
      <w:r w:rsidRPr="00C67333">
        <w:rPr>
          <w:rFonts w:ascii="Times New Roman" w:hAnsi="Times New Roman" w:cs="Times New Roman"/>
          <w:sz w:val="28"/>
          <w:szCs w:val="28"/>
        </w:rPr>
        <w:t xml:space="preserve"> ar “</w:t>
      </w:r>
      <w:proofErr w:type="spellStart"/>
      <w:r w:rsidRPr="00C67333">
        <w:rPr>
          <w:rFonts w:ascii="Times New Roman" w:hAnsi="Times New Roman" w:cs="Times New Roman"/>
          <w:sz w:val="28"/>
          <w:szCs w:val="28"/>
        </w:rPr>
        <w:t>augšupvērsto</w:t>
      </w:r>
      <w:proofErr w:type="spellEnd"/>
      <w:r w:rsidRPr="00C67333">
        <w:rPr>
          <w:rFonts w:ascii="Times New Roman" w:hAnsi="Times New Roman" w:cs="Times New Roman"/>
          <w:sz w:val="28"/>
          <w:szCs w:val="28"/>
        </w:rPr>
        <w:t>” metodi aprēķina pēc sekojošas formulas:</w:t>
      </w:r>
    </w:p>
    <w:p w14:paraId="7007D2B9" w14:textId="77777777" w:rsidR="00401396" w:rsidRPr="00C67333" w:rsidRDefault="00401396" w:rsidP="00401396">
      <w:pPr>
        <w:spacing w:after="0" w:line="240" w:lineRule="auto"/>
        <w:ind w:firstLine="720"/>
        <w:jc w:val="both"/>
        <w:rPr>
          <w:rFonts w:ascii="Times New Roman" w:hAnsi="Times New Roman" w:cs="Times New Roman"/>
          <w:sz w:val="28"/>
          <w:szCs w:val="28"/>
        </w:rPr>
      </w:pPr>
    </w:p>
    <w:p w14:paraId="772BE85B" w14:textId="77777777" w:rsidR="00401396" w:rsidRPr="00C67333" w:rsidRDefault="00401396" w:rsidP="00401396">
      <w:pPr>
        <w:spacing w:after="0" w:line="240" w:lineRule="auto"/>
        <w:ind w:left="567"/>
        <w:jc w:val="both"/>
        <w:rPr>
          <w:rFonts w:ascii="Times New Roman" w:hAnsi="Times New Roman" w:cs="Times New Roman"/>
          <w:sz w:val="28"/>
          <w:szCs w:val="28"/>
        </w:rPr>
      </w:pPr>
      <w:r w:rsidRPr="00C67333">
        <w:rPr>
          <w:rFonts w:ascii="Times New Roman" w:hAnsi="Times New Roman" w:cs="Times New Roman"/>
          <w:sz w:val="28"/>
          <w:szCs w:val="28"/>
        </w:rPr>
        <w:t xml:space="preserve">E </w:t>
      </w:r>
      <w:r w:rsidRPr="00C67333">
        <w:rPr>
          <w:rFonts w:ascii="Times New Roman" w:hAnsi="Times New Roman" w:cs="Times New Roman"/>
          <w:sz w:val="28"/>
          <w:szCs w:val="28"/>
          <w:vertAlign w:val="subscript"/>
        </w:rPr>
        <w:t>iet</w:t>
      </w:r>
      <w:r w:rsidRPr="00C67333">
        <w:rPr>
          <w:rFonts w:ascii="Times New Roman" w:hAnsi="Times New Roman" w:cs="Times New Roman"/>
          <w:sz w:val="28"/>
          <w:szCs w:val="28"/>
        </w:rPr>
        <w:t xml:space="preserve"> = </w:t>
      </w:r>
      <w:proofErr w:type="spellStart"/>
      <w:r w:rsidRPr="00C67333">
        <w:rPr>
          <w:rFonts w:ascii="Times New Roman" w:hAnsi="Times New Roman" w:cs="Times New Roman"/>
          <w:sz w:val="28"/>
          <w:szCs w:val="28"/>
        </w:rPr>
        <w:t>IEI</w:t>
      </w:r>
      <w:r w:rsidRPr="00C67333">
        <w:rPr>
          <w:rFonts w:ascii="Times New Roman" w:hAnsi="Times New Roman" w:cs="Times New Roman"/>
          <w:sz w:val="28"/>
          <w:szCs w:val="28"/>
          <w:vertAlign w:val="subscript"/>
        </w:rPr>
        <w:t>g</w:t>
      </w:r>
      <w:proofErr w:type="spellEnd"/>
      <w:r w:rsidRPr="00C67333">
        <w:rPr>
          <w:rFonts w:ascii="Times New Roman" w:hAnsi="Times New Roman" w:cs="Times New Roman"/>
          <w:sz w:val="28"/>
          <w:szCs w:val="28"/>
        </w:rPr>
        <w:t xml:space="preserve"> * EPA , kur</w:t>
      </w:r>
    </w:p>
    <w:p w14:paraId="6A7DF3A7" w14:textId="77777777" w:rsidR="00401396" w:rsidRPr="00C67333" w:rsidRDefault="00401396" w:rsidP="00401396">
      <w:pPr>
        <w:spacing w:after="0" w:line="240" w:lineRule="auto"/>
        <w:ind w:left="567"/>
        <w:jc w:val="both"/>
        <w:rPr>
          <w:rFonts w:ascii="Times New Roman" w:hAnsi="Times New Roman" w:cs="Times New Roman"/>
          <w:sz w:val="28"/>
          <w:szCs w:val="28"/>
        </w:rPr>
      </w:pPr>
    </w:p>
    <w:p w14:paraId="7CF92C99" w14:textId="77777777" w:rsidR="00401396" w:rsidRPr="00C67333" w:rsidRDefault="00401396" w:rsidP="00401396">
      <w:pPr>
        <w:spacing w:after="0" w:line="240" w:lineRule="auto"/>
        <w:ind w:left="567"/>
        <w:jc w:val="both"/>
        <w:rPr>
          <w:rFonts w:ascii="Times New Roman" w:hAnsi="Times New Roman" w:cs="Times New Roman"/>
          <w:sz w:val="28"/>
          <w:szCs w:val="28"/>
        </w:rPr>
      </w:pPr>
      <w:r w:rsidRPr="00C67333">
        <w:rPr>
          <w:rFonts w:ascii="Times New Roman" w:hAnsi="Times New Roman" w:cs="Times New Roman"/>
          <w:sz w:val="28"/>
          <w:szCs w:val="28"/>
        </w:rPr>
        <w:t xml:space="preserve">E </w:t>
      </w:r>
      <w:r w:rsidRPr="00C67333">
        <w:rPr>
          <w:rFonts w:ascii="Times New Roman" w:hAnsi="Times New Roman" w:cs="Times New Roman"/>
          <w:sz w:val="28"/>
          <w:szCs w:val="28"/>
          <w:vertAlign w:val="subscript"/>
        </w:rPr>
        <w:t>iet</w:t>
      </w:r>
      <w:r w:rsidRPr="00C67333">
        <w:rPr>
          <w:rFonts w:ascii="Times New Roman" w:hAnsi="Times New Roman" w:cs="Times New Roman"/>
          <w:sz w:val="28"/>
          <w:szCs w:val="28"/>
        </w:rPr>
        <w:t xml:space="preserve"> – enerģijas ietaupījums gadā (</w:t>
      </w:r>
      <w:proofErr w:type="spellStart"/>
      <w:r w:rsidRPr="00C67333">
        <w:rPr>
          <w:rFonts w:ascii="Times New Roman" w:hAnsi="Times New Roman" w:cs="Times New Roman"/>
          <w:sz w:val="28"/>
          <w:szCs w:val="28"/>
        </w:rPr>
        <w:t>kWh</w:t>
      </w:r>
      <w:proofErr w:type="spellEnd"/>
      <w:r w:rsidRPr="00C67333">
        <w:rPr>
          <w:rFonts w:ascii="Times New Roman" w:hAnsi="Times New Roman" w:cs="Times New Roman"/>
          <w:sz w:val="28"/>
          <w:szCs w:val="28"/>
        </w:rPr>
        <w:t>);</w:t>
      </w:r>
    </w:p>
    <w:p w14:paraId="7E30EF1A" w14:textId="77777777" w:rsidR="00401396" w:rsidRPr="00C67333" w:rsidRDefault="00401396" w:rsidP="00401396">
      <w:pPr>
        <w:spacing w:after="0" w:line="240" w:lineRule="auto"/>
        <w:ind w:left="567"/>
        <w:jc w:val="both"/>
        <w:rPr>
          <w:rFonts w:ascii="Times New Roman" w:hAnsi="Times New Roman" w:cs="Times New Roman"/>
          <w:sz w:val="28"/>
          <w:szCs w:val="28"/>
        </w:rPr>
      </w:pPr>
      <w:proofErr w:type="spellStart"/>
      <w:r w:rsidRPr="00C67333">
        <w:rPr>
          <w:rFonts w:ascii="Times New Roman" w:hAnsi="Times New Roman" w:cs="Times New Roman"/>
          <w:sz w:val="28"/>
          <w:szCs w:val="28"/>
        </w:rPr>
        <w:t>IEI</w:t>
      </w:r>
      <w:r w:rsidRPr="00C67333">
        <w:rPr>
          <w:rFonts w:ascii="Times New Roman" w:hAnsi="Times New Roman" w:cs="Times New Roman"/>
          <w:sz w:val="28"/>
          <w:szCs w:val="28"/>
          <w:vertAlign w:val="subscript"/>
        </w:rPr>
        <w:t>g</w:t>
      </w:r>
      <w:proofErr w:type="spellEnd"/>
      <w:r w:rsidRPr="00C67333">
        <w:rPr>
          <w:rFonts w:ascii="Times New Roman" w:hAnsi="Times New Roman" w:cs="Times New Roman"/>
          <w:sz w:val="28"/>
          <w:szCs w:val="28"/>
        </w:rPr>
        <w:t xml:space="preserve"> – īpatnējā enerģijas patēriņa ietaupījums gadā (enerģijas patēriņa ietaupījums uz vienu iekārtu gadā vai uz m</w:t>
      </w:r>
      <w:r w:rsidRPr="00C67333">
        <w:rPr>
          <w:rFonts w:ascii="Times New Roman" w:hAnsi="Times New Roman" w:cs="Times New Roman"/>
          <w:sz w:val="28"/>
          <w:szCs w:val="28"/>
          <w:vertAlign w:val="superscript"/>
        </w:rPr>
        <w:t>2</w:t>
      </w:r>
      <w:r w:rsidRPr="00C67333">
        <w:rPr>
          <w:rFonts w:ascii="Times New Roman" w:hAnsi="Times New Roman" w:cs="Times New Roman"/>
          <w:sz w:val="28"/>
          <w:szCs w:val="28"/>
        </w:rPr>
        <w:t xml:space="preserve"> platību gadā), veicot enerģijas efektivitātes paaugstināšanas pasākumu; </w:t>
      </w:r>
    </w:p>
    <w:p w14:paraId="3651ACA9" w14:textId="77777777" w:rsidR="00401396" w:rsidRPr="00C67333" w:rsidRDefault="00401396" w:rsidP="00401396">
      <w:pPr>
        <w:spacing w:after="0" w:line="240" w:lineRule="auto"/>
        <w:ind w:left="567"/>
        <w:jc w:val="both"/>
        <w:rPr>
          <w:rFonts w:ascii="Times New Roman" w:hAnsi="Times New Roman" w:cs="Times New Roman"/>
          <w:sz w:val="28"/>
          <w:szCs w:val="28"/>
        </w:rPr>
      </w:pPr>
      <w:r w:rsidRPr="00C67333">
        <w:rPr>
          <w:rFonts w:ascii="Times New Roman" w:hAnsi="Times New Roman" w:cs="Times New Roman"/>
          <w:sz w:val="28"/>
          <w:szCs w:val="28"/>
        </w:rPr>
        <w:t>EPA – veiktā enerģijas efektivitātes pasākuma apjomu raksturojošs lielums (nomainīto iekārtu skaits, atjaunoto ēku platība u.tml.).</w:t>
      </w:r>
    </w:p>
    <w:p w14:paraId="76599EBE" w14:textId="77777777" w:rsidR="00401396" w:rsidRPr="00C67333" w:rsidRDefault="00401396" w:rsidP="00401396">
      <w:pPr>
        <w:spacing w:after="0" w:line="240" w:lineRule="auto"/>
        <w:jc w:val="both"/>
        <w:rPr>
          <w:rFonts w:ascii="Times New Roman" w:hAnsi="Times New Roman" w:cs="Times New Roman"/>
          <w:sz w:val="28"/>
          <w:szCs w:val="28"/>
        </w:rPr>
      </w:pPr>
    </w:p>
    <w:p w14:paraId="08B6AA67" w14:textId="77777777" w:rsidR="00401396" w:rsidRPr="00C67333" w:rsidRDefault="00401396" w:rsidP="00C67333">
      <w:pPr>
        <w:pStyle w:val="tv213"/>
        <w:shd w:val="clear" w:color="auto" w:fill="FFFFFF"/>
        <w:spacing w:before="0" w:beforeAutospacing="0" w:after="0" w:afterAutospacing="0" w:line="293" w:lineRule="atLeast"/>
        <w:jc w:val="both"/>
        <w:rPr>
          <w:sz w:val="28"/>
          <w:szCs w:val="28"/>
        </w:rPr>
      </w:pPr>
    </w:p>
    <w:p w14:paraId="4EF54097" w14:textId="77777777" w:rsidR="00256DE1" w:rsidRPr="00C67333" w:rsidRDefault="003A0754" w:rsidP="00256DE1">
      <w:pPr>
        <w:pStyle w:val="tv213"/>
        <w:numPr>
          <w:ilvl w:val="0"/>
          <w:numId w:val="2"/>
        </w:numPr>
        <w:shd w:val="clear" w:color="auto" w:fill="FFFFFF"/>
        <w:spacing w:before="0" w:beforeAutospacing="0" w:after="0" w:afterAutospacing="0" w:line="293" w:lineRule="atLeast"/>
        <w:jc w:val="both"/>
        <w:rPr>
          <w:sz w:val="28"/>
          <w:szCs w:val="28"/>
        </w:rPr>
      </w:pPr>
      <w:proofErr w:type="spellStart"/>
      <w:r w:rsidRPr="00C67333">
        <w:rPr>
          <w:sz w:val="28"/>
          <w:szCs w:val="28"/>
          <w:u w:val="single"/>
        </w:rPr>
        <w:t>inženieraprēķina</w:t>
      </w:r>
      <w:proofErr w:type="spellEnd"/>
      <w:r w:rsidRPr="00C67333">
        <w:rPr>
          <w:sz w:val="28"/>
          <w:szCs w:val="28"/>
          <w:u w:val="single"/>
        </w:rPr>
        <w:t xml:space="preserve"> metode</w:t>
      </w:r>
      <w:r w:rsidRPr="00C67333">
        <w:rPr>
          <w:sz w:val="28"/>
          <w:szCs w:val="28"/>
        </w:rPr>
        <w:t xml:space="preserve"> – enerģijas ietaupījumu aprēķina eksperti atbilstoši citos normatīvajos aktos noteiktām prasībām.</w:t>
      </w:r>
      <w:r w:rsidR="00D3513D" w:rsidRPr="00C67333">
        <w:rPr>
          <w:sz w:val="28"/>
          <w:szCs w:val="28"/>
        </w:rPr>
        <w:t xml:space="preserve"> </w:t>
      </w:r>
      <w:r w:rsidR="00256DE1" w:rsidRPr="00C67333">
        <w:rPr>
          <w:sz w:val="28"/>
          <w:szCs w:val="28"/>
        </w:rPr>
        <w:t>Latvijā ir izstrādāta normatīvā bāze attiecībā uz prasībām ekspertiem un aprēķina metodikām:</w:t>
      </w:r>
    </w:p>
    <w:p w14:paraId="762D17F5" w14:textId="77777777" w:rsidR="00256DE1" w:rsidRPr="00C67333" w:rsidRDefault="00256DE1" w:rsidP="00256DE1">
      <w:pPr>
        <w:pStyle w:val="ListParagraph"/>
        <w:numPr>
          <w:ilvl w:val="0"/>
          <w:numId w:val="3"/>
        </w:numPr>
        <w:spacing w:after="0" w:line="240" w:lineRule="auto"/>
        <w:ind w:left="567" w:hanging="283"/>
        <w:contextualSpacing w:val="0"/>
        <w:jc w:val="both"/>
        <w:rPr>
          <w:rFonts w:ascii="Times New Roman" w:hAnsi="Times New Roman" w:cs="Times New Roman"/>
          <w:sz w:val="28"/>
          <w:szCs w:val="28"/>
        </w:rPr>
      </w:pPr>
      <w:r w:rsidRPr="00C67333">
        <w:rPr>
          <w:rFonts w:ascii="Times New Roman" w:hAnsi="Times New Roman" w:cs="Times New Roman"/>
          <w:sz w:val="28"/>
          <w:szCs w:val="28"/>
        </w:rPr>
        <w:t xml:space="preserve">Energoefektivitātes likums; </w:t>
      </w:r>
    </w:p>
    <w:p w14:paraId="3AFD0F6F" w14:textId="77777777" w:rsidR="00256DE1" w:rsidRPr="00C67333" w:rsidRDefault="00256DE1" w:rsidP="00256DE1">
      <w:pPr>
        <w:pStyle w:val="ListParagraph"/>
        <w:numPr>
          <w:ilvl w:val="0"/>
          <w:numId w:val="3"/>
        </w:numPr>
        <w:spacing w:after="0" w:line="240" w:lineRule="auto"/>
        <w:ind w:left="567" w:hanging="283"/>
        <w:contextualSpacing w:val="0"/>
        <w:jc w:val="both"/>
        <w:rPr>
          <w:rFonts w:ascii="Times New Roman" w:hAnsi="Times New Roman" w:cs="Times New Roman"/>
          <w:sz w:val="28"/>
          <w:szCs w:val="28"/>
        </w:rPr>
      </w:pPr>
      <w:r w:rsidRPr="00C67333">
        <w:rPr>
          <w:rFonts w:ascii="Times New Roman" w:hAnsi="Times New Roman" w:cs="Times New Roman"/>
          <w:sz w:val="28"/>
          <w:szCs w:val="28"/>
        </w:rPr>
        <w:t>Ēku energoefektivitātes likums;</w:t>
      </w:r>
    </w:p>
    <w:p w14:paraId="1945F1DD" w14:textId="77777777" w:rsidR="00256DE1" w:rsidRPr="00C67333" w:rsidRDefault="00256DE1" w:rsidP="00256DE1">
      <w:pPr>
        <w:pStyle w:val="ListParagraph"/>
        <w:numPr>
          <w:ilvl w:val="0"/>
          <w:numId w:val="3"/>
        </w:numPr>
        <w:shd w:val="clear" w:color="auto" w:fill="FFFFFF"/>
        <w:spacing w:after="0" w:line="240" w:lineRule="auto"/>
        <w:ind w:left="567" w:hanging="283"/>
        <w:contextualSpacing w:val="0"/>
        <w:jc w:val="both"/>
        <w:rPr>
          <w:rFonts w:ascii="Times New Roman" w:eastAsia="Times New Roman" w:hAnsi="Times New Roman" w:cs="Times New Roman"/>
          <w:sz w:val="28"/>
          <w:szCs w:val="28"/>
        </w:rPr>
      </w:pPr>
      <w:r w:rsidRPr="00C67333">
        <w:rPr>
          <w:rFonts w:ascii="Times New Roman" w:hAnsi="Times New Roman" w:cs="Times New Roman"/>
          <w:sz w:val="28"/>
          <w:szCs w:val="28"/>
        </w:rPr>
        <w:t>Ministru kabineta 2018. gada 21. augusta noteikumi Nr. 531 “Noteikumi par neatkarīgu ekspertu kompetences novērtēšanu un profesionālās darbības uzraudzību ēku energoefektivitātes jomā”;</w:t>
      </w:r>
    </w:p>
    <w:p w14:paraId="2B5C6B47" w14:textId="77777777" w:rsidR="00256DE1" w:rsidRPr="00C67333" w:rsidRDefault="00256DE1" w:rsidP="00256DE1">
      <w:pPr>
        <w:pStyle w:val="ListParagraph"/>
        <w:numPr>
          <w:ilvl w:val="0"/>
          <w:numId w:val="3"/>
        </w:numPr>
        <w:spacing w:after="0" w:line="240" w:lineRule="auto"/>
        <w:ind w:left="567" w:hanging="283"/>
        <w:contextualSpacing w:val="0"/>
        <w:jc w:val="both"/>
        <w:rPr>
          <w:rFonts w:ascii="Times New Roman" w:hAnsi="Times New Roman" w:cs="Times New Roman"/>
          <w:sz w:val="28"/>
          <w:szCs w:val="28"/>
        </w:rPr>
      </w:pPr>
      <w:r w:rsidRPr="00C67333">
        <w:rPr>
          <w:rFonts w:ascii="Times New Roman" w:hAnsi="Times New Roman" w:cs="Times New Roman"/>
          <w:sz w:val="28"/>
          <w:szCs w:val="28"/>
        </w:rPr>
        <w:t xml:space="preserve">Ministru kabineta 2013. gada 9. jūlija noteikumi Nr. 383 “Noteikumi par ēku </w:t>
      </w:r>
      <w:proofErr w:type="spellStart"/>
      <w:r w:rsidRPr="00C67333">
        <w:rPr>
          <w:rFonts w:ascii="Times New Roman" w:hAnsi="Times New Roman" w:cs="Times New Roman"/>
          <w:sz w:val="28"/>
          <w:szCs w:val="28"/>
        </w:rPr>
        <w:t>energosertifikāciju</w:t>
      </w:r>
      <w:proofErr w:type="spellEnd"/>
      <w:r w:rsidRPr="00C67333">
        <w:rPr>
          <w:rFonts w:ascii="Times New Roman" w:hAnsi="Times New Roman" w:cs="Times New Roman"/>
          <w:sz w:val="28"/>
          <w:szCs w:val="28"/>
        </w:rPr>
        <w:t>”;</w:t>
      </w:r>
    </w:p>
    <w:p w14:paraId="138C3AEB" w14:textId="77777777" w:rsidR="00256DE1" w:rsidRPr="00C67333" w:rsidRDefault="00256DE1" w:rsidP="00256DE1">
      <w:pPr>
        <w:pStyle w:val="ListParagraph"/>
        <w:numPr>
          <w:ilvl w:val="0"/>
          <w:numId w:val="3"/>
        </w:numPr>
        <w:spacing w:after="0" w:line="240" w:lineRule="auto"/>
        <w:ind w:left="567" w:hanging="283"/>
        <w:contextualSpacing w:val="0"/>
        <w:jc w:val="both"/>
        <w:rPr>
          <w:rFonts w:ascii="Times New Roman" w:hAnsi="Times New Roman" w:cs="Times New Roman"/>
          <w:sz w:val="28"/>
          <w:szCs w:val="28"/>
        </w:rPr>
      </w:pPr>
      <w:r w:rsidRPr="00C67333">
        <w:rPr>
          <w:rFonts w:ascii="Times New Roman" w:hAnsi="Times New Roman" w:cs="Times New Roman"/>
          <w:sz w:val="28"/>
          <w:szCs w:val="28"/>
        </w:rPr>
        <w:t>Ministru kabineta 2013. gada 26. jūnija noteikumi Nr. 348 “Ēkas energoefektivitātes aprēķina metode”;</w:t>
      </w:r>
    </w:p>
    <w:p w14:paraId="05BCFEB9" w14:textId="77777777" w:rsidR="00256DE1" w:rsidRPr="00C67333" w:rsidRDefault="00256DE1" w:rsidP="00256DE1">
      <w:pPr>
        <w:pStyle w:val="ListParagraph"/>
        <w:numPr>
          <w:ilvl w:val="0"/>
          <w:numId w:val="3"/>
        </w:numPr>
        <w:spacing w:after="0" w:line="240" w:lineRule="auto"/>
        <w:ind w:left="567" w:hanging="283"/>
        <w:contextualSpacing w:val="0"/>
        <w:jc w:val="both"/>
        <w:rPr>
          <w:rFonts w:ascii="Times New Roman" w:hAnsi="Times New Roman" w:cs="Times New Roman"/>
          <w:sz w:val="28"/>
          <w:szCs w:val="28"/>
        </w:rPr>
      </w:pPr>
      <w:r w:rsidRPr="00C67333">
        <w:rPr>
          <w:rFonts w:ascii="Times New Roman" w:hAnsi="Times New Roman" w:cs="Times New Roman"/>
          <w:sz w:val="28"/>
          <w:szCs w:val="28"/>
        </w:rPr>
        <w:t xml:space="preserve">Ministru kabineta 2016.gada 26.jūlija noteikumi Nr. 487 “Uzņēmumu </w:t>
      </w:r>
      <w:proofErr w:type="spellStart"/>
      <w:r w:rsidRPr="00C67333">
        <w:rPr>
          <w:rFonts w:ascii="Times New Roman" w:hAnsi="Times New Roman" w:cs="Times New Roman"/>
          <w:sz w:val="28"/>
          <w:szCs w:val="28"/>
        </w:rPr>
        <w:t>energoaudita</w:t>
      </w:r>
      <w:proofErr w:type="spellEnd"/>
      <w:r w:rsidRPr="00C67333">
        <w:rPr>
          <w:rFonts w:ascii="Times New Roman" w:hAnsi="Times New Roman" w:cs="Times New Roman"/>
          <w:sz w:val="28"/>
          <w:szCs w:val="28"/>
        </w:rPr>
        <w:t xml:space="preserve"> noteikumi”;</w:t>
      </w:r>
    </w:p>
    <w:p w14:paraId="3E84BF45" w14:textId="77777777" w:rsidR="00256DE1" w:rsidRPr="00C67333" w:rsidRDefault="00256DE1" w:rsidP="00256DE1">
      <w:pPr>
        <w:pStyle w:val="ListParagraph"/>
        <w:numPr>
          <w:ilvl w:val="0"/>
          <w:numId w:val="3"/>
        </w:numPr>
        <w:spacing w:after="0" w:line="240" w:lineRule="auto"/>
        <w:ind w:left="567" w:hanging="283"/>
        <w:contextualSpacing w:val="0"/>
        <w:jc w:val="both"/>
        <w:rPr>
          <w:rFonts w:ascii="Times New Roman" w:hAnsi="Times New Roman" w:cs="Times New Roman"/>
          <w:sz w:val="28"/>
          <w:szCs w:val="28"/>
        </w:rPr>
      </w:pPr>
      <w:r w:rsidRPr="00C67333">
        <w:rPr>
          <w:rFonts w:ascii="Times New Roman" w:hAnsi="Times New Roman" w:cs="Times New Roman"/>
          <w:sz w:val="28"/>
          <w:szCs w:val="28"/>
        </w:rPr>
        <w:t xml:space="preserve">Ministru kabineta 2016. gada 11. oktobra noteikumi Nr. 668 “Energoefektivitātes monitoringa un piemērojamā </w:t>
      </w:r>
      <w:proofErr w:type="spellStart"/>
      <w:r w:rsidRPr="00C67333">
        <w:rPr>
          <w:rFonts w:ascii="Times New Roman" w:hAnsi="Times New Roman" w:cs="Times New Roman"/>
          <w:sz w:val="28"/>
          <w:szCs w:val="28"/>
        </w:rPr>
        <w:t>energopārvaldības</w:t>
      </w:r>
      <w:proofErr w:type="spellEnd"/>
      <w:r w:rsidRPr="00C67333">
        <w:rPr>
          <w:rFonts w:ascii="Times New Roman" w:hAnsi="Times New Roman" w:cs="Times New Roman"/>
          <w:sz w:val="28"/>
          <w:szCs w:val="28"/>
        </w:rPr>
        <w:t xml:space="preserve"> sistēmas standarta noteikumi”;</w:t>
      </w:r>
    </w:p>
    <w:p w14:paraId="05AA9F86" w14:textId="77777777" w:rsidR="00256DE1" w:rsidRPr="00C67333" w:rsidRDefault="00256DE1" w:rsidP="00256DE1">
      <w:pPr>
        <w:pStyle w:val="ListParagraph"/>
        <w:numPr>
          <w:ilvl w:val="0"/>
          <w:numId w:val="3"/>
        </w:numPr>
        <w:spacing w:after="0" w:line="240" w:lineRule="auto"/>
        <w:ind w:left="567" w:hanging="283"/>
        <w:contextualSpacing w:val="0"/>
        <w:jc w:val="both"/>
        <w:rPr>
          <w:rFonts w:ascii="Times New Roman" w:hAnsi="Times New Roman" w:cs="Times New Roman"/>
          <w:sz w:val="28"/>
          <w:szCs w:val="28"/>
        </w:rPr>
      </w:pPr>
      <w:r w:rsidRPr="00C67333">
        <w:rPr>
          <w:rFonts w:ascii="Times New Roman" w:hAnsi="Times New Roman" w:cs="Times New Roman"/>
          <w:sz w:val="28"/>
          <w:szCs w:val="28"/>
        </w:rPr>
        <w:lastRenderedPageBreak/>
        <w:t>Ministru kabineta 2016. gada 11. oktobra noteikumi Nr. 669 “Kārtība, kādā noslēdz un pārrauga brīvprātīgu vienošanos par energoefektivitātes uzlabošanu”.</w:t>
      </w:r>
    </w:p>
    <w:p w14:paraId="0DAA31F7" w14:textId="03068CA7" w:rsidR="003D6CED" w:rsidRPr="00C67333" w:rsidRDefault="00256DE1" w:rsidP="00256DE1">
      <w:pPr>
        <w:spacing w:after="0" w:line="240" w:lineRule="auto"/>
        <w:jc w:val="both"/>
        <w:rPr>
          <w:rFonts w:ascii="Times New Roman" w:hAnsi="Times New Roman" w:cs="Times New Roman"/>
          <w:sz w:val="28"/>
          <w:szCs w:val="28"/>
        </w:rPr>
      </w:pPr>
      <w:r w:rsidRPr="00C67333">
        <w:rPr>
          <w:rFonts w:ascii="Times New Roman" w:hAnsi="Times New Roman" w:cs="Times New Roman"/>
          <w:sz w:val="28"/>
          <w:szCs w:val="28"/>
        </w:rPr>
        <w:t>Latvijā ir izveidota Būvniecības informācijas sistēma (BIS)</w:t>
      </w:r>
      <w:r w:rsidRPr="00C67333">
        <w:rPr>
          <w:rStyle w:val="FootnoteReference"/>
          <w:rFonts w:ascii="Times New Roman" w:hAnsi="Times New Roman" w:cs="Times New Roman"/>
          <w:sz w:val="28"/>
          <w:szCs w:val="28"/>
        </w:rPr>
        <w:footnoteReference w:id="5"/>
      </w:r>
      <w:r w:rsidRPr="00C67333">
        <w:rPr>
          <w:rFonts w:ascii="Times New Roman" w:hAnsi="Times New Roman" w:cs="Times New Roman"/>
          <w:sz w:val="28"/>
          <w:szCs w:val="28"/>
        </w:rPr>
        <w:t xml:space="preserve">.  BIS ir elektroniskā vide, kurā tiek nodrošināta informācijas aprite starp būvniecības procesa dalībniekiem, tiek  uzturēti būvniecības procesam nepieciešamie reģistri, tai skaitā neatkarīgu ekspertu reģistrs ēku energoefektivitātes jomā, ēku </w:t>
      </w:r>
      <w:proofErr w:type="spellStart"/>
      <w:r w:rsidRPr="00C67333">
        <w:rPr>
          <w:rFonts w:ascii="Times New Roman" w:hAnsi="Times New Roman" w:cs="Times New Roman"/>
          <w:sz w:val="28"/>
          <w:szCs w:val="28"/>
        </w:rPr>
        <w:t>energosertifikātu</w:t>
      </w:r>
      <w:proofErr w:type="spellEnd"/>
      <w:r w:rsidRPr="00C67333">
        <w:rPr>
          <w:rFonts w:ascii="Times New Roman" w:hAnsi="Times New Roman" w:cs="Times New Roman"/>
          <w:sz w:val="28"/>
          <w:szCs w:val="28"/>
        </w:rPr>
        <w:t xml:space="preserve"> reģistrs un dzīvojamo māju pārvaldnieku reģistrs. </w:t>
      </w:r>
      <w:r w:rsidR="003D6CED" w:rsidRPr="00C67333">
        <w:rPr>
          <w:rFonts w:ascii="Times New Roman" w:hAnsi="Times New Roman" w:cs="Times New Roman"/>
          <w:sz w:val="28"/>
          <w:szCs w:val="28"/>
        </w:rPr>
        <w:t xml:space="preserve">Akreditēto uzņēmumu </w:t>
      </w:r>
      <w:proofErr w:type="spellStart"/>
      <w:r w:rsidR="003D6CED" w:rsidRPr="00C67333">
        <w:rPr>
          <w:rFonts w:ascii="Times New Roman" w:hAnsi="Times New Roman" w:cs="Times New Roman"/>
          <w:sz w:val="28"/>
          <w:szCs w:val="28"/>
        </w:rPr>
        <w:t>energoauditoru</w:t>
      </w:r>
      <w:proofErr w:type="spellEnd"/>
      <w:r w:rsidR="003D6CED" w:rsidRPr="00C67333">
        <w:rPr>
          <w:rFonts w:ascii="Times New Roman" w:hAnsi="Times New Roman" w:cs="Times New Roman"/>
          <w:sz w:val="28"/>
          <w:szCs w:val="28"/>
        </w:rPr>
        <w:t xml:space="preserve"> saraksts pieejams Latvijas Nacionālā akreditācijas biroja tīmekļa vietnē</w:t>
      </w:r>
      <w:r w:rsidR="003D6CED" w:rsidRPr="00C67333">
        <w:rPr>
          <w:rStyle w:val="FootnoteReference"/>
          <w:rFonts w:ascii="Times New Roman" w:hAnsi="Times New Roman" w:cs="Times New Roman"/>
          <w:sz w:val="28"/>
          <w:szCs w:val="28"/>
        </w:rPr>
        <w:footnoteReference w:id="6"/>
      </w:r>
      <w:r w:rsidR="003D6CED" w:rsidRPr="00C67333">
        <w:rPr>
          <w:rFonts w:ascii="Times New Roman" w:hAnsi="Times New Roman" w:cs="Times New Roman"/>
          <w:sz w:val="28"/>
          <w:szCs w:val="28"/>
        </w:rPr>
        <w:t>.</w:t>
      </w:r>
    </w:p>
    <w:p w14:paraId="5EAF1315" w14:textId="1F1F4516" w:rsidR="00256DE1" w:rsidRPr="00C67333" w:rsidRDefault="00256DE1" w:rsidP="00C67333">
      <w:pPr>
        <w:spacing w:after="0" w:line="240" w:lineRule="auto"/>
        <w:jc w:val="both"/>
        <w:rPr>
          <w:rFonts w:ascii="Times New Roman" w:hAnsi="Times New Roman" w:cs="Times New Roman"/>
          <w:sz w:val="28"/>
          <w:szCs w:val="28"/>
        </w:rPr>
      </w:pPr>
      <w:r w:rsidRPr="00C67333">
        <w:rPr>
          <w:rFonts w:ascii="Times New Roman" w:hAnsi="Times New Roman" w:cs="Times New Roman"/>
          <w:sz w:val="28"/>
          <w:szCs w:val="28"/>
        </w:rPr>
        <w:t>Latvijā “</w:t>
      </w:r>
      <w:proofErr w:type="spellStart"/>
      <w:r w:rsidRPr="00C67333">
        <w:rPr>
          <w:rFonts w:ascii="Times New Roman" w:hAnsi="Times New Roman" w:cs="Times New Roman"/>
          <w:i/>
          <w:iCs/>
          <w:sz w:val="28"/>
          <w:szCs w:val="28"/>
        </w:rPr>
        <w:t>ex</w:t>
      </w:r>
      <w:proofErr w:type="spellEnd"/>
      <w:r w:rsidRPr="00C67333">
        <w:rPr>
          <w:rFonts w:ascii="Times New Roman" w:hAnsi="Times New Roman" w:cs="Times New Roman"/>
          <w:i/>
          <w:iCs/>
          <w:sz w:val="28"/>
          <w:szCs w:val="28"/>
        </w:rPr>
        <w:t>-post</w:t>
      </w:r>
      <w:r w:rsidRPr="00C67333">
        <w:rPr>
          <w:rFonts w:ascii="Times New Roman" w:hAnsi="Times New Roman" w:cs="Times New Roman"/>
          <w:sz w:val="28"/>
          <w:szCs w:val="28"/>
        </w:rPr>
        <w:t>” metodi pārsvarā lieto enerģijas ietaupījumu novērtēšanai  valsts atbalsta un struktūrfondu programmās, kurās tiek veikti energoefektivitātes uzlabojumi ēkās, iekārtās un transportā, piemēram, Eiropas reģionālās attīstības fonda (ERAF) programmās, Kohēzijas fonda (KF) programmās, Klimata pārmaiņu finanšu instrumenta (KPFI) programmās un Emisijas kvotu izsoļu instrumenta (EKII)  programmās.</w:t>
      </w:r>
    </w:p>
    <w:p w14:paraId="6725AEE5" w14:textId="77777777" w:rsidR="00256DE1" w:rsidRPr="00C67333" w:rsidRDefault="00256DE1" w:rsidP="00256DE1">
      <w:pPr>
        <w:pStyle w:val="tv213"/>
        <w:shd w:val="clear" w:color="auto" w:fill="FFFFFF"/>
        <w:spacing w:before="0" w:beforeAutospacing="0" w:after="0" w:afterAutospacing="0" w:line="293" w:lineRule="atLeast"/>
        <w:ind w:left="360"/>
        <w:jc w:val="both"/>
        <w:rPr>
          <w:sz w:val="28"/>
          <w:szCs w:val="28"/>
        </w:rPr>
      </w:pPr>
    </w:p>
    <w:p w14:paraId="0AD8A9C3" w14:textId="56BDC097" w:rsidR="003A0754" w:rsidRPr="00C67333" w:rsidRDefault="003A0754" w:rsidP="00E47FF1">
      <w:pPr>
        <w:pStyle w:val="tv213"/>
        <w:shd w:val="clear" w:color="auto" w:fill="FFFFFF"/>
        <w:spacing w:before="0" w:beforeAutospacing="0" w:after="0" w:afterAutospacing="0" w:line="293" w:lineRule="atLeast"/>
        <w:ind w:left="360"/>
        <w:jc w:val="both"/>
        <w:rPr>
          <w:sz w:val="28"/>
          <w:szCs w:val="28"/>
        </w:rPr>
      </w:pPr>
    </w:p>
    <w:p w14:paraId="34F543AE" w14:textId="1DB060A4" w:rsidR="003A0754" w:rsidRPr="00C67333" w:rsidRDefault="003A0754" w:rsidP="00927C0D">
      <w:pPr>
        <w:pStyle w:val="tv213"/>
        <w:numPr>
          <w:ilvl w:val="0"/>
          <w:numId w:val="2"/>
        </w:numPr>
        <w:shd w:val="clear" w:color="auto" w:fill="FFFFFF"/>
        <w:spacing w:before="0" w:beforeAutospacing="0" w:after="0" w:afterAutospacing="0" w:line="293" w:lineRule="atLeast"/>
        <w:jc w:val="both"/>
        <w:rPr>
          <w:sz w:val="28"/>
          <w:szCs w:val="28"/>
        </w:rPr>
      </w:pPr>
      <w:r w:rsidRPr="00C67333">
        <w:rPr>
          <w:sz w:val="28"/>
          <w:szCs w:val="28"/>
          <w:u w:val="single"/>
        </w:rPr>
        <w:t>patērētāju aptaujas metode</w:t>
      </w:r>
      <w:r w:rsidRPr="00C67333">
        <w:rPr>
          <w:sz w:val="28"/>
          <w:szCs w:val="28"/>
        </w:rPr>
        <w:t xml:space="preserve"> (enerģijas galalietotāju anketēšanā vai intervēšanā konstatētais enerģijas ietaupījums) – enerģijas ietaupījumu aprēķina, novērtējot enerģijas galalietotāju ieradumu maiņu informēšanas, iekārtu marķējuma, sertificēšanas shēmu un viedo </w:t>
      </w:r>
      <w:proofErr w:type="spellStart"/>
      <w:r w:rsidRPr="00C67333">
        <w:rPr>
          <w:sz w:val="28"/>
          <w:szCs w:val="28"/>
        </w:rPr>
        <w:t>komercuzskaites</w:t>
      </w:r>
      <w:proofErr w:type="spellEnd"/>
      <w:r w:rsidRPr="00C67333">
        <w:rPr>
          <w:sz w:val="28"/>
          <w:szCs w:val="28"/>
        </w:rPr>
        <w:t xml:space="preserve"> mēraparātu ieviešanas un citu pasākumu ieviešanas rezultātā.</w:t>
      </w:r>
      <w:r w:rsidR="00025B03" w:rsidRPr="00C67333">
        <w:rPr>
          <w:sz w:val="28"/>
          <w:szCs w:val="28"/>
        </w:rPr>
        <w:t xml:space="preserve"> Metodiskos norādījumus informēšanas un izglītošanas pasākumu enerģijas ietaupījumu novērtēšanai .</w:t>
      </w:r>
    </w:p>
    <w:p w14:paraId="2789EE3E" w14:textId="77777777" w:rsidR="002E7BD8" w:rsidRPr="00C67333" w:rsidRDefault="002E7BD8" w:rsidP="003A0754">
      <w:pPr>
        <w:rPr>
          <w:rFonts w:ascii="Times New Roman" w:hAnsi="Times New Roman" w:cs="Times New Roman"/>
          <w:sz w:val="28"/>
          <w:szCs w:val="28"/>
        </w:rPr>
      </w:pPr>
    </w:p>
    <w:p w14:paraId="7CB0132E" w14:textId="339A0535" w:rsidR="003A0754" w:rsidRPr="00C67333" w:rsidRDefault="003A0754" w:rsidP="003A0754">
      <w:pPr>
        <w:pStyle w:val="Default"/>
        <w:jc w:val="both"/>
        <w:rPr>
          <w:color w:val="auto"/>
          <w:sz w:val="28"/>
          <w:szCs w:val="28"/>
        </w:rPr>
      </w:pPr>
      <w:r w:rsidRPr="0042414F">
        <w:rPr>
          <w:rStyle w:val="tlid-translation"/>
          <w:color w:val="auto"/>
          <w:sz w:val="28"/>
          <w:szCs w:val="28"/>
        </w:rPr>
        <w:t xml:space="preserve"> </w:t>
      </w:r>
    </w:p>
    <w:p w14:paraId="5BC39BB7" w14:textId="6F0FDBCD" w:rsidR="003A0754" w:rsidRPr="00C67333" w:rsidRDefault="00815E65" w:rsidP="002E7BD8">
      <w:pPr>
        <w:jc w:val="both"/>
        <w:rPr>
          <w:rFonts w:ascii="Times New Roman" w:hAnsi="Times New Roman" w:cs="Times New Roman"/>
          <w:b/>
          <w:sz w:val="28"/>
          <w:szCs w:val="28"/>
        </w:rPr>
      </w:pPr>
      <w:r w:rsidRPr="00C67333">
        <w:rPr>
          <w:rFonts w:ascii="Times New Roman" w:hAnsi="Times New Roman" w:cs="Times New Roman"/>
          <w:b/>
          <w:sz w:val="28"/>
          <w:szCs w:val="28"/>
        </w:rPr>
        <w:t>P</w:t>
      </w:r>
      <w:r w:rsidR="003A0754" w:rsidRPr="00C67333">
        <w:rPr>
          <w:rFonts w:ascii="Times New Roman" w:hAnsi="Times New Roman" w:cs="Times New Roman"/>
          <w:b/>
          <w:sz w:val="28"/>
          <w:szCs w:val="28"/>
        </w:rPr>
        <w:t>apildināmība un būtiskum</w:t>
      </w:r>
      <w:r w:rsidRPr="00C67333">
        <w:rPr>
          <w:rFonts w:ascii="Times New Roman" w:hAnsi="Times New Roman" w:cs="Times New Roman"/>
          <w:b/>
          <w:sz w:val="28"/>
          <w:szCs w:val="28"/>
        </w:rPr>
        <w:t>a vērā ņemšana, paredzamajam un mērogotajam ietaupījumam piemērojamie kritēriji un m</w:t>
      </w:r>
      <w:r w:rsidR="003A0754" w:rsidRPr="00C67333">
        <w:rPr>
          <w:rFonts w:ascii="Times New Roman" w:hAnsi="Times New Roman" w:cs="Times New Roman"/>
          <w:b/>
          <w:sz w:val="28"/>
          <w:szCs w:val="28"/>
        </w:rPr>
        <w:t>etodika</w:t>
      </w:r>
    </w:p>
    <w:p w14:paraId="7A399850" w14:textId="5F830E14" w:rsidR="003A0754" w:rsidRPr="00C67333" w:rsidRDefault="003A0754" w:rsidP="003A0754">
      <w:pPr>
        <w:pStyle w:val="Default"/>
        <w:jc w:val="both"/>
        <w:rPr>
          <w:color w:val="auto"/>
          <w:sz w:val="28"/>
          <w:szCs w:val="28"/>
        </w:rPr>
      </w:pPr>
      <w:r w:rsidRPr="00C67333">
        <w:rPr>
          <w:color w:val="auto"/>
          <w:sz w:val="28"/>
          <w:szCs w:val="28"/>
        </w:rPr>
        <w:t xml:space="preserve">Nosakot enerģijas ietaupījumu visa veida politikas pasākumiem, ir ņemta vērā </w:t>
      </w:r>
      <w:proofErr w:type="spellStart"/>
      <w:r w:rsidRPr="00C67333">
        <w:rPr>
          <w:color w:val="auto"/>
          <w:sz w:val="28"/>
          <w:szCs w:val="28"/>
        </w:rPr>
        <w:t>papildināmības</w:t>
      </w:r>
      <w:proofErr w:type="spellEnd"/>
      <w:r w:rsidRPr="00C67333">
        <w:rPr>
          <w:color w:val="auto"/>
          <w:sz w:val="28"/>
          <w:szCs w:val="28"/>
        </w:rPr>
        <w:t xml:space="preserve"> prasība atbilstoši Eiropas Komisijas 2019.gada 25.septembra Rekomendācijām Energoefektivitātes direktīvas energoefektivitātes pienākuma enerģijas ietaupījumu iegūšanu (turpmāk – Komisijas rekomendācijas) (</w:t>
      </w:r>
      <w:proofErr w:type="spellStart"/>
      <w:r w:rsidRPr="00C67333">
        <w:rPr>
          <w:color w:val="auto"/>
          <w:sz w:val="28"/>
          <w:szCs w:val="28"/>
        </w:rPr>
        <w:t>Commision</w:t>
      </w:r>
      <w:proofErr w:type="spellEnd"/>
      <w:r w:rsidRPr="00C67333">
        <w:rPr>
          <w:color w:val="auto"/>
          <w:sz w:val="28"/>
          <w:szCs w:val="28"/>
        </w:rPr>
        <w:t xml:space="preserve"> </w:t>
      </w:r>
      <w:proofErr w:type="spellStart"/>
      <w:r w:rsidRPr="00C67333">
        <w:rPr>
          <w:color w:val="auto"/>
          <w:sz w:val="28"/>
          <w:szCs w:val="28"/>
        </w:rPr>
        <w:t>recommendation</w:t>
      </w:r>
      <w:proofErr w:type="spellEnd"/>
      <w:r w:rsidRPr="00C67333">
        <w:rPr>
          <w:color w:val="auto"/>
          <w:sz w:val="28"/>
          <w:szCs w:val="28"/>
        </w:rPr>
        <w:t xml:space="preserve"> </w:t>
      </w:r>
      <w:proofErr w:type="spellStart"/>
      <w:r w:rsidRPr="00C67333">
        <w:rPr>
          <w:color w:val="auto"/>
          <w:sz w:val="28"/>
          <w:szCs w:val="28"/>
        </w:rPr>
        <w:t>of</w:t>
      </w:r>
      <w:proofErr w:type="spellEnd"/>
      <w:r w:rsidRPr="00C67333">
        <w:rPr>
          <w:color w:val="auto"/>
          <w:sz w:val="28"/>
          <w:szCs w:val="28"/>
        </w:rPr>
        <w:t xml:space="preserve"> 25.9.2019. </w:t>
      </w:r>
      <w:proofErr w:type="spellStart"/>
      <w:r w:rsidRPr="00C67333">
        <w:rPr>
          <w:color w:val="auto"/>
          <w:sz w:val="28"/>
          <w:szCs w:val="28"/>
        </w:rPr>
        <w:t>on</w:t>
      </w:r>
      <w:proofErr w:type="spellEnd"/>
      <w:r w:rsidRPr="00C67333">
        <w:rPr>
          <w:color w:val="auto"/>
          <w:sz w:val="28"/>
          <w:szCs w:val="28"/>
        </w:rPr>
        <w:t xml:space="preserve"> </w:t>
      </w:r>
      <w:proofErr w:type="spellStart"/>
      <w:r w:rsidRPr="00C67333">
        <w:rPr>
          <w:color w:val="auto"/>
          <w:sz w:val="28"/>
          <w:szCs w:val="28"/>
        </w:rPr>
        <w:t>transposing</w:t>
      </w:r>
      <w:proofErr w:type="spellEnd"/>
      <w:r w:rsidRPr="00C67333">
        <w:rPr>
          <w:color w:val="auto"/>
          <w:sz w:val="28"/>
          <w:szCs w:val="28"/>
        </w:rPr>
        <w:t xml:space="preserve"> </w:t>
      </w:r>
      <w:proofErr w:type="spellStart"/>
      <w:r w:rsidRPr="00C67333">
        <w:rPr>
          <w:color w:val="auto"/>
          <w:sz w:val="28"/>
          <w:szCs w:val="28"/>
        </w:rPr>
        <w:t>the</w:t>
      </w:r>
      <w:proofErr w:type="spellEnd"/>
      <w:r w:rsidRPr="00C67333">
        <w:rPr>
          <w:color w:val="auto"/>
          <w:sz w:val="28"/>
          <w:szCs w:val="28"/>
        </w:rPr>
        <w:t xml:space="preserve"> </w:t>
      </w:r>
      <w:proofErr w:type="spellStart"/>
      <w:r w:rsidRPr="00C67333">
        <w:rPr>
          <w:color w:val="auto"/>
          <w:sz w:val="28"/>
          <w:szCs w:val="28"/>
        </w:rPr>
        <w:t>energy</w:t>
      </w:r>
      <w:proofErr w:type="spellEnd"/>
      <w:r w:rsidRPr="00C67333">
        <w:rPr>
          <w:color w:val="auto"/>
          <w:sz w:val="28"/>
          <w:szCs w:val="28"/>
        </w:rPr>
        <w:t xml:space="preserve"> </w:t>
      </w:r>
      <w:proofErr w:type="spellStart"/>
      <w:r w:rsidRPr="00C67333">
        <w:rPr>
          <w:color w:val="auto"/>
          <w:sz w:val="28"/>
          <w:szCs w:val="28"/>
        </w:rPr>
        <w:t>savings</w:t>
      </w:r>
      <w:proofErr w:type="spellEnd"/>
      <w:r w:rsidRPr="00C67333">
        <w:rPr>
          <w:color w:val="auto"/>
          <w:sz w:val="28"/>
          <w:szCs w:val="28"/>
        </w:rPr>
        <w:t xml:space="preserve"> </w:t>
      </w:r>
      <w:proofErr w:type="spellStart"/>
      <w:r w:rsidRPr="00C67333">
        <w:rPr>
          <w:color w:val="auto"/>
          <w:sz w:val="28"/>
          <w:szCs w:val="28"/>
        </w:rPr>
        <w:t>obligations</w:t>
      </w:r>
      <w:proofErr w:type="spellEnd"/>
      <w:r w:rsidRPr="00C67333">
        <w:rPr>
          <w:color w:val="auto"/>
          <w:sz w:val="28"/>
          <w:szCs w:val="28"/>
        </w:rPr>
        <w:t xml:space="preserve"> </w:t>
      </w:r>
      <w:proofErr w:type="spellStart"/>
      <w:r w:rsidRPr="00C67333">
        <w:rPr>
          <w:color w:val="auto"/>
          <w:sz w:val="28"/>
          <w:szCs w:val="28"/>
        </w:rPr>
        <w:t>under</w:t>
      </w:r>
      <w:proofErr w:type="spellEnd"/>
      <w:r w:rsidRPr="00C67333">
        <w:rPr>
          <w:color w:val="auto"/>
          <w:sz w:val="28"/>
          <w:szCs w:val="28"/>
        </w:rPr>
        <w:t xml:space="preserve"> </w:t>
      </w:r>
      <w:proofErr w:type="spellStart"/>
      <w:r w:rsidRPr="00C67333">
        <w:rPr>
          <w:color w:val="auto"/>
          <w:sz w:val="28"/>
          <w:szCs w:val="28"/>
        </w:rPr>
        <w:t>the</w:t>
      </w:r>
      <w:proofErr w:type="spellEnd"/>
      <w:r w:rsidRPr="00C67333">
        <w:rPr>
          <w:color w:val="auto"/>
          <w:sz w:val="28"/>
          <w:szCs w:val="28"/>
        </w:rPr>
        <w:t xml:space="preserve"> Energy </w:t>
      </w:r>
      <w:proofErr w:type="spellStart"/>
      <w:r w:rsidRPr="00C67333">
        <w:rPr>
          <w:color w:val="auto"/>
          <w:sz w:val="28"/>
          <w:szCs w:val="28"/>
        </w:rPr>
        <w:t>Efficiency</w:t>
      </w:r>
      <w:proofErr w:type="spellEnd"/>
      <w:r w:rsidRPr="00C67333">
        <w:rPr>
          <w:color w:val="auto"/>
          <w:sz w:val="28"/>
          <w:szCs w:val="28"/>
        </w:rPr>
        <w:t xml:space="preserve"> </w:t>
      </w:r>
      <w:proofErr w:type="spellStart"/>
      <w:r w:rsidRPr="00C67333">
        <w:rPr>
          <w:color w:val="auto"/>
          <w:sz w:val="28"/>
          <w:szCs w:val="28"/>
        </w:rPr>
        <w:t>Directive</w:t>
      </w:r>
      <w:proofErr w:type="spellEnd"/>
      <w:r w:rsidR="005B490C" w:rsidRPr="00C67333">
        <w:rPr>
          <w:rStyle w:val="FootnoteReference"/>
          <w:color w:val="auto"/>
          <w:sz w:val="28"/>
          <w:szCs w:val="28"/>
        </w:rPr>
        <w:footnoteReference w:id="7"/>
      </w:r>
      <w:r w:rsidRPr="00C67333">
        <w:rPr>
          <w:color w:val="auto"/>
          <w:sz w:val="28"/>
          <w:szCs w:val="28"/>
        </w:rPr>
        <w:t xml:space="preserve">) un Eiropas Komisijas Pielikumam Rekomendācijām Energoefektivitātes direktīvas energoefektivitātes pienākuma enerģijas ietaupījumu iegūšanai (ANNEX to </w:t>
      </w:r>
      <w:proofErr w:type="spellStart"/>
      <w:r w:rsidRPr="00C67333">
        <w:rPr>
          <w:color w:val="auto"/>
          <w:sz w:val="28"/>
          <w:szCs w:val="28"/>
        </w:rPr>
        <w:t>Commission</w:t>
      </w:r>
      <w:proofErr w:type="spellEnd"/>
      <w:r w:rsidRPr="00C67333">
        <w:rPr>
          <w:color w:val="auto"/>
          <w:sz w:val="28"/>
          <w:szCs w:val="28"/>
        </w:rPr>
        <w:t xml:space="preserve"> </w:t>
      </w:r>
      <w:proofErr w:type="spellStart"/>
      <w:r w:rsidRPr="00C67333">
        <w:rPr>
          <w:color w:val="auto"/>
          <w:sz w:val="28"/>
          <w:szCs w:val="28"/>
        </w:rPr>
        <w:t>Recommendation</w:t>
      </w:r>
      <w:proofErr w:type="spellEnd"/>
      <w:r w:rsidRPr="00C67333">
        <w:rPr>
          <w:color w:val="auto"/>
          <w:sz w:val="28"/>
          <w:szCs w:val="28"/>
        </w:rPr>
        <w:t xml:space="preserve"> </w:t>
      </w:r>
      <w:proofErr w:type="spellStart"/>
      <w:r w:rsidRPr="00C67333">
        <w:rPr>
          <w:color w:val="auto"/>
          <w:sz w:val="28"/>
          <w:szCs w:val="28"/>
        </w:rPr>
        <w:t>on</w:t>
      </w:r>
      <w:proofErr w:type="spellEnd"/>
      <w:r w:rsidRPr="00C67333">
        <w:rPr>
          <w:color w:val="auto"/>
          <w:sz w:val="28"/>
          <w:szCs w:val="28"/>
        </w:rPr>
        <w:t xml:space="preserve"> </w:t>
      </w:r>
      <w:proofErr w:type="spellStart"/>
      <w:r w:rsidRPr="00C67333">
        <w:rPr>
          <w:color w:val="auto"/>
          <w:sz w:val="28"/>
          <w:szCs w:val="28"/>
        </w:rPr>
        <w:lastRenderedPageBreak/>
        <w:t>transposing</w:t>
      </w:r>
      <w:proofErr w:type="spellEnd"/>
      <w:r w:rsidRPr="00C67333">
        <w:rPr>
          <w:color w:val="auto"/>
          <w:sz w:val="28"/>
          <w:szCs w:val="28"/>
        </w:rPr>
        <w:t xml:space="preserve"> </w:t>
      </w:r>
      <w:proofErr w:type="spellStart"/>
      <w:r w:rsidRPr="00C67333">
        <w:rPr>
          <w:color w:val="auto"/>
          <w:sz w:val="28"/>
          <w:szCs w:val="28"/>
        </w:rPr>
        <w:t>the</w:t>
      </w:r>
      <w:proofErr w:type="spellEnd"/>
      <w:r w:rsidRPr="00C67333">
        <w:rPr>
          <w:color w:val="auto"/>
          <w:sz w:val="28"/>
          <w:szCs w:val="28"/>
        </w:rPr>
        <w:t xml:space="preserve"> </w:t>
      </w:r>
      <w:proofErr w:type="spellStart"/>
      <w:r w:rsidRPr="00C67333">
        <w:rPr>
          <w:color w:val="auto"/>
          <w:sz w:val="28"/>
          <w:szCs w:val="28"/>
        </w:rPr>
        <w:t>energy</w:t>
      </w:r>
      <w:proofErr w:type="spellEnd"/>
      <w:r w:rsidRPr="00C67333">
        <w:rPr>
          <w:color w:val="auto"/>
          <w:sz w:val="28"/>
          <w:szCs w:val="28"/>
        </w:rPr>
        <w:t xml:space="preserve"> </w:t>
      </w:r>
      <w:proofErr w:type="spellStart"/>
      <w:r w:rsidRPr="00C67333">
        <w:rPr>
          <w:color w:val="auto"/>
          <w:sz w:val="28"/>
          <w:szCs w:val="28"/>
        </w:rPr>
        <w:t>savings</w:t>
      </w:r>
      <w:proofErr w:type="spellEnd"/>
      <w:r w:rsidRPr="00C67333">
        <w:rPr>
          <w:color w:val="auto"/>
          <w:sz w:val="28"/>
          <w:szCs w:val="28"/>
        </w:rPr>
        <w:t xml:space="preserve"> </w:t>
      </w:r>
      <w:proofErr w:type="spellStart"/>
      <w:r w:rsidRPr="00C67333">
        <w:rPr>
          <w:color w:val="auto"/>
          <w:sz w:val="28"/>
          <w:szCs w:val="28"/>
        </w:rPr>
        <w:t>obligations</w:t>
      </w:r>
      <w:proofErr w:type="spellEnd"/>
      <w:r w:rsidRPr="00C67333">
        <w:rPr>
          <w:color w:val="auto"/>
          <w:sz w:val="28"/>
          <w:szCs w:val="28"/>
        </w:rPr>
        <w:t xml:space="preserve"> </w:t>
      </w:r>
      <w:proofErr w:type="spellStart"/>
      <w:r w:rsidRPr="00C67333">
        <w:rPr>
          <w:color w:val="auto"/>
          <w:sz w:val="28"/>
          <w:szCs w:val="28"/>
        </w:rPr>
        <w:t>under</w:t>
      </w:r>
      <w:proofErr w:type="spellEnd"/>
      <w:r w:rsidRPr="00C67333">
        <w:rPr>
          <w:color w:val="auto"/>
          <w:sz w:val="28"/>
          <w:szCs w:val="28"/>
        </w:rPr>
        <w:t xml:space="preserve"> </w:t>
      </w:r>
      <w:proofErr w:type="spellStart"/>
      <w:r w:rsidRPr="00C67333">
        <w:rPr>
          <w:color w:val="auto"/>
          <w:sz w:val="28"/>
          <w:szCs w:val="28"/>
        </w:rPr>
        <w:t>the</w:t>
      </w:r>
      <w:proofErr w:type="spellEnd"/>
      <w:r w:rsidRPr="00C67333">
        <w:rPr>
          <w:color w:val="auto"/>
          <w:sz w:val="28"/>
          <w:szCs w:val="28"/>
        </w:rPr>
        <w:t xml:space="preserve"> Energy </w:t>
      </w:r>
      <w:proofErr w:type="spellStart"/>
      <w:r w:rsidRPr="00C67333">
        <w:rPr>
          <w:color w:val="auto"/>
          <w:sz w:val="28"/>
          <w:szCs w:val="28"/>
        </w:rPr>
        <w:t>Efficiency</w:t>
      </w:r>
      <w:proofErr w:type="spellEnd"/>
      <w:r w:rsidRPr="00C67333">
        <w:rPr>
          <w:color w:val="auto"/>
          <w:sz w:val="28"/>
          <w:szCs w:val="28"/>
        </w:rPr>
        <w:t xml:space="preserve"> </w:t>
      </w:r>
      <w:proofErr w:type="spellStart"/>
      <w:r w:rsidRPr="00C67333">
        <w:rPr>
          <w:color w:val="auto"/>
          <w:sz w:val="28"/>
          <w:szCs w:val="28"/>
        </w:rPr>
        <w:t>Directive</w:t>
      </w:r>
      <w:proofErr w:type="spellEnd"/>
      <w:r w:rsidR="00C06640" w:rsidRPr="00C67333">
        <w:rPr>
          <w:rStyle w:val="FootnoteReference"/>
          <w:color w:val="auto"/>
          <w:sz w:val="28"/>
          <w:szCs w:val="28"/>
        </w:rPr>
        <w:footnoteReference w:id="8"/>
      </w:r>
      <w:r w:rsidRPr="00C67333">
        <w:rPr>
          <w:color w:val="auto"/>
          <w:sz w:val="28"/>
          <w:szCs w:val="28"/>
        </w:rPr>
        <w:t>).</w:t>
      </w:r>
    </w:p>
    <w:p w14:paraId="0E95374B" w14:textId="74962E16" w:rsidR="003A0754" w:rsidRPr="00C67333" w:rsidRDefault="00815E65" w:rsidP="003A0754">
      <w:pPr>
        <w:shd w:val="clear" w:color="auto" w:fill="FFFFFF"/>
        <w:spacing w:before="384"/>
        <w:ind w:right="43"/>
        <w:jc w:val="both"/>
        <w:rPr>
          <w:rFonts w:ascii="Times New Roman" w:hAnsi="Times New Roman" w:cs="Times New Roman"/>
          <w:sz w:val="28"/>
          <w:szCs w:val="28"/>
        </w:rPr>
      </w:pPr>
      <w:r w:rsidRPr="00C67333">
        <w:rPr>
          <w:rFonts w:ascii="Times New Roman" w:hAnsi="Times New Roman" w:cs="Times New Roman"/>
          <w:sz w:val="28"/>
          <w:szCs w:val="28"/>
          <w:u w:val="single"/>
        </w:rPr>
        <w:t>E</w:t>
      </w:r>
      <w:r w:rsidR="00E644DC" w:rsidRPr="00C67333">
        <w:rPr>
          <w:rFonts w:ascii="Times New Roman" w:hAnsi="Times New Roman" w:cs="Times New Roman"/>
          <w:sz w:val="28"/>
          <w:szCs w:val="28"/>
          <w:u w:val="single"/>
        </w:rPr>
        <w:t xml:space="preserve">sošu </w:t>
      </w:r>
      <w:r w:rsidR="003A0754" w:rsidRPr="00C67333">
        <w:rPr>
          <w:rFonts w:ascii="Times New Roman" w:hAnsi="Times New Roman" w:cs="Times New Roman"/>
          <w:sz w:val="28"/>
          <w:szCs w:val="28"/>
          <w:u w:val="single"/>
        </w:rPr>
        <w:t>ēku renovācij</w:t>
      </w:r>
      <w:r w:rsidRPr="00C67333">
        <w:rPr>
          <w:rFonts w:ascii="Times New Roman" w:hAnsi="Times New Roman" w:cs="Times New Roman"/>
          <w:sz w:val="28"/>
          <w:szCs w:val="28"/>
          <w:u w:val="single"/>
        </w:rPr>
        <w:t>a</w:t>
      </w:r>
    </w:p>
    <w:p w14:paraId="0D76E009" w14:textId="6D673947" w:rsidR="003A0754" w:rsidRPr="00C67333" w:rsidRDefault="00301E7D" w:rsidP="00815E65">
      <w:pPr>
        <w:shd w:val="clear" w:color="auto" w:fill="FFFFFF"/>
        <w:spacing w:after="0" w:line="240" w:lineRule="auto"/>
        <w:ind w:right="43"/>
        <w:jc w:val="both"/>
        <w:rPr>
          <w:rFonts w:ascii="Times New Roman" w:hAnsi="Times New Roman" w:cs="Times New Roman"/>
          <w:sz w:val="28"/>
          <w:szCs w:val="28"/>
        </w:rPr>
      </w:pPr>
      <w:r w:rsidRPr="00C67333">
        <w:rPr>
          <w:rFonts w:ascii="Times New Roman" w:hAnsi="Times New Roman" w:cs="Times New Roman"/>
          <w:sz w:val="28"/>
          <w:szCs w:val="28"/>
        </w:rPr>
        <w:t>P</w:t>
      </w:r>
      <w:r w:rsidR="003A0754" w:rsidRPr="00C67333">
        <w:rPr>
          <w:rFonts w:ascii="Times New Roman" w:hAnsi="Times New Roman" w:cs="Times New Roman"/>
          <w:sz w:val="28"/>
          <w:szCs w:val="28"/>
        </w:rPr>
        <w:t xml:space="preserve">rasības, kas saistītas ar ēku energoefektivitāti, ir obligātas prasības, kuras ir noteiktas ar  </w:t>
      </w:r>
      <w:r w:rsidR="003A0754" w:rsidRPr="00C67333">
        <w:rPr>
          <w:rFonts w:ascii="Times New Roman" w:hAnsi="Times New Roman" w:cs="Times New Roman"/>
          <w:sz w:val="28"/>
          <w:szCs w:val="28"/>
          <w:shd w:val="clear" w:color="auto" w:fill="FFFFFF"/>
        </w:rPr>
        <w:t>Eiropas Parlamenta un Padomes Direktīvu 2010/31/ES par ēku energoefektivitāti</w:t>
      </w:r>
      <w:r w:rsidR="00C06640" w:rsidRPr="00C67333">
        <w:rPr>
          <w:rStyle w:val="FootnoteReference"/>
          <w:rFonts w:ascii="Times New Roman" w:hAnsi="Times New Roman" w:cs="Times New Roman"/>
          <w:sz w:val="28"/>
          <w:szCs w:val="28"/>
          <w:shd w:val="clear" w:color="auto" w:fill="FFFFFF"/>
        </w:rPr>
        <w:footnoteReference w:id="9"/>
      </w:r>
      <w:r w:rsidR="003A0754" w:rsidRPr="00C67333">
        <w:rPr>
          <w:rFonts w:ascii="Times New Roman" w:hAnsi="Times New Roman" w:cs="Times New Roman"/>
          <w:sz w:val="28"/>
          <w:szCs w:val="28"/>
        </w:rPr>
        <w:t xml:space="preserve">  (turpmāk – ĒED). Tomēr, dalībvalstis var uzkrāt ietaupījumu, kas saistīts ar esošo ēku renovāciju, ja tiek nodrošināts būtiskuma kritērijs un visi enerģijas ietaupījumi izriet no ieviestajiem politikas pasākumiem, kas veicina esošu ēku renovāciju un pārsniedz enerģijas ietaupījumu, kas būtu iegūts, ja nebūtu attiecīgā politikas pasākuma. Minētais nosacījums attiecināms arī uz, piemēram, energoefektivitātes pienākuma shēmas atbildīgajām pusēm vai brīvprātīgās vienošanās par energoefektivitātes uzlabošanu slēdzējiem, kurām, ieviešot energoefektivitātes pasākumus ēkās, ir jāpierāda savs būtiskais ieguldījums šo pasākumu realizācijā.</w:t>
      </w:r>
    </w:p>
    <w:p w14:paraId="247D7E0E" w14:textId="50D85D34" w:rsidR="003A0754" w:rsidRPr="00C67333" w:rsidRDefault="003A0754" w:rsidP="00815E65">
      <w:pPr>
        <w:shd w:val="clear" w:color="auto" w:fill="FFFFFF"/>
        <w:spacing w:after="0" w:line="240" w:lineRule="auto"/>
        <w:ind w:right="43"/>
        <w:jc w:val="both"/>
        <w:rPr>
          <w:rFonts w:ascii="Times New Roman" w:hAnsi="Times New Roman" w:cs="Times New Roman"/>
          <w:sz w:val="28"/>
          <w:szCs w:val="28"/>
        </w:rPr>
      </w:pPr>
      <w:r w:rsidRPr="00C67333">
        <w:rPr>
          <w:rFonts w:ascii="Times New Roman" w:hAnsi="Times New Roman" w:cs="Times New Roman"/>
          <w:sz w:val="28"/>
          <w:szCs w:val="28"/>
        </w:rPr>
        <w:t>Projektos, kas realizēti</w:t>
      </w:r>
      <w:r w:rsidR="00E644DC" w:rsidRPr="00C67333">
        <w:rPr>
          <w:rFonts w:ascii="Times New Roman" w:hAnsi="Times New Roman" w:cs="Times New Roman"/>
          <w:sz w:val="28"/>
          <w:szCs w:val="28"/>
        </w:rPr>
        <w:t>,</w:t>
      </w:r>
      <w:r w:rsidRPr="00C67333">
        <w:rPr>
          <w:rFonts w:ascii="Times New Roman" w:hAnsi="Times New Roman" w:cs="Times New Roman"/>
          <w:sz w:val="28"/>
          <w:szCs w:val="28"/>
        </w:rPr>
        <w:t xml:space="preserve"> izmantojot atbalstu, kas tiek piešķirts vai sniegts no valsts, pašvaldības vai Eiropas Savienības budžeta līdzekļiem, būtiskumu nodrošina sniegtā atbalsta apjoms. Katras atbalsta programmas nolikums ir izstrādāts</w:t>
      </w:r>
      <w:r w:rsidR="00E644DC" w:rsidRPr="00C67333">
        <w:rPr>
          <w:rFonts w:ascii="Times New Roman" w:hAnsi="Times New Roman" w:cs="Times New Roman"/>
          <w:sz w:val="28"/>
          <w:szCs w:val="28"/>
        </w:rPr>
        <w:t>,</w:t>
      </w:r>
      <w:r w:rsidRPr="00C67333">
        <w:rPr>
          <w:rFonts w:ascii="Times New Roman" w:hAnsi="Times New Roman" w:cs="Times New Roman"/>
          <w:sz w:val="28"/>
          <w:szCs w:val="28"/>
        </w:rPr>
        <w:t xml:space="preserve"> balstoties uz programmas </w:t>
      </w:r>
      <w:proofErr w:type="spellStart"/>
      <w:r w:rsidRPr="00C67333">
        <w:rPr>
          <w:rFonts w:ascii="Times New Roman" w:hAnsi="Times New Roman" w:cs="Times New Roman"/>
          <w:sz w:val="28"/>
          <w:szCs w:val="28"/>
        </w:rPr>
        <w:t>ex-ante</w:t>
      </w:r>
      <w:proofErr w:type="spellEnd"/>
      <w:r w:rsidRPr="00C67333">
        <w:rPr>
          <w:rFonts w:ascii="Times New Roman" w:hAnsi="Times New Roman" w:cs="Times New Roman"/>
          <w:sz w:val="28"/>
          <w:szCs w:val="28"/>
        </w:rPr>
        <w:t xml:space="preserve"> </w:t>
      </w:r>
      <w:proofErr w:type="spellStart"/>
      <w:r w:rsidRPr="00C67333">
        <w:rPr>
          <w:rFonts w:ascii="Times New Roman" w:hAnsi="Times New Roman" w:cs="Times New Roman"/>
          <w:sz w:val="28"/>
          <w:szCs w:val="28"/>
        </w:rPr>
        <w:t>izvērtējuma</w:t>
      </w:r>
      <w:proofErr w:type="spellEnd"/>
      <w:r w:rsidRPr="00C67333">
        <w:rPr>
          <w:rFonts w:ascii="Times New Roman" w:hAnsi="Times New Roman" w:cs="Times New Roman"/>
          <w:sz w:val="28"/>
          <w:szCs w:val="28"/>
        </w:rPr>
        <w:t xml:space="preserve"> rezultātiem</w:t>
      </w:r>
      <w:r w:rsidR="00E644DC" w:rsidRPr="00C67333">
        <w:rPr>
          <w:rFonts w:ascii="Times New Roman" w:hAnsi="Times New Roman" w:cs="Times New Roman"/>
          <w:sz w:val="28"/>
          <w:szCs w:val="28"/>
        </w:rPr>
        <w:t>,</w:t>
      </w:r>
      <w:r w:rsidRPr="00C67333">
        <w:rPr>
          <w:rFonts w:ascii="Times New Roman" w:hAnsi="Times New Roman" w:cs="Times New Roman"/>
          <w:sz w:val="28"/>
          <w:szCs w:val="28"/>
        </w:rPr>
        <w:t xml:space="preserve"> un ar atbilstošiem </w:t>
      </w:r>
      <w:r w:rsidR="00E644DC" w:rsidRPr="00C67333">
        <w:rPr>
          <w:rFonts w:ascii="Times New Roman" w:hAnsi="Times New Roman" w:cs="Times New Roman"/>
          <w:sz w:val="28"/>
          <w:szCs w:val="28"/>
        </w:rPr>
        <w:t>M</w:t>
      </w:r>
      <w:r w:rsidRPr="00C67333">
        <w:rPr>
          <w:rFonts w:ascii="Times New Roman" w:hAnsi="Times New Roman" w:cs="Times New Roman"/>
          <w:sz w:val="28"/>
          <w:szCs w:val="28"/>
        </w:rPr>
        <w:t>inistru kabineta noteikumiem tiek noteikts atbalsta apjoms (parasti % no kopējām atbalstāmajām izmaksām) un tā piešķiršanas nosacījumi (parasti norādīti enerģijas ietaupījuma kritēriji).</w:t>
      </w:r>
    </w:p>
    <w:p w14:paraId="7D59AF2E" w14:textId="2F9B34AB" w:rsidR="003A0754" w:rsidRPr="00C67333" w:rsidRDefault="003A0754" w:rsidP="00815E65">
      <w:pPr>
        <w:shd w:val="clear" w:color="auto" w:fill="FFFFFF"/>
        <w:spacing w:after="0" w:line="240" w:lineRule="auto"/>
        <w:ind w:right="43"/>
        <w:jc w:val="both"/>
        <w:rPr>
          <w:rFonts w:ascii="Times New Roman" w:hAnsi="Times New Roman" w:cs="Times New Roman"/>
          <w:sz w:val="28"/>
          <w:szCs w:val="28"/>
        </w:rPr>
      </w:pPr>
      <w:r w:rsidRPr="00C67333">
        <w:rPr>
          <w:rFonts w:ascii="Times New Roman" w:hAnsi="Times New Roman" w:cs="Times New Roman"/>
          <w:sz w:val="28"/>
          <w:szCs w:val="28"/>
        </w:rPr>
        <w:t xml:space="preserve">Aprēķinot ēkas pilnīgas renovācijas rezultātā iegūtos enerģijas ietaupījumus, jāizmanto ēkas </w:t>
      </w:r>
      <w:proofErr w:type="spellStart"/>
      <w:r w:rsidRPr="00C67333">
        <w:rPr>
          <w:rFonts w:ascii="Times New Roman" w:hAnsi="Times New Roman" w:cs="Times New Roman"/>
          <w:sz w:val="28"/>
          <w:szCs w:val="28"/>
        </w:rPr>
        <w:t>energoaudita</w:t>
      </w:r>
      <w:proofErr w:type="spellEnd"/>
      <w:r w:rsidRPr="00C67333">
        <w:rPr>
          <w:rFonts w:ascii="Times New Roman" w:hAnsi="Times New Roman" w:cs="Times New Roman"/>
          <w:sz w:val="28"/>
          <w:szCs w:val="28"/>
        </w:rPr>
        <w:t xml:space="preserve"> vai izmērītie enerģijas patēriņa dati pirms un pēc renovācijas, tas ir, jāizmanto </w:t>
      </w:r>
      <w:proofErr w:type="spellStart"/>
      <w:r w:rsidRPr="00C67333">
        <w:rPr>
          <w:rFonts w:ascii="Times New Roman" w:hAnsi="Times New Roman" w:cs="Times New Roman"/>
          <w:sz w:val="28"/>
          <w:szCs w:val="28"/>
        </w:rPr>
        <w:t>inženieraprē</w:t>
      </w:r>
      <w:r w:rsidR="00815E65" w:rsidRPr="00C67333">
        <w:rPr>
          <w:rFonts w:ascii="Times New Roman" w:hAnsi="Times New Roman" w:cs="Times New Roman"/>
          <w:sz w:val="28"/>
          <w:szCs w:val="28"/>
        </w:rPr>
        <w:t>ķ</w:t>
      </w:r>
      <w:r w:rsidRPr="00C67333">
        <w:rPr>
          <w:rFonts w:ascii="Times New Roman" w:hAnsi="Times New Roman" w:cs="Times New Roman"/>
          <w:sz w:val="28"/>
          <w:szCs w:val="28"/>
        </w:rPr>
        <w:t>ina</w:t>
      </w:r>
      <w:proofErr w:type="spellEnd"/>
      <w:r w:rsidRPr="00C67333">
        <w:rPr>
          <w:rFonts w:ascii="Times New Roman" w:hAnsi="Times New Roman" w:cs="Times New Roman"/>
          <w:sz w:val="28"/>
          <w:szCs w:val="28"/>
        </w:rPr>
        <w:t xml:space="preserve"> metode. Savukārt</w:t>
      </w:r>
      <w:r w:rsidR="00815E65" w:rsidRPr="00C67333">
        <w:rPr>
          <w:rFonts w:ascii="Times New Roman" w:hAnsi="Times New Roman" w:cs="Times New Roman"/>
          <w:sz w:val="28"/>
          <w:szCs w:val="28"/>
        </w:rPr>
        <w:t>,</w:t>
      </w:r>
      <w:r w:rsidRPr="00C67333">
        <w:rPr>
          <w:rFonts w:ascii="Times New Roman" w:hAnsi="Times New Roman" w:cs="Times New Roman"/>
          <w:sz w:val="28"/>
          <w:szCs w:val="28"/>
        </w:rPr>
        <w:t xml:space="preserve"> ja ēkas energoefektivitātes uzlabošanai ir veikti atsevišķi pasākumi, piemēram, logu vai ārdurvju nomaiņa, pagraba siltināšana, tad iegūtos enerģijas  ietaupījumus aprēķina</w:t>
      </w:r>
      <w:r w:rsidR="00815E65" w:rsidRPr="00C67333">
        <w:rPr>
          <w:rFonts w:ascii="Times New Roman" w:hAnsi="Times New Roman" w:cs="Times New Roman"/>
          <w:sz w:val="28"/>
          <w:szCs w:val="28"/>
        </w:rPr>
        <w:t>,</w:t>
      </w:r>
      <w:r w:rsidRPr="00C67333">
        <w:rPr>
          <w:rFonts w:ascii="Times New Roman" w:hAnsi="Times New Roman" w:cs="Times New Roman"/>
          <w:sz w:val="28"/>
          <w:szCs w:val="28"/>
        </w:rPr>
        <w:t xml:space="preserve"> piemērojot paredzamā ietaupījuma metodi</w:t>
      </w:r>
      <w:r w:rsidR="00815E65" w:rsidRPr="00C67333">
        <w:rPr>
          <w:rFonts w:ascii="Times New Roman" w:hAnsi="Times New Roman" w:cs="Times New Roman"/>
          <w:sz w:val="28"/>
          <w:szCs w:val="28"/>
        </w:rPr>
        <w:t>,</w:t>
      </w:r>
      <w:r w:rsidRPr="00C67333">
        <w:rPr>
          <w:rFonts w:ascii="Times New Roman" w:hAnsi="Times New Roman" w:cs="Times New Roman"/>
          <w:sz w:val="28"/>
          <w:szCs w:val="28"/>
        </w:rPr>
        <w:t xml:space="preserve"> un aprēķinam  izmanto Enerģijas ietaupījumu kataloga</w:t>
      </w:r>
      <w:r w:rsidRPr="00C67333">
        <w:rPr>
          <w:rStyle w:val="FootnoteReference"/>
          <w:rFonts w:ascii="Times New Roman" w:hAnsi="Times New Roman" w:cs="Times New Roman"/>
          <w:sz w:val="28"/>
          <w:szCs w:val="28"/>
        </w:rPr>
        <w:footnoteReference w:id="10"/>
      </w:r>
      <w:r w:rsidRPr="00C67333">
        <w:rPr>
          <w:rFonts w:ascii="Times New Roman" w:hAnsi="Times New Roman" w:cs="Times New Roman"/>
          <w:sz w:val="28"/>
          <w:szCs w:val="28"/>
        </w:rPr>
        <w:t xml:space="preserve"> datus. </w:t>
      </w:r>
    </w:p>
    <w:p w14:paraId="74A27E94" w14:textId="77777777" w:rsidR="003A0754" w:rsidRPr="00C67333" w:rsidRDefault="003A0754" w:rsidP="00815E65">
      <w:pPr>
        <w:spacing w:after="0" w:line="240" w:lineRule="auto"/>
        <w:jc w:val="both"/>
        <w:rPr>
          <w:rFonts w:ascii="Times New Roman" w:hAnsi="Times New Roman" w:cs="Times New Roman"/>
          <w:sz w:val="28"/>
          <w:szCs w:val="28"/>
        </w:rPr>
      </w:pPr>
      <w:r w:rsidRPr="00C67333">
        <w:rPr>
          <w:rFonts w:ascii="Times New Roman" w:hAnsi="Times New Roman" w:cs="Times New Roman"/>
          <w:sz w:val="28"/>
          <w:szCs w:val="28"/>
        </w:rPr>
        <w:t>Enerģijas ietaupījums, kas iegūts veicot ēku pilnīgu renovāciju (</w:t>
      </w:r>
      <w:proofErr w:type="spellStart"/>
      <w:r w:rsidRPr="00C67333">
        <w:rPr>
          <w:rFonts w:ascii="Times New Roman" w:hAnsi="Times New Roman" w:cs="Times New Roman"/>
          <w:sz w:val="28"/>
          <w:szCs w:val="28"/>
        </w:rPr>
        <w:t>deep</w:t>
      </w:r>
      <w:proofErr w:type="spellEnd"/>
      <w:r w:rsidRPr="00C67333">
        <w:rPr>
          <w:rFonts w:ascii="Times New Roman" w:hAnsi="Times New Roman" w:cs="Times New Roman"/>
          <w:sz w:val="28"/>
          <w:szCs w:val="28"/>
        </w:rPr>
        <w:t xml:space="preserve"> </w:t>
      </w:r>
      <w:proofErr w:type="spellStart"/>
      <w:r w:rsidRPr="00C67333">
        <w:rPr>
          <w:rFonts w:ascii="Times New Roman" w:hAnsi="Times New Roman" w:cs="Times New Roman"/>
          <w:sz w:val="28"/>
          <w:szCs w:val="28"/>
        </w:rPr>
        <w:t>renovation</w:t>
      </w:r>
      <w:proofErr w:type="spellEnd"/>
      <w:r w:rsidRPr="00C67333">
        <w:rPr>
          <w:rFonts w:ascii="Times New Roman" w:hAnsi="Times New Roman" w:cs="Times New Roman"/>
          <w:sz w:val="28"/>
          <w:szCs w:val="28"/>
        </w:rPr>
        <w:t xml:space="preserve">)  izmantojot atbalstu, kas tiek piešķirts vai sniegts no valsts, pašvaldības vai Eiropas Savienības budžeta līdzekļiem, aprēķināts izmantojot </w:t>
      </w:r>
      <w:proofErr w:type="spellStart"/>
      <w:r w:rsidRPr="00C67333">
        <w:rPr>
          <w:rFonts w:ascii="Times New Roman" w:hAnsi="Times New Roman" w:cs="Times New Roman"/>
          <w:sz w:val="28"/>
          <w:szCs w:val="28"/>
        </w:rPr>
        <w:t>inženieraprēķina</w:t>
      </w:r>
      <w:proofErr w:type="spellEnd"/>
      <w:r w:rsidRPr="00C67333">
        <w:rPr>
          <w:rFonts w:ascii="Times New Roman" w:hAnsi="Times New Roman" w:cs="Times New Roman"/>
          <w:sz w:val="28"/>
          <w:szCs w:val="28"/>
        </w:rPr>
        <w:t xml:space="preserve"> metodi. </w:t>
      </w:r>
    </w:p>
    <w:p w14:paraId="18DEF22C" w14:textId="77777777" w:rsidR="003A0754" w:rsidRPr="00C67333" w:rsidRDefault="003A0754" w:rsidP="00815E65">
      <w:pPr>
        <w:spacing w:after="0" w:line="240" w:lineRule="auto"/>
        <w:jc w:val="both"/>
        <w:rPr>
          <w:rFonts w:ascii="Times New Roman" w:eastAsia="Times New Roman" w:hAnsi="Times New Roman" w:cs="Times New Roman"/>
          <w:sz w:val="28"/>
          <w:szCs w:val="28"/>
          <w:lang w:eastAsia="lv-LV"/>
        </w:rPr>
      </w:pPr>
      <w:r w:rsidRPr="00C67333">
        <w:rPr>
          <w:rFonts w:ascii="Times New Roman" w:hAnsi="Times New Roman" w:cs="Times New Roman"/>
          <w:sz w:val="28"/>
          <w:szCs w:val="28"/>
        </w:rPr>
        <w:lastRenderedPageBreak/>
        <w:t xml:space="preserve">Ēkas </w:t>
      </w:r>
      <w:proofErr w:type="spellStart"/>
      <w:r w:rsidRPr="00C67333">
        <w:rPr>
          <w:rFonts w:ascii="Times New Roman" w:hAnsi="Times New Roman" w:cs="Times New Roman"/>
          <w:sz w:val="28"/>
          <w:szCs w:val="28"/>
        </w:rPr>
        <w:t>energoaudits</w:t>
      </w:r>
      <w:proofErr w:type="spellEnd"/>
      <w:r w:rsidRPr="00C67333">
        <w:rPr>
          <w:rFonts w:ascii="Times New Roman" w:hAnsi="Times New Roman" w:cs="Times New Roman"/>
          <w:sz w:val="28"/>
          <w:szCs w:val="28"/>
        </w:rPr>
        <w:t xml:space="preserve"> jāveic sertificētam neatkarīgas ekspertam, kurš savu kompetenci apliecinājis atbilstoši Ministru kabineta 2018.gada 21.augusta    noteikumiem Nr.531 „</w:t>
      </w:r>
      <w:r w:rsidRPr="00C67333">
        <w:rPr>
          <w:rFonts w:ascii="Times New Roman" w:eastAsia="Times New Roman" w:hAnsi="Times New Roman" w:cs="Times New Roman"/>
          <w:sz w:val="28"/>
          <w:szCs w:val="28"/>
          <w:lang w:eastAsia="lv-LV"/>
        </w:rPr>
        <w:t>Noteikumi par neatkarīgu ekspertu kompetences novērtēšanu un profesionālās darbības uzraudzību ēku energoefektivitātes jomā</w:t>
      </w:r>
      <w:r w:rsidRPr="00C67333">
        <w:rPr>
          <w:rStyle w:val="FootnoteReference"/>
          <w:rFonts w:ascii="Times New Roman" w:eastAsia="Times New Roman" w:hAnsi="Times New Roman" w:cs="Times New Roman"/>
          <w:sz w:val="28"/>
          <w:szCs w:val="28"/>
          <w:lang w:eastAsia="lv-LV"/>
        </w:rPr>
        <w:footnoteReference w:id="11"/>
      </w:r>
      <w:r w:rsidRPr="00C67333">
        <w:rPr>
          <w:rFonts w:ascii="Times New Roman" w:eastAsia="Times New Roman" w:hAnsi="Times New Roman" w:cs="Times New Roman"/>
          <w:sz w:val="28"/>
          <w:szCs w:val="28"/>
          <w:lang w:eastAsia="lv-LV"/>
        </w:rPr>
        <w:t xml:space="preserve">”. Ēkas </w:t>
      </w:r>
      <w:proofErr w:type="spellStart"/>
      <w:r w:rsidRPr="00C67333">
        <w:rPr>
          <w:rFonts w:ascii="Times New Roman" w:eastAsia="Times New Roman" w:hAnsi="Times New Roman" w:cs="Times New Roman"/>
          <w:sz w:val="28"/>
          <w:szCs w:val="28"/>
          <w:lang w:eastAsia="lv-LV"/>
        </w:rPr>
        <w:t>energoaudits</w:t>
      </w:r>
      <w:proofErr w:type="spellEnd"/>
      <w:r w:rsidRPr="00C67333">
        <w:rPr>
          <w:rFonts w:ascii="Times New Roman" w:eastAsia="Times New Roman" w:hAnsi="Times New Roman" w:cs="Times New Roman"/>
          <w:sz w:val="28"/>
          <w:szCs w:val="28"/>
          <w:lang w:eastAsia="lv-LV"/>
        </w:rPr>
        <w:t xml:space="preserve"> ir ēkas </w:t>
      </w:r>
      <w:proofErr w:type="spellStart"/>
      <w:r w:rsidRPr="00C67333">
        <w:rPr>
          <w:rFonts w:ascii="Times New Roman" w:eastAsia="Times New Roman" w:hAnsi="Times New Roman" w:cs="Times New Roman"/>
          <w:sz w:val="28"/>
          <w:szCs w:val="28"/>
          <w:lang w:eastAsia="lv-LV"/>
        </w:rPr>
        <w:t>energosertifikācijas</w:t>
      </w:r>
      <w:proofErr w:type="spellEnd"/>
      <w:r w:rsidRPr="00C67333">
        <w:rPr>
          <w:rFonts w:ascii="Times New Roman" w:eastAsia="Times New Roman" w:hAnsi="Times New Roman" w:cs="Times New Roman"/>
          <w:sz w:val="28"/>
          <w:szCs w:val="28"/>
          <w:lang w:eastAsia="lv-LV"/>
        </w:rPr>
        <w:t xml:space="preserve"> procesa </w:t>
      </w:r>
      <w:proofErr w:type="spellStart"/>
      <w:r w:rsidRPr="00C67333">
        <w:rPr>
          <w:rFonts w:ascii="Times New Roman" w:eastAsia="Times New Roman" w:hAnsi="Times New Roman" w:cs="Times New Roman"/>
          <w:sz w:val="28"/>
          <w:szCs w:val="28"/>
          <w:lang w:eastAsia="lv-LV"/>
        </w:rPr>
        <w:t>satāvdaļa</w:t>
      </w:r>
      <w:proofErr w:type="spellEnd"/>
      <w:r w:rsidRPr="00C67333">
        <w:rPr>
          <w:rFonts w:ascii="Times New Roman" w:eastAsia="Times New Roman" w:hAnsi="Times New Roman" w:cs="Times New Roman"/>
          <w:sz w:val="28"/>
          <w:szCs w:val="28"/>
          <w:lang w:eastAsia="lv-LV"/>
        </w:rPr>
        <w:t xml:space="preserve"> un tā veikšanas gaita ir noteikta Ministru kabineta 2013.gada 9.jūlija noteikumos Nr.383 „Noteikumi par ēku </w:t>
      </w:r>
      <w:proofErr w:type="spellStart"/>
      <w:r w:rsidRPr="00C67333">
        <w:rPr>
          <w:rFonts w:ascii="Times New Roman" w:eastAsia="Times New Roman" w:hAnsi="Times New Roman" w:cs="Times New Roman"/>
          <w:sz w:val="28"/>
          <w:szCs w:val="28"/>
          <w:lang w:eastAsia="lv-LV"/>
        </w:rPr>
        <w:t>energosertifikāciju</w:t>
      </w:r>
      <w:proofErr w:type="spellEnd"/>
      <w:r w:rsidRPr="00C67333">
        <w:rPr>
          <w:rFonts w:ascii="Times New Roman" w:eastAsia="Times New Roman" w:hAnsi="Times New Roman" w:cs="Times New Roman"/>
          <w:sz w:val="28"/>
          <w:szCs w:val="28"/>
          <w:lang w:eastAsia="lv-LV"/>
        </w:rPr>
        <w:t>”</w:t>
      </w:r>
      <w:r w:rsidRPr="00C67333">
        <w:rPr>
          <w:rStyle w:val="FootnoteReference"/>
          <w:rFonts w:ascii="Times New Roman" w:eastAsia="Times New Roman" w:hAnsi="Times New Roman" w:cs="Times New Roman"/>
          <w:sz w:val="28"/>
          <w:szCs w:val="28"/>
          <w:lang w:eastAsia="lv-LV"/>
        </w:rPr>
        <w:footnoteReference w:id="12"/>
      </w:r>
      <w:r w:rsidRPr="00C67333">
        <w:rPr>
          <w:rFonts w:ascii="Times New Roman" w:eastAsia="Times New Roman" w:hAnsi="Times New Roman" w:cs="Times New Roman"/>
          <w:sz w:val="28"/>
          <w:szCs w:val="28"/>
          <w:lang w:eastAsia="lv-LV"/>
        </w:rPr>
        <w:t xml:space="preserve"> (turpmāk – MK noteikumi Nr.383), bet ēkas energoefektivitātes rādītājus neatkarīgais eksperts aprēķina atbilstoši Ministru kabineta 2013.gada 25.jūnija noteikumiem Nr.348 „Ēkas energoefektivitātes aprēķina metode</w:t>
      </w:r>
      <w:r w:rsidRPr="00C67333">
        <w:rPr>
          <w:rStyle w:val="FootnoteReference"/>
          <w:rFonts w:ascii="Times New Roman" w:eastAsia="Times New Roman" w:hAnsi="Times New Roman" w:cs="Times New Roman"/>
          <w:sz w:val="28"/>
          <w:szCs w:val="28"/>
          <w:lang w:eastAsia="lv-LV"/>
        </w:rPr>
        <w:footnoteReference w:id="13"/>
      </w:r>
      <w:r w:rsidRPr="00C67333">
        <w:rPr>
          <w:rFonts w:ascii="Times New Roman" w:eastAsia="Times New Roman" w:hAnsi="Times New Roman" w:cs="Times New Roman"/>
          <w:sz w:val="28"/>
          <w:szCs w:val="28"/>
          <w:lang w:eastAsia="lv-LV"/>
        </w:rPr>
        <w:t xml:space="preserve">”. </w:t>
      </w:r>
    </w:p>
    <w:p w14:paraId="3BFD45F2" w14:textId="77777777" w:rsidR="003A0754" w:rsidRPr="00C67333" w:rsidRDefault="003A0754" w:rsidP="00815E65">
      <w:pPr>
        <w:spacing w:after="0" w:line="240" w:lineRule="auto"/>
        <w:jc w:val="both"/>
        <w:rPr>
          <w:rFonts w:ascii="Times New Roman" w:eastAsia="Times New Roman" w:hAnsi="Times New Roman" w:cs="Times New Roman"/>
          <w:sz w:val="28"/>
          <w:szCs w:val="28"/>
          <w:lang w:eastAsia="lv-LV"/>
        </w:rPr>
      </w:pPr>
    </w:p>
    <w:p w14:paraId="7E712515" w14:textId="1AFC2A1B" w:rsidR="003A0754" w:rsidRPr="00C67333" w:rsidRDefault="00815E65" w:rsidP="003A0754">
      <w:pPr>
        <w:jc w:val="both"/>
        <w:rPr>
          <w:rFonts w:ascii="Times New Roman" w:hAnsi="Times New Roman" w:cs="Times New Roman"/>
          <w:sz w:val="28"/>
          <w:szCs w:val="28"/>
          <w:u w:val="single"/>
        </w:rPr>
      </w:pPr>
      <w:r w:rsidRPr="00C67333">
        <w:rPr>
          <w:rFonts w:ascii="Times New Roman" w:hAnsi="Times New Roman" w:cs="Times New Roman"/>
          <w:sz w:val="28"/>
          <w:szCs w:val="28"/>
          <w:u w:val="single"/>
        </w:rPr>
        <w:t>J</w:t>
      </w:r>
      <w:r w:rsidR="003A0754" w:rsidRPr="00C67333">
        <w:rPr>
          <w:rFonts w:ascii="Times New Roman" w:hAnsi="Times New Roman" w:cs="Times New Roman"/>
          <w:sz w:val="28"/>
          <w:szCs w:val="28"/>
          <w:u w:val="single"/>
        </w:rPr>
        <w:t>aunu ēku būvniecīb</w:t>
      </w:r>
      <w:r w:rsidRPr="00C67333">
        <w:rPr>
          <w:rFonts w:ascii="Times New Roman" w:hAnsi="Times New Roman" w:cs="Times New Roman"/>
          <w:sz w:val="28"/>
          <w:szCs w:val="28"/>
          <w:u w:val="single"/>
        </w:rPr>
        <w:t>a</w:t>
      </w:r>
    </w:p>
    <w:p w14:paraId="55A8A478" w14:textId="410ACE76" w:rsidR="003A0754" w:rsidRPr="00C67333" w:rsidRDefault="003A0754" w:rsidP="00815E65">
      <w:pPr>
        <w:spacing w:after="0" w:line="240" w:lineRule="auto"/>
        <w:jc w:val="both"/>
        <w:rPr>
          <w:rFonts w:ascii="Times New Roman" w:eastAsia="Times New Roman" w:hAnsi="Times New Roman" w:cs="Times New Roman"/>
          <w:sz w:val="28"/>
          <w:szCs w:val="28"/>
          <w:lang w:eastAsia="lv-LV"/>
        </w:rPr>
      </w:pPr>
      <w:r w:rsidRPr="00C67333">
        <w:rPr>
          <w:rFonts w:ascii="Times New Roman" w:hAnsi="Times New Roman" w:cs="Times New Roman"/>
          <w:sz w:val="28"/>
          <w:szCs w:val="28"/>
        </w:rPr>
        <w:t xml:space="preserve">Enerģijas ietaupījumus, kas radušies jaunu ēku būvniecības rezultātā, aprēķina piemērojot </w:t>
      </w:r>
      <w:proofErr w:type="spellStart"/>
      <w:r w:rsidRPr="00C67333">
        <w:rPr>
          <w:rFonts w:ascii="Times New Roman" w:hAnsi="Times New Roman" w:cs="Times New Roman"/>
          <w:sz w:val="28"/>
          <w:szCs w:val="28"/>
        </w:rPr>
        <w:t>inženieraprēķina</w:t>
      </w:r>
      <w:proofErr w:type="spellEnd"/>
      <w:r w:rsidRPr="00C67333">
        <w:rPr>
          <w:rFonts w:ascii="Times New Roman" w:hAnsi="Times New Roman" w:cs="Times New Roman"/>
          <w:sz w:val="28"/>
          <w:szCs w:val="28"/>
        </w:rPr>
        <w:t xml:space="preserve"> metodi. Jaunu ēku būvniecības projektiem jāatbilst vai jāpārsniedz valstī noteiktās energoefektivitātes minimālās prasības jaunbūvēm</w:t>
      </w:r>
      <w:r w:rsidRPr="00C67333">
        <w:rPr>
          <w:rStyle w:val="FootnoteReference"/>
          <w:rFonts w:ascii="Times New Roman" w:hAnsi="Times New Roman" w:cs="Times New Roman"/>
          <w:sz w:val="28"/>
          <w:szCs w:val="28"/>
        </w:rPr>
        <w:footnoteReference w:id="14"/>
      </w:r>
      <w:r w:rsidRPr="00C67333">
        <w:rPr>
          <w:rFonts w:ascii="Times New Roman" w:hAnsi="Times New Roman" w:cs="Times New Roman"/>
          <w:sz w:val="28"/>
          <w:szCs w:val="28"/>
        </w:rPr>
        <w:t xml:space="preserve">. </w:t>
      </w:r>
      <w:r w:rsidR="00815E65" w:rsidRPr="00C67333">
        <w:rPr>
          <w:rFonts w:ascii="Times New Roman" w:hAnsi="Times New Roman" w:cs="Times New Roman"/>
          <w:sz w:val="28"/>
          <w:szCs w:val="28"/>
        </w:rPr>
        <w:t>J</w:t>
      </w:r>
      <w:r w:rsidRPr="00C67333">
        <w:rPr>
          <w:rFonts w:ascii="Times New Roman" w:hAnsi="Times New Roman" w:cs="Times New Roman"/>
          <w:sz w:val="28"/>
          <w:szCs w:val="28"/>
        </w:rPr>
        <w:t xml:space="preserve">aunbūves, pārbūvējamas vai atjaunojamas ēkas energoefektivitātes rādītājus nosaka saskaņā ar  </w:t>
      </w:r>
      <w:r w:rsidRPr="00C67333">
        <w:rPr>
          <w:rFonts w:ascii="Times New Roman" w:eastAsia="Times New Roman" w:hAnsi="Times New Roman" w:cs="Times New Roman"/>
          <w:sz w:val="28"/>
          <w:szCs w:val="28"/>
          <w:lang w:eastAsia="lv-LV"/>
        </w:rPr>
        <w:t>MK noteikumiem Nr.383.</w:t>
      </w:r>
    </w:p>
    <w:p w14:paraId="41BA6397" w14:textId="5C8C17BA" w:rsidR="003A0754" w:rsidRPr="00C67333" w:rsidRDefault="003A0754" w:rsidP="00815E65">
      <w:pPr>
        <w:spacing w:after="0" w:line="240" w:lineRule="auto"/>
        <w:jc w:val="both"/>
        <w:rPr>
          <w:rFonts w:ascii="Times New Roman" w:eastAsia="Times New Roman" w:hAnsi="Times New Roman" w:cs="Times New Roman"/>
          <w:sz w:val="28"/>
          <w:szCs w:val="28"/>
          <w:lang w:eastAsia="lv-LV"/>
        </w:rPr>
      </w:pPr>
      <w:r w:rsidRPr="00C67333">
        <w:rPr>
          <w:rFonts w:ascii="Times New Roman" w:hAnsi="Times New Roman" w:cs="Times New Roman"/>
          <w:sz w:val="28"/>
          <w:szCs w:val="28"/>
        </w:rPr>
        <w:t>Projektos, kas realizēti</w:t>
      </w:r>
      <w:r w:rsidR="00815E65" w:rsidRPr="00C67333">
        <w:rPr>
          <w:rFonts w:ascii="Times New Roman" w:hAnsi="Times New Roman" w:cs="Times New Roman"/>
          <w:sz w:val="28"/>
          <w:szCs w:val="28"/>
        </w:rPr>
        <w:t>,</w:t>
      </w:r>
      <w:r w:rsidRPr="00C67333">
        <w:rPr>
          <w:rFonts w:ascii="Times New Roman" w:hAnsi="Times New Roman" w:cs="Times New Roman"/>
          <w:sz w:val="28"/>
          <w:szCs w:val="28"/>
        </w:rPr>
        <w:t xml:space="preserve"> izmantojot atbalstu, kas tiek piešķirts vai sniegts no valsts, pašvaldības vai Eiropas Savienības budžeta līdzekļiem, būtiskumu nodrošina sniegtā atbalsta apjoms. Katras atbalsta programmas nolikums ir izstrādāts</w:t>
      </w:r>
      <w:r w:rsidR="00815E65" w:rsidRPr="00C67333">
        <w:rPr>
          <w:rFonts w:ascii="Times New Roman" w:hAnsi="Times New Roman" w:cs="Times New Roman"/>
          <w:sz w:val="28"/>
          <w:szCs w:val="28"/>
        </w:rPr>
        <w:t>,</w:t>
      </w:r>
      <w:r w:rsidRPr="00C67333">
        <w:rPr>
          <w:rFonts w:ascii="Times New Roman" w:hAnsi="Times New Roman" w:cs="Times New Roman"/>
          <w:sz w:val="28"/>
          <w:szCs w:val="28"/>
        </w:rPr>
        <w:t xml:space="preserve"> balstoties uz programmas </w:t>
      </w:r>
      <w:proofErr w:type="spellStart"/>
      <w:r w:rsidRPr="00C67333">
        <w:rPr>
          <w:rFonts w:ascii="Times New Roman" w:hAnsi="Times New Roman" w:cs="Times New Roman"/>
          <w:sz w:val="28"/>
          <w:szCs w:val="28"/>
        </w:rPr>
        <w:t>ex-ante</w:t>
      </w:r>
      <w:proofErr w:type="spellEnd"/>
      <w:r w:rsidRPr="00C67333">
        <w:rPr>
          <w:rFonts w:ascii="Times New Roman" w:hAnsi="Times New Roman" w:cs="Times New Roman"/>
          <w:sz w:val="28"/>
          <w:szCs w:val="28"/>
        </w:rPr>
        <w:t xml:space="preserve"> </w:t>
      </w:r>
      <w:proofErr w:type="spellStart"/>
      <w:r w:rsidRPr="00C67333">
        <w:rPr>
          <w:rFonts w:ascii="Times New Roman" w:hAnsi="Times New Roman" w:cs="Times New Roman"/>
          <w:sz w:val="28"/>
          <w:szCs w:val="28"/>
        </w:rPr>
        <w:t>izvērtējuma</w:t>
      </w:r>
      <w:proofErr w:type="spellEnd"/>
      <w:r w:rsidRPr="00C67333">
        <w:rPr>
          <w:rFonts w:ascii="Times New Roman" w:hAnsi="Times New Roman" w:cs="Times New Roman"/>
          <w:sz w:val="28"/>
          <w:szCs w:val="28"/>
        </w:rPr>
        <w:t xml:space="preserve"> rezultātiem</w:t>
      </w:r>
      <w:r w:rsidR="00815E65" w:rsidRPr="00C67333">
        <w:rPr>
          <w:rFonts w:ascii="Times New Roman" w:hAnsi="Times New Roman" w:cs="Times New Roman"/>
          <w:sz w:val="28"/>
          <w:szCs w:val="28"/>
        </w:rPr>
        <w:t>,</w:t>
      </w:r>
      <w:r w:rsidRPr="00C67333">
        <w:rPr>
          <w:rFonts w:ascii="Times New Roman" w:hAnsi="Times New Roman" w:cs="Times New Roman"/>
          <w:sz w:val="28"/>
          <w:szCs w:val="28"/>
        </w:rPr>
        <w:t xml:space="preserve"> un ar atbilstošiem ministru kabineta noteikumiem tiek noteikts atbalsta apjoms (parasti % no kopējām atbalstāmajām izmaksām) un tā piešķiršanas nosacījumi (parasti norādīt</w:t>
      </w:r>
      <w:r w:rsidR="00815E65" w:rsidRPr="00C67333">
        <w:rPr>
          <w:rFonts w:ascii="Times New Roman" w:hAnsi="Times New Roman" w:cs="Times New Roman"/>
          <w:sz w:val="28"/>
          <w:szCs w:val="28"/>
        </w:rPr>
        <w:t>s</w:t>
      </w:r>
      <w:r w:rsidRPr="00C67333">
        <w:rPr>
          <w:rFonts w:ascii="Times New Roman" w:hAnsi="Times New Roman" w:cs="Times New Roman"/>
          <w:sz w:val="28"/>
          <w:szCs w:val="28"/>
        </w:rPr>
        <w:t xml:space="preserve"> </w:t>
      </w:r>
      <w:r w:rsidR="007D362F" w:rsidRPr="00C67333">
        <w:rPr>
          <w:rFonts w:ascii="Times New Roman" w:hAnsi="Times New Roman" w:cs="Times New Roman"/>
          <w:sz w:val="28"/>
          <w:szCs w:val="28"/>
        </w:rPr>
        <w:t xml:space="preserve">maksimālais pieļaujamais </w:t>
      </w:r>
      <w:r w:rsidRPr="00C67333">
        <w:rPr>
          <w:rFonts w:ascii="Times New Roman" w:hAnsi="Times New Roman" w:cs="Times New Roman"/>
          <w:sz w:val="28"/>
          <w:szCs w:val="28"/>
        </w:rPr>
        <w:t xml:space="preserve">enerģijas </w:t>
      </w:r>
      <w:r w:rsidR="00815E65" w:rsidRPr="00C67333">
        <w:rPr>
          <w:rFonts w:ascii="Times New Roman" w:hAnsi="Times New Roman" w:cs="Times New Roman"/>
          <w:sz w:val="28"/>
          <w:szCs w:val="28"/>
        </w:rPr>
        <w:t>patēriņa līmenis</w:t>
      </w:r>
      <w:r w:rsidRPr="00C67333">
        <w:rPr>
          <w:rFonts w:ascii="Times New Roman" w:hAnsi="Times New Roman" w:cs="Times New Roman"/>
          <w:sz w:val="28"/>
          <w:szCs w:val="28"/>
        </w:rPr>
        <w:t>).</w:t>
      </w:r>
    </w:p>
    <w:p w14:paraId="268B6316" w14:textId="77777777" w:rsidR="003A0754" w:rsidRPr="00C67333" w:rsidRDefault="003A0754" w:rsidP="00815E65">
      <w:pPr>
        <w:spacing w:after="0" w:line="240" w:lineRule="auto"/>
        <w:jc w:val="both"/>
        <w:rPr>
          <w:rFonts w:ascii="Times New Roman" w:hAnsi="Times New Roman" w:cs="Times New Roman"/>
          <w:sz w:val="28"/>
          <w:szCs w:val="28"/>
        </w:rPr>
      </w:pPr>
    </w:p>
    <w:p w14:paraId="4C65048E" w14:textId="53520490" w:rsidR="003A0754" w:rsidRPr="00C67333" w:rsidRDefault="007D362F" w:rsidP="00815E65">
      <w:pPr>
        <w:spacing w:after="0" w:line="240" w:lineRule="auto"/>
        <w:jc w:val="both"/>
        <w:rPr>
          <w:rFonts w:ascii="Times New Roman" w:hAnsi="Times New Roman" w:cs="Times New Roman"/>
          <w:sz w:val="28"/>
          <w:szCs w:val="28"/>
          <w:u w:val="single"/>
        </w:rPr>
      </w:pPr>
      <w:r w:rsidRPr="00C67333">
        <w:rPr>
          <w:rFonts w:ascii="Times New Roman" w:hAnsi="Times New Roman" w:cs="Times New Roman"/>
          <w:sz w:val="28"/>
          <w:szCs w:val="28"/>
          <w:u w:val="single"/>
        </w:rPr>
        <w:t>P</w:t>
      </w:r>
      <w:r w:rsidR="003A0754" w:rsidRPr="00C67333">
        <w:rPr>
          <w:rFonts w:ascii="Times New Roman" w:hAnsi="Times New Roman" w:cs="Times New Roman"/>
          <w:sz w:val="28"/>
          <w:szCs w:val="28"/>
          <w:u w:val="single"/>
        </w:rPr>
        <w:t>ubliskā sektora ēk</w:t>
      </w:r>
      <w:r w:rsidRPr="00C67333">
        <w:rPr>
          <w:rFonts w:ascii="Times New Roman" w:hAnsi="Times New Roman" w:cs="Times New Roman"/>
          <w:sz w:val="28"/>
          <w:szCs w:val="28"/>
          <w:u w:val="single"/>
        </w:rPr>
        <w:t>as</w:t>
      </w:r>
    </w:p>
    <w:p w14:paraId="0C658D70" w14:textId="77777777" w:rsidR="007D362F" w:rsidRPr="00C67333" w:rsidRDefault="007D362F" w:rsidP="00815E65">
      <w:pPr>
        <w:shd w:val="clear" w:color="auto" w:fill="FFFFFF"/>
        <w:spacing w:after="0" w:line="240" w:lineRule="auto"/>
        <w:ind w:right="43"/>
        <w:jc w:val="both"/>
        <w:rPr>
          <w:rFonts w:ascii="Times New Roman" w:hAnsi="Times New Roman" w:cs="Times New Roman"/>
          <w:sz w:val="28"/>
          <w:szCs w:val="28"/>
        </w:rPr>
      </w:pPr>
    </w:p>
    <w:p w14:paraId="5A6C92F3" w14:textId="1E0F6781" w:rsidR="003A0754" w:rsidRPr="00C67333" w:rsidRDefault="003A0754" w:rsidP="007D362F">
      <w:pPr>
        <w:shd w:val="clear" w:color="auto" w:fill="FFFFFF"/>
        <w:spacing w:after="0" w:line="240" w:lineRule="auto"/>
        <w:ind w:right="-57"/>
        <w:jc w:val="both"/>
        <w:rPr>
          <w:rFonts w:ascii="Times New Roman" w:hAnsi="Times New Roman" w:cs="Times New Roman"/>
          <w:sz w:val="28"/>
          <w:szCs w:val="28"/>
        </w:rPr>
      </w:pPr>
      <w:proofErr w:type="spellStart"/>
      <w:r w:rsidRPr="00C67333">
        <w:rPr>
          <w:rFonts w:ascii="Times New Roman" w:hAnsi="Times New Roman" w:cs="Times New Roman"/>
          <w:sz w:val="28"/>
          <w:szCs w:val="28"/>
        </w:rPr>
        <w:t>Papildināmības</w:t>
      </w:r>
      <w:proofErr w:type="spellEnd"/>
      <w:r w:rsidRPr="00C67333">
        <w:rPr>
          <w:rFonts w:ascii="Times New Roman" w:hAnsi="Times New Roman" w:cs="Times New Roman"/>
          <w:sz w:val="28"/>
          <w:szCs w:val="28"/>
        </w:rPr>
        <w:t xml:space="preserve"> nosacījums attiecināms arī uz publiskā sektora ēku renovāciju. Ēkas pilnīgas renovācijas rezultātā iegūtos enerģijas ietaupījumus, aprēķina izmantojot </w:t>
      </w:r>
      <w:proofErr w:type="spellStart"/>
      <w:r w:rsidRPr="00C67333">
        <w:rPr>
          <w:rFonts w:ascii="Times New Roman" w:hAnsi="Times New Roman" w:cs="Times New Roman"/>
          <w:sz w:val="28"/>
          <w:szCs w:val="28"/>
        </w:rPr>
        <w:t>inženieraprēkina</w:t>
      </w:r>
      <w:proofErr w:type="spellEnd"/>
      <w:r w:rsidRPr="00C67333">
        <w:rPr>
          <w:rFonts w:ascii="Times New Roman" w:hAnsi="Times New Roman" w:cs="Times New Roman"/>
          <w:sz w:val="28"/>
          <w:szCs w:val="28"/>
        </w:rPr>
        <w:t xml:space="preserve"> metode. Savukārt</w:t>
      </w:r>
      <w:r w:rsidR="007D362F" w:rsidRPr="00C67333">
        <w:rPr>
          <w:rFonts w:ascii="Times New Roman" w:hAnsi="Times New Roman" w:cs="Times New Roman"/>
          <w:sz w:val="28"/>
          <w:szCs w:val="28"/>
        </w:rPr>
        <w:t>,</w:t>
      </w:r>
      <w:r w:rsidRPr="00C67333">
        <w:rPr>
          <w:rFonts w:ascii="Times New Roman" w:hAnsi="Times New Roman" w:cs="Times New Roman"/>
          <w:sz w:val="28"/>
          <w:szCs w:val="28"/>
        </w:rPr>
        <w:t xml:space="preserve"> ja ēkas energoefektivitātes uzlabošanai ir veikti atsevišķi pasākumi, piemēram, logu vai ārdurvju nomaiņa, pagraba siltināšana</w:t>
      </w:r>
      <w:r w:rsidR="007D362F" w:rsidRPr="00C67333">
        <w:rPr>
          <w:rFonts w:ascii="Times New Roman" w:hAnsi="Times New Roman" w:cs="Times New Roman"/>
          <w:sz w:val="28"/>
          <w:szCs w:val="28"/>
        </w:rPr>
        <w:t xml:space="preserve"> u.c.</w:t>
      </w:r>
      <w:r w:rsidRPr="00C67333">
        <w:rPr>
          <w:rFonts w:ascii="Times New Roman" w:hAnsi="Times New Roman" w:cs="Times New Roman"/>
          <w:sz w:val="28"/>
          <w:szCs w:val="28"/>
        </w:rPr>
        <w:t>, tad iegūtos enerģijas  ietaupījumus aprēķina</w:t>
      </w:r>
      <w:r w:rsidR="007D362F" w:rsidRPr="00C67333">
        <w:rPr>
          <w:rFonts w:ascii="Times New Roman" w:hAnsi="Times New Roman" w:cs="Times New Roman"/>
          <w:sz w:val="28"/>
          <w:szCs w:val="28"/>
        </w:rPr>
        <w:t>,</w:t>
      </w:r>
      <w:r w:rsidRPr="00C67333">
        <w:rPr>
          <w:rFonts w:ascii="Times New Roman" w:hAnsi="Times New Roman" w:cs="Times New Roman"/>
          <w:sz w:val="28"/>
          <w:szCs w:val="28"/>
        </w:rPr>
        <w:t xml:space="preserve"> piemērojot paredzamā ietaupījuma metodi</w:t>
      </w:r>
      <w:r w:rsidR="007D362F" w:rsidRPr="00C67333">
        <w:rPr>
          <w:rFonts w:ascii="Times New Roman" w:hAnsi="Times New Roman" w:cs="Times New Roman"/>
          <w:sz w:val="28"/>
          <w:szCs w:val="28"/>
        </w:rPr>
        <w:t>,</w:t>
      </w:r>
      <w:r w:rsidRPr="00C67333">
        <w:rPr>
          <w:rFonts w:ascii="Times New Roman" w:hAnsi="Times New Roman" w:cs="Times New Roman"/>
          <w:sz w:val="28"/>
          <w:szCs w:val="28"/>
        </w:rPr>
        <w:t xml:space="preserve"> un aprēķinam  izmanto Enerģijas ietaupījumu kataloga datus. </w:t>
      </w:r>
    </w:p>
    <w:p w14:paraId="0C3D1DAE" w14:textId="77777777" w:rsidR="007D362F" w:rsidRPr="00C67333" w:rsidRDefault="007D362F" w:rsidP="007D362F">
      <w:pPr>
        <w:shd w:val="clear" w:color="auto" w:fill="FFFFFF"/>
        <w:spacing w:after="0" w:line="240" w:lineRule="auto"/>
        <w:ind w:right="-57"/>
        <w:jc w:val="both"/>
        <w:rPr>
          <w:rFonts w:ascii="Times New Roman" w:hAnsi="Times New Roman" w:cs="Times New Roman"/>
          <w:sz w:val="28"/>
          <w:szCs w:val="28"/>
        </w:rPr>
      </w:pPr>
    </w:p>
    <w:p w14:paraId="124E6C8A" w14:textId="14D9A1F9" w:rsidR="003A0754" w:rsidRPr="00C67333" w:rsidRDefault="007D362F" w:rsidP="007D362F">
      <w:pPr>
        <w:shd w:val="clear" w:color="auto" w:fill="FFFFFF"/>
        <w:spacing w:after="0" w:line="240" w:lineRule="auto"/>
        <w:ind w:right="-57"/>
        <w:jc w:val="both"/>
        <w:rPr>
          <w:rFonts w:ascii="Times New Roman" w:hAnsi="Times New Roman" w:cs="Times New Roman"/>
          <w:sz w:val="28"/>
          <w:szCs w:val="28"/>
          <w:u w:val="single"/>
        </w:rPr>
      </w:pPr>
      <w:r w:rsidRPr="00C67333">
        <w:rPr>
          <w:rFonts w:ascii="Times New Roman" w:hAnsi="Times New Roman" w:cs="Times New Roman"/>
          <w:sz w:val="28"/>
          <w:szCs w:val="28"/>
          <w:u w:val="single"/>
        </w:rPr>
        <w:t>O</w:t>
      </w:r>
      <w:r w:rsidR="003A0754" w:rsidRPr="00C67333">
        <w:rPr>
          <w:rFonts w:ascii="Times New Roman" w:hAnsi="Times New Roman" w:cs="Times New Roman"/>
          <w:sz w:val="28"/>
          <w:szCs w:val="28"/>
          <w:u w:val="single"/>
        </w:rPr>
        <w:t xml:space="preserve">bligātie </w:t>
      </w:r>
      <w:proofErr w:type="spellStart"/>
      <w:r w:rsidR="003A0754" w:rsidRPr="00C67333">
        <w:rPr>
          <w:rFonts w:ascii="Times New Roman" w:hAnsi="Times New Roman" w:cs="Times New Roman"/>
          <w:sz w:val="28"/>
          <w:szCs w:val="28"/>
          <w:u w:val="single"/>
        </w:rPr>
        <w:t>energoauditi</w:t>
      </w:r>
      <w:proofErr w:type="spellEnd"/>
    </w:p>
    <w:p w14:paraId="4709F80A" w14:textId="3662ECC4" w:rsidR="003A0754" w:rsidRPr="00C67333" w:rsidRDefault="007D362F" w:rsidP="007D362F">
      <w:pPr>
        <w:shd w:val="clear" w:color="auto" w:fill="FFFFFF"/>
        <w:spacing w:after="0" w:line="240" w:lineRule="auto"/>
        <w:ind w:right="-57"/>
        <w:jc w:val="both"/>
        <w:rPr>
          <w:rFonts w:ascii="Times New Roman" w:hAnsi="Times New Roman" w:cs="Times New Roman"/>
          <w:sz w:val="28"/>
          <w:szCs w:val="28"/>
        </w:rPr>
      </w:pPr>
      <w:r w:rsidRPr="00C67333">
        <w:rPr>
          <w:rFonts w:ascii="Times New Roman" w:hAnsi="Times New Roman" w:cs="Times New Roman"/>
          <w:sz w:val="28"/>
          <w:szCs w:val="28"/>
        </w:rPr>
        <w:lastRenderedPageBreak/>
        <w:t xml:space="preserve">Energoefektivitātes likums (turpmāk – </w:t>
      </w:r>
      <w:r w:rsidR="003A0754" w:rsidRPr="00C67333">
        <w:rPr>
          <w:rFonts w:ascii="Times New Roman" w:hAnsi="Times New Roman" w:cs="Times New Roman"/>
          <w:sz w:val="28"/>
          <w:szCs w:val="28"/>
        </w:rPr>
        <w:t>Likum</w:t>
      </w:r>
      <w:r w:rsidRPr="00C67333">
        <w:rPr>
          <w:rFonts w:ascii="Times New Roman" w:hAnsi="Times New Roman" w:cs="Times New Roman"/>
          <w:sz w:val="28"/>
          <w:szCs w:val="28"/>
        </w:rPr>
        <w:t xml:space="preserve">s) nosaka pienākumu lielajiem </w:t>
      </w:r>
      <w:r w:rsidR="003A0754" w:rsidRPr="00C67333">
        <w:rPr>
          <w:rFonts w:ascii="Times New Roman" w:hAnsi="Times New Roman" w:cs="Times New Roman"/>
          <w:sz w:val="28"/>
          <w:szCs w:val="28"/>
        </w:rPr>
        <w:t>uzņēmumi</w:t>
      </w:r>
      <w:r w:rsidRPr="00C67333">
        <w:rPr>
          <w:rFonts w:ascii="Times New Roman" w:hAnsi="Times New Roman" w:cs="Times New Roman"/>
          <w:sz w:val="28"/>
          <w:szCs w:val="28"/>
        </w:rPr>
        <w:t>em</w:t>
      </w:r>
      <w:r w:rsidR="003A0754" w:rsidRPr="00C67333">
        <w:rPr>
          <w:rFonts w:ascii="Times New Roman" w:hAnsi="Times New Roman" w:cs="Times New Roman"/>
          <w:sz w:val="28"/>
          <w:szCs w:val="28"/>
        </w:rPr>
        <w:t xml:space="preserve"> regulāri vei</w:t>
      </w:r>
      <w:r w:rsidRPr="00C67333">
        <w:rPr>
          <w:rFonts w:ascii="Times New Roman" w:hAnsi="Times New Roman" w:cs="Times New Roman"/>
          <w:sz w:val="28"/>
          <w:szCs w:val="28"/>
        </w:rPr>
        <w:t>kt</w:t>
      </w:r>
      <w:r w:rsidR="003A0754" w:rsidRPr="00C67333">
        <w:rPr>
          <w:rFonts w:ascii="Times New Roman" w:hAnsi="Times New Roman" w:cs="Times New Roman"/>
          <w:sz w:val="28"/>
          <w:szCs w:val="28"/>
        </w:rPr>
        <w:t xml:space="preserve"> </w:t>
      </w:r>
      <w:proofErr w:type="spellStart"/>
      <w:r w:rsidR="003A0754" w:rsidRPr="00C67333">
        <w:rPr>
          <w:rFonts w:ascii="Times New Roman" w:hAnsi="Times New Roman" w:cs="Times New Roman"/>
          <w:sz w:val="28"/>
          <w:szCs w:val="28"/>
        </w:rPr>
        <w:t>energoauditu</w:t>
      </w:r>
      <w:proofErr w:type="spellEnd"/>
      <w:r w:rsidR="003A0754" w:rsidRPr="00C67333">
        <w:rPr>
          <w:rFonts w:ascii="Times New Roman" w:hAnsi="Times New Roman" w:cs="Times New Roman"/>
          <w:sz w:val="28"/>
          <w:szCs w:val="28"/>
        </w:rPr>
        <w:t xml:space="preserve"> un atbilstoši Likuma prasībām ievie</w:t>
      </w:r>
      <w:r w:rsidRPr="00C67333">
        <w:rPr>
          <w:rFonts w:ascii="Times New Roman" w:hAnsi="Times New Roman" w:cs="Times New Roman"/>
          <w:sz w:val="28"/>
          <w:szCs w:val="28"/>
        </w:rPr>
        <w:t>st</w:t>
      </w:r>
      <w:r w:rsidR="003A0754" w:rsidRPr="00C67333">
        <w:rPr>
          <w:rFonts w:ascii="Times New Roman" w:hAnsi="Times New Roman" w:cs="Times New Roman"/>
          <w:sz w:val="28"/>
          <w:szCs w:val="28"/>
        </w:rPr>
        <w:t xml:space="preserve"> vismaz trīs </w:t>
      </w:r>
      <w:proofErr w:type="spellStart"/>
      <w:r w:rsidR="003A0754" w:rsidRPr="00C67333">
        <w:rPr>
          <w:rFonts w:ascii="Times New Roman" w:hAnsi="Times New Roman" w:cs="Times New Roman"/>
          <w:sz w:val="28"/>
          <w:szCs w:val="28"/>
        </w:rPr>
        <w:t>energoauditā</w:t>
      </w:r>
      <w:proofErr w:type="spellEnd"/>
      <w:r w:rsidR="003A0754" w:rsidRPr="00C67333">
        <w:rPr>
          <w:rFonts w:ascii="Times New Roman" w:hAnsi="Times New Roman" w:cs="Times New Roman"/>
          <w:sz w:val="28"/>
          <w:szCs w:val="28"/>
        </w:rPr>
        <w:t xml:space="preserve"> vai </w:t>
      </w:r>
      <w:proofErr w:type="spellStart"/>
      <w:r w:rsidR="003A0754" w:rsidRPr="00C67333">
        <w:rPr>
          <w:rFonts w:ascii="Times New Roman" w:hAnsi="Times New Roman" w:cs="Times New Roman"/>
          <w:sz w:val="28"/>
          <w:szCs w:val="28"/>
        </w:rPr>
        <w:t>energopārvaldības</w:t>
      </w:r>
      <w:proofErr w:type="spellEnd"/>
      <w:r w:rsidR="003A0754" w:rsidRPr="00C67333">
        <w:rPr>
          <w:rFonts w:ascii="Times New Roman" w:hAnsi="Times New Roman" w:cs="Times New Roman"/>
          <w:sz w:val="28"/>
          <w:szCs w:val="28"/>
        </w:rPr>
        <w:t xml:space="preserve"> sistēmas ietvaros ierosinātos energoefektivitātes uzlabošanas pasākumus ar vislielāko novērtēto enerģijas ietaupījumu vai ekonomiska atdevi. Likumā noteiktās prasības pārsniedz minimālo prasību, kas noteikta Direktīvas 2012/27 / ES 8. pantā. Tāpēc </w:t>
      </w:r>
      <w:r w:rsidRPr="00C67333">
        <w:rPr>
          <w:rFonts w:ascii="Times New Roman" w:hAnsi="Times New Roman" w:cs="Times New Roman"/>
          <w:sz w:val="28"/>
          <w:szCs w:val="28"/>
        </w:rPr>
        <w:t>iepriekš minētos pasākumus</w:t>
      </w:r>
      <w:r w:rsidR="003A0754" w:rsidRPr="00C67333">
        <w:rPr>
          <w:rFonts w:ascii="Times New Roman" w:hAnsi="Times New Roman" w:cs="Times New Roman"/>
          <w:sz w:val="28"/>
          <w:szCs w:val="28"/>
        </w:rPr>
        <w:t>, uzskata par tād</w:t>
      </w:r>
      <w:r w:rsidRPr="00C67333">
        <w:rPr>
          <w:rFonts w:ascii="Times New Roman" w:hAnsi="Times New Roman" w:cs="Times New Roman"/>
          <w:sz w:val="28"/>
          <w:szCs w:val="28"/>
        </w:rPr>
        <w:t>iem,</w:t>
      </w:r>
      <w:r w:rsidR="003A0754" w:rsidRPr="00C67333">
        <w:rPr>
          <w:rFonts w:ascii="Times New Roman" w:hAnsi="Times New Roman" w:cs="Times New Roman"/>
          <w:sz w:val="28"/>
          <w:szCs w:val="28"/>
        </w:rPr>
        <w:t xml:space="preserve"> kas citādi nebūtu notikuši. Minētais attiecināms arī uz Likuma prasībām lielajiem elektroenerģijas patērētājiem (komersants, kura ikgadējais elektroenerģijas patēriņš pārsniedz 500 megavatstundas), kas var būt gan mazie un vidējie, gan lielie uzņēmumi.</w:t>
      </w:r>
    </w:p>
    <w:p w14:paraId="647D6482" w14:textId="77777777" w:rsidR="003A0754" w:rsidRPr="00C67333" w:rsidRDefault="003A0754" w:rsidP="007D362F">
      <w:pPr>
        <w:shd w:val="clear" w:color="auto" w:fill="FFFFFF"/>
        <w:spacing w:after="0" w:line="240" w:lineRule="auto"/>
        <w:ind w:right="-57"/>
        <w:jc w:val="both"/>
        <w:rPr>
          <w:rFonts w:ascii="Times New Roman" w:hAnsi="Times New Roman" w:cs="Times New Roman"/>
          <w:sz w:val="28"/>
          <w:szCs w:val="28"/>
        </w:rPr>
      </w:pPr>
    </w:p>
    <w:p w14:paraId="3985B701" w14:textId="704DDB0B" w:rsidR="003A0754" w:rsidRPr="00C67333" w:rsidRDefault="00895C28" w:rsidP="007D362F">
      <w:pPr>
        <w:spacing w:after="0" w:line="240" w:lineRule="auto"/>
        <w:ind w:right="-57"/>
        <w:jc w:val="both"/>
        <w:rPr>
          <w:rFonts w:ascii="Times New Roman" w:hAnsi="Times New Roman" w:cs="Times New Roman"/>
          <w:b/>
          <w:sz w:val="28"/>
          <w:szCs w:val="28"/>
        </w:rPr>
      </w:pPr>
      <w:r>
        <w:rPr>
          <w:rFonts w:ascii="Times New Roman" w:hAnsi="Times New Roman" w:cs="Times New Roman"/>
          <w:b/>
          <w:sz w:val="28"/>
          <w:szCs w:val="28"/>
        </w:rPr>
        <w:t>I</w:t>
      </w:r>
      <w:r w:rsidR="003A0754" w:rsidRPr="00C67333">
        <w:rPr>
          <w:rFonts w:ascii="Times New Roman" w:hAnsi="Times New Roman" w:cs="Times New Roman"/>
          <w:b/>
          <w:sz w:val="28"/>
          <w:szCs w:val="28"/>
        </w:rPr>
        <w:t>nformācija par pasākumu un atsevišķo darbību iespējamā</w:t>
      </w:r>
      <w:r w:rsidR="003C33AC" w:rsidRPr="00C67333">
        <w:rPr>
          <w:rFonts w:ascii="Times New Roman" w:hAnsi="Times New Roman" w:cs="Times New Roman"/>
          <w:b/>
          <w:sz w:val="28"/>
          <w:szCs w:val="28"/>
        </w:rPr>
        <w:t>s</w:t>
      </w:r>
      <w:r w:rsidR="003A0754" w:rsidRPr="00C67333">
        <w:rPr>
          <w:rFonts w:ascii="Times New Roman" w:hAnsi="Times New Roman" w:cs="Times New Roman"/>
          <w:b/>
          <w:sz w:val="28"/>
          <w:szCs w:val="28"/>
        </w:rPr>
        <w:t xml:space="preserve"> pārklāšanās</w:t>
      </w:r>
      <w:r w:rsidR="003C33AC" w:rsidRPr="00C67333">
        <w:rPr>
          <w:rFonts w:ascii="Times New Roman" w:hAnsi="Times New Roman" w:cs="Times New Roman"/>
          <w:b/>
          <w:sz w:val="28"/>
          <w:szCs w:val="28"/>
        </w:rPr>
        <w:t xml:space="preserve"> novēršanu</w:t>
      </w:r>
      <w:r w:rsidR="003A0754" w:rsidRPr="00C67333">
        <w:rPr>
          <w:rFonts w:ascii="Times New Roman" w:hAnsi="Times New Roman" w:cs="Times New Roman"/>
          <w:b/>
          <w:sz w:val="28"/>
          <w:szCs w:val="28"/>
        </w:rPr>
        <w:t>, lai izvairītos no enerģijas ietaupījuma dubultas uzskaites</w:t>
      </w:r>
    </w:p>
    <w:p w14:paraId="59CA6ACB" w14:textId="022313E0" w:rsidR="003A0754" w:rsidRPr="00C67333" w:rsidRDefault="003A0754" w:rsidP="007D362F">
      <w:pPr>
        <w:spacing w:after="0" w:line="240" w:lineRule="auto"/>
        <w:ind w:right="-57"/>
        <w:jc w:val="both"/>
        <w:rPr>
          <w:rFonts w:ascii="Times New Roman" w:hAnsi="Times New Roman" w:cs="Times New Roman"/>
          <w:sz w:val="28"/>
          <w:szCs w:val="28"/>
        </w:rPr>
      </w:pPr>
      <w:r w:rsidRPr="00C67333">
        <w:rPr>
          <w:rFonts w:ascii="Times New Roman" w:hAnsi="Times New Roman" w:cs="Times New Roman"/>
          <w:sz w:val="28"/>
          <w:szCs w:val="28"/>
        </w:rPr>
        <w:t>Lai novērstu pasākumu un at</w:t>
      </w:r>
      <w:r w:rsidR="00033AE1" w:rsidRPr="00C67333">
        <w:rPr>
          <w:rFonts w:ascii="Times New Roman" w:hAnsi="Times New Roman" w:cs="Times New Roman"/>
          <w:sz w:val="28"/>
          <w:szCs w:val="28"/>
        </w:rPr>
        <w:t>s</w:t>
      </w:r>
      <w:r w:rsidRPr="00C67333">
        <w:rPr>
          <w:rFonts w:ascii="Times New Roman" w:hAnsi="Times New Roman" w:cs="Times New Roman"/>
          <w:sz w:val="28"/>
          <w:szCs w:val="28"/>
        </w:rPr>
        <w:t>evišķo darbību pārklāšanos, kā arī izvairītos no enerģija ietaupījumu dubu</w:t>
      </w:r>
      <w:r w:rsidR="00033AE1" w:rsidRPr="00C67333">
        <w:rPr>
          <w:rFonts w:ascii="Times New Roman" w:hAnsi="Times New Roman" w:cs="Times New Roman"/>
          <w:sz w:val="28"/>
          <w:szCs w:val="28"/>
        </w:rPr>
        <w:t>l</w:t>
      </w:r>
      <w:r w:rsidRPr="00C67333">
        <w:rPr>
          <w:rFonts w:ascii="Times New Roman" w:hAnsi="Times New Roman" w:cs="Times New Roman"/>
          <w:sz w:val="28"/>
          <w:szCs w:val="28"/>
        </w:rPr>
        <w:t>tās uzskaites, MK noteikumos Nr.668 ir iekļauti vairāki nosacījumi:</w:t>
      </w:r>
    </w:p>
    <w:p w14:paraId="456FC7E3" w14:textId="77777777" w:rsidR="003A0754" w:rsidRPr="00C67333" w:rsidRDefault="003A0754" w:rsidP="007D362F">
      <w:pPr>
        <w:pStyle w:val="tv213"/>
        <w:spacing w:before="0" w:beforeAutospacing="0" w:after="0" w:afterAutospacing="0"/>
        <w:ind w:right="-57"/>
        <w:jc w:val="both"/>
        <w:rPr>
          <w:sz w:val="28"/>
          <w:szCs w:val="28"/>
        </w:rPr>
      </w:pPr>
      <w:r w:rsidRPr="00C67333">
        <w:rPr>
          <w:sz w:val="28"/>
          <w:szCs w:val="28"/>
        </w:rPr>
        <w:t>1) par enerģijas monitoringa sistēmas darbību atbildīgā iestāde katra energoefektivitātes uzlabošanas pasākuma ietaupījumu ieskaita vienu reizi;</w:t>
      </w:r>
    </w:p>
    <w:p w14:paraId="6C5416A5" w14:textId="77777777" w:rsidR="003A0754" w:rsidRPr="00C67333" w:rsidRDefault="003A0754" w:rsidP="007D362F">
      <w:pPr>
        <w:pStyle w:val="tv213"/>
        <w:spacing w:before="0" w:beforeAutospacing="0" w:after="0" w:afterAutospacing="0"/>
        <w:ind w:right="-57"/>
        <w:jc w:val="both"/>
        <w:rPr>
          <w:sz w:val="28"/>
          <w:szCs w:val="28"/>
        </w:rPr>
      </w:pPr>
      <w:r w:rsidRPr="00C67333">
        <w:rPr>
          <w:sz w:val="28"/>
          <w:szCs w:val="28"/>
        </w:rPr>
        <w:t>2) ja energoefektivitātes uzlabošanas pasākums, kā arī pasākums, kura īstenošana tiešā veidā nav vērsta uz energoefektivitātes uzlabošanu, tomēr sekmē to un līdztekus citiem mērķiem tiek iegūti enerģijas ietaupījumi, tiek īstenots, saņemot finansējumu no valsts vai pašvaldības budžeta, valsts vai pašvaldības galvojumus, kredītu procentu likmju subsidēšanu, kā arī citu finanšu palīdzību, kas piešķirta vai sniegta no valsts, pašvaldības vai Eiropas Savienības budžeta līdzekļiem un ārvalstu finanšu palīdzības līdzekļiem, tā ietaupījumu nevar ieskaitīt energoefektivitātes pienākuma shēmas atbildīgajai pusei, valsts vai pašvaldības energoefektivitātes fondam, kurā atbildīgā puse ir veikusi iemaksu;</w:t>
      </w:r>
    </w:p>
    <w:p w14:paraId="70F5A735" w14:textId="77777777" w:rsidR="003A0754" w:rsidRPr="00C67333" w:rsidRDefault="003A0754" w:rsidP="007D362F">
      <w:pPr>
        <w:pStyle w:val="tv213"/>
        <w:spacing w:before="0" w:beforeAutospacing="0" w:after="0" w:afterAutospacing="0"/>
        <w:ind w:right="-57"/>
        <w:jc w:val="both"/>
        <w:rPr>
          <w:sz w:val="28"/>
          <w:szCs w:val="28"/>
        </w:rPr>
      </w:pPr>
      <w:r w:rsidRPr="00C67333">
        <w:rPr>
          <w:sz w:val="28"/>
          <w:szCs w:val="28"/>
        </w:rPr>
        <w:t>3) ja energoefektivitātes pasākums tiek īstenots, izmantojot vairākus finansēšanas avotus, informācijas sniedzējs norāda, kādi finansēšanas avoti ir izmantoti un kā sasniegtie enerģijas ietaupījumi ir sadalīti;</w:t>
      </w:r>
    </w:p>
    <w:p w14:paraId="1B1C926B" w14:textId="77777777" w:rsidR="003A0754" w:rsidRPr="00C67333" w:rsidRDefault="003A0754" w:rsidP="007D362F">
      <w:pPr>
        <w:pStyle w:val="tv213"/>
        <w:spacing w:before="0" w:beforeAutospacing="0" w:after="0" w:afterAutospacing="0"/>
        <w:ind w:right="-57"/>
        <w:jc w:val="both"/>
        <w:rPr>
          <w:sz w:val="28"/>
          <w:szCs w:val="28"/>
        </w:rPr>
      </w:pPr>
      <w:r w:rsidRPr="00C67333">
        <w:rPr>
          <w:sz w:val="28"/>
          <w:szCs w:val="28"/>
        </w:rPr>
        <w:t>4) ietaupījumu no lielo uzņēmumu un lielo elektroenerģijas patērētāju paziņotajiem energoefektivitātes uzlabošanas pasākumiem nevar ieskaitīt energoefektivitātes pienākuma shēmas atbildīgajai pusei, valsts vai pašvaldības energoefektivitātes fondam, kurā atbildīgā puse ir veikusi iemaksu;</w:t>
      </w:r>
    </w:p>
    <w:p w14:paraId="3229D795" w14:textId="77777777" w:rsidR="003A0754" w:rsidRPr="00C67333" w:rsidRDefault="003A0754" w:rsidP="007D362F">
      <w:pPr>
        <w:pStyle w:val="tv213"/>
        <w:spacing w:before="0" w:beforeAutospacing="0" w:after="0" w:afterAutospacing="0"/>
        <w:ind w:right="-57"/>
        <w:jc w:val="both"/>
        <w:rPr>
          <w:sz w:val="28"/>
          <w:szCs w:val="28"/>
        </w:rPr>
      </w:pPr>
      <w:r w:rsidRPr="00C67333">
        <w:rPr>
          <w:sz w:val="28"/>
          <w:szCs w:val="28"/>
        </w:rPr>
        <w:t>5)ietaupījumu no energoefektivitātes uzlabošanas pasākuma, kurš ir finansēts no Eiropas Savienības fondiem, valsts vai pašvaldības budžeta, nevar ieskaitīt energoefektivitātes pienākuma shēmas atbildīgajai pusei.</w:t>
      </w:r>
    </w:p>
    <w:p w14:paraId="0595D9D0" w14:textId="77777777" w:rsidR="002170B8" w:rsidRPr="00C67333" w:rsidRDefault="002170B8" w:rsidP="007D362F">
      <w:pPr>
        <w:tabs>
          <w:tab w:val="center" w:pos="4153"/>
          <w:tab w:val="left" w:pos="4678"/>
          <w:tab w:val="right" w:pos="8306"/>
        </w:tabs>
        <w:spacing w:after="0" w:line="240" w:lineRule="auto"/>
        <w:ind w:right="-57"/>
        <w:jc w:val="both"/>
        <w:rPr>
          <w:rFonts w:ascii="Times New Roman" w:hAnsi="Times New Roman" w:cs="Times New Roman"/>
          <w:sz w:val="28"/>
          <w:szCs w:val="28"/>
        </w:rPr>
      </w:pPr>
    </w:p>
    <w:p w14:paraId="10F6E019" w14:textId="37B98881" w:rsidR="002170B8" w:rsidRPr="00C67333" w:rsidRDefault="003C33AC" w:rsidP="007D362F">
      <w:pPr>
        <w:shd w:val="clear" w:color="auto" w:fill="FFFFFF"/>
        <w:autoSpaceDE w:val="0"/>
        <w:autoSpaceDN w:val="0"/>
        <w:adjustRightInd w:val="0"/>
        <w:spacing w:after="0" w:line="240" w:lineRule="auto"/>
        <w:ind w:right="-57"/>
        <w:jc w:val="both"/>
        <w:rPr>
          <w:rFonts w:ascii="Times New Roman" w:eastAsia="Times New Roman" w:hAnsi="Times New Roman" w:cs="Times New Roman"/>
          <w:spacing w:val="-4"/>
          <w:sz w:val="28"/>
          <w:szCs w:val="28"/>
          <w:lang w:eastAsia="lv-LV"/>
        </w:rPr>
      </w:pPr>
      <w:r w:rsidRPr="00C67333">
        <w:rPr>
          <w:rFonts w:ascii="Times New Roman" w:hAnsi="Times New Roman" w:cs="Times New Roman"/>
          <w:sz w:val="28"/>
          <w:szCs w:val="28"/>
        </w:rPr>
        <w:lastRenderedPageBreak/>
        <w:t xml:space="preserve">Savukārt par energoefektivitātes monitoringu atbildīgā iestāde </w:t>
      </w:r>
      <w:r w:rsidR="002170B8" w:rsidRPr="00C67333">
        <w:rPr>
          <w:rFonts w:ascii="Times New Roman" w:hAnsi="Times New Roman" w:cs="Times New Roman"/>
          <w:sz w:val="28"/>
          <w:szCs w:val="28"/>
        </w:rPr>
        <w:t>pieņēmusi iekšējās kārtības noteikumus “</w:t>
      </w:r>
      <w:r w:rsidR="00033AE1" w:rsidRPr="00C67333">
        <w:rPr>
          <w:rFonts w:ascii="Times New Roman" w:hAnsi="Times New Roman" w:cs="Times New Roman"/>
          <w:noProof/>
          <w:sz w:val="28"/>
          <w:szCs w:val="28"/>
        </w:rPr>
        <w:t>Enerģijas ietaupījumu uzskaites kārtības noteikumi</w:t>
      </w:r>
      <w:r w:rsidR="002170B8" w:rsidRPr="00C67333">
        <w:rPr>
          <w:rFonts w:ascii="Times New Roman" w:hAnsi="Times New Roman" w:cs="Times New Roman"/>
          <w:noProof/>
          <w:sz w:val="28"/>
          <w:szCs w:val="28"/>
        </w:rPr>
        <w:t xml:space="preserve">”, kas ietver pienākumu par energoefektivitātes monitoringa sistēmu atbildīgajam darbiniekam pārbaudīt,  </w:t>
      </w:r>
      <w:r w:rsidR="002170B8" w:rsidRPr="00C67333">
        <w:rPr>
          <w:rFonts w:ascii="Times New Roman" w:hAnsi="Times New Roman" w:cs="Times New Roman"/>
          <w:spacing w:val="-4"/>
          <w:sz w:val="28"/>
          <w:szCs w:val="28"/>
          <w:lang w:eastAsia="lv-LV"/>
        </w:rPr>
        <w:t xml:space="preserve">vai atbilstoši MK noteikumu Nr.668 iesniegtajā pārskatā par ieviestajiem energoefektivitātes uzlabošanas pasākumiem, norādītajā objekta adresē par </w:t>
      </w:r>
      <w:r w:rsidR="002170B8" w:rsidRPr="00C67333">
        <w:rPr>
          <w:rFonts w:ascii="Times New Roman" w:hAnsi="Times New Roman" w:cs="Times New Roman"/>
          <w:sz w:val="28"/>
          <w:szCs w:val="28"/>
        </w:rPr>
        <w:t>pasākumā sasniegto</w:t>
      </w:r>
      <w:r w:rsidR="002170B8" w:rsidRPr="00C67333">
        <w:rPr>
          <w:rFonts w:ascii="Times New Roman" w:hAnsi="Times New Roman" w:cs="Times New Roman"/>
          <w:spacing w:val="-4"/>
          <w:sz w:val="28"/>
          <w:szCs w:val="28"/>
          <w:lang w:eastAsia="lv-LV"/>
        </w:rPr>
        <w:t xml:space="preserve"> ietaupījumu nav ziņojis cits informācijas sniedzējs.</w:t>
      </w:r>
    </w:p>
    <w:p w14:paraId="198AA39A" w14:textId="77777777" w:rsidR="002170B8" w:rsidRPr="00C67333" w:rsidRDefault="002170B8" w:rsidP="007D362F">
      <w:pPr>
        <w:tabs>
          <w:tab w:val="center" w:pos="4153"/>
          <w:tab w:val="left" w:pos="4678"/>
          <w:tab w:val="right" w:pos="8306"/>
        </w:tabs>
        <w:spacing w:after="0" w:line="240" w:lineRule="auto"/>
        <w:ind w:right="-57"/>
        <w:jc w:val="both"/>
        <w:rPr>
          <w:rFonts w:ascii="Times New Roman" w:hAnsi="Times New Roman" w:cs="Times New Roman"/>
          <w:sz w:val="28"/>
          <w:szCs w:val="28"/>
        </w:rPr>
      </w:pPr>
    </w:p>
    <w:p w14:paraId="71100DE1" w14:textId="77777777" w:rsidR="003A0754" w:rsidRPr="00C67333" w:rsidRDefault="003A0754" w:rsidP="007D362F">
      <w:pPr>
        <w:spacing w:after="0" w:line="240" w:lineRule="auto"/>
        <w:ind w:right="-57"/>
        <w:rPr>
          <w:rFonts w:ascii="Times New Roman" w:hAnsi="Times New Roman" w:cs="Times New Roman"/>
          <w:sz w:val="28"/>
          <w:szCs w:val="28"/>
        </w:rPr>
      </w:pPr>
    </w:p>
    <w:p w14:paraId="0FF15A77" w14:textId="77777777" w:rsidR="003A0754" w:rsidRPr="00C67333" w:rsidRDefault="003A0754" w:rsidP="007D362F">
      <w:pPr>
        <w:spacing w:after="0" w:line="240" w:lineRule="auto"/>
        <w:ind w:right="-57"/>
        <w:rPr>
          <w:rFonts w:ascii="Times New Roman" w:hAnsi="Times New Roman" w:cs="Times New Roman"/>
          <w:sz w:val="28"/>
          <w:szCs w:val="28"/>
        </w:rPr>
      </w:pPr>
    </w:p>
    <w:p w14:paraId="39284619" w14:textId="77777777" w:rsidR="003A0754" w:rsidRPr="00C67333" w:rsidRDefault="003A0754" w:rsidP="007D362F">
      <w:pPr>
        <w:spacing w:after="0" w:line="240" w:lineRule="auto"/>
        <w:ind w:right="-57"/>
        <w:rPr>
          <w:rFonts w:ascii="Times New Roman" w:hAnsi="Times New Roman" w:cs="Times New Roman"/>
          <w:sz w:val="28"/>
          <w:szCs w:val="28"/>
        </w:rPr>
      </w:pPr>
    </w:p>
    <w:p w14:paraId="53ACDE29" w14:textId="77777777" w:rsidR="003A0754" w:rsidRPr="00C67333" w:rsidRDefault="003A0754" w:rsidP="000E2960">
      <w:pPr>
        <w:rPr>
          <w:rFonts w:ascii="Times New Roman" w:hAnsi="Times New Roman" w:cs="Times New Roman"/>
          <w:sz w:val="28"/>
          <w:szCs w:val="28"/>
        </w:rPr>
      </w:pPr>
    </w:p>
    <w:sectPr w:rsidR="003A0754" w:rsidRPr="00C67333">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D7C823" w14:textId="77777777" w:rsidR="00343E7C" w:rsidRDefault="00343E7C" w:rsidP="008870C8">
      <w:pPr>
        <w:spacing w:after="0" w:line="240" w:lineRule="auto"/>
      </w:pPr>
      <w:r>
        <w:separator/>
      </w:r>
    </w:p>
  </w:endnote>
  <w:endnote w:type="continuationSeparator" w:id="0">
    <w:p w14:paraId="35B557A6" w14:textId="77777777" w:rsidR="00343E7C" w:rsidRDefault="00343E7C" w:rsidP="008870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D5B81" w14:textId="77777777" w:rsidR="00343E7C" w:rsidRDefault="00343E7C" w:rsidP="008870C8">
      <w:pPr>
        <w:spacing w:after="0" w:line="240" w:lineRule="auto"/>
      </w:pPr>
      <w:r>
        <w:separator/>
      </w:r>
    </w:p>
  </w:footnote>
  <w:footnote w:type="continuationSeparator" w:id="0">
    <w:p w14:paraId="31DA91B8" w14:textId="77777777" w:rsidR="00343E7C" w:rsidRDefault="00343E7C" w:rsidP="008870C8">
      <w:pPr>
        <w:spacing w:after="0" w:line="240" w:lineRule="auto"/>
      </w:pPr>
      <w:r>
        <w:continuationSeparator/>
      </w:r>
    </w:p>
  </w:footnote>
  <w:footnote w:id="1">
    <w:p w14:paraId="59F05667" w14:textId="77777777" w:rsidR="0019587E" w:rsidRDefault="0019587E" w:rsidP="0019587E">
      <w:pPr>
        <w:pStyle w:val="FootnoteText"/>
      </w:pPr>
      <w:r>
        <w:rPr>
          <w:rStyle w:val="FootnoteReference"/>
        </w:rPr>
        <w:footnoteRef/>
      </w:r>
      <w:r>
        <w:t xml:space="preserve"> </w:t>
      </w:r>
      <w:hyperlink r:id="rId1" w:history="1">
        <w:r>
          <w:rPr>
            <w:rStyle w:val="Hyperlink"/>
          </w:rPr>
          <w:t>https://www.em.gov.lv/files/energetika/Metodiskie%20noradijumi_17072017.pdf</w:t>
        </w:r>
      </w:hyperlink>
    </w:p>
  </w:footnote>
  <w:footnote w:id="2">
    <w:p w14:paraId="4BB1B78F" w14:textId="77777777" w:rsidR="00025B03" w:rsidRDefault="00025B03" w:rsidP="00025B03">
      <w:pPr>
        <w:pStyle w:val="FootnoteText"/>
      </w:pPr>
      <w:r>
        <w:rPr>
          <w:rStyle w:val="FootnoteReference"/>
        </w:rPr>
        <w:footnoteRef/>
      </w:r>
      <w:r>
        <w:t xml:space="preserve"> </w:t>
      </w:r>
      <w:r w:rsidRPr="00E46B8E">
        <w:t>https://www.em.gov.lv/files/energetika/Metodiskie_noradijumi.pdf</w:t>
      </w:r>
    </w:p>
  </w:footnote>
  <w:footnote w:id="3">
    <w:p w14:paraId="742FA47A" w14:textId="77777777" w:rsidR="0019587E" w:rsidRDefault="0019587E" w:rsidP="0019587E">
      <w:pPr>
        <w:pStyle w:val="FootnoteText"/>
      </w:pPr>
      <w:r>
        <w:rPr>
          <w:rStyle w:val="FootnoteReference"/>
        </w:rPr>
        <w:footnoteRef/>
      </w:r>
      <w:r>
        <w:t xml:space="preserve"> </w:t>
      </w:r>
      <w:hyperlink r:id="rId2" w:history="1">
        <w:r>
          <w:rPr>
            <w:rStyle w:val="Hyperlink"/>
          </w:rPr>
          <w:t>https://www.em.gov.lv/lv/nozares_politika/energoefektivitate_un_siltumapgade/energoefektivitate/energijas_ietaupijumu_katalogs/</w:t>
        </w:r>
      </w:hyperlink>
    </w:p>
  </w:footnote>
  <w:footnote w:id="4">
    <w:p w14:paraId="072DAD77" w14:textId="77777777" w:rsidR="00401396" w:rsidRPr="00971A9B" w:rsidRDefault="00401396" w:rsidP="00401396">
      <w:pPr>
        <w:pStyle w:val="FootnoteText"/>
        <w:rPr>
          <w:rFonts w:ascii="Times New Roman" w:hAnsi="Times New Roman"/>
          <w:sz w:val="16"/>
          <w:szCs w:val="16"/>
        </w:rPr>
      </w:pPr>
      <w:r w:rsidRPr="00B60543">
        <w:rPr>
          <w:rStyle w:val="FootnoteReference"/>
          <w:rFonts w:ascii="Times New Roman" w:hAnsi="Times New Roman"/>
        </w:rPr>
        <w:footnoteRef/>
      </w:r>
      <w:r w:rsidRPr="00B60543">
        <w:rPr>
          <w:rFonts w:ascii="Times New Roman" w:hAnsi="Times New Roman"/>
          <w:sz w:val="16"/>
          <w:szCs w:val="16"/>
        </w:rPr>
        <w:t xml:space="preserve"> </w:t>
      </w:r>
      <w:hyperlink r:id="rId3" w:history="1">
        <w:r w:rsidRPr="00B60543">
          <w:rPr>
            <w:rStyle w:val="Hyperlink"/>
            <w:rFonts w:ascii="Times New Roman" w:hAnsi="Times New Roman"/>
            <w:sz w:val="16"/>
            <w:szCs w:val="16"/>
          </w:rPr>
          <w:t>https://www.em.gov.lv/lv/nozares_politika/energoefektivitate_un_siltumapgade/energoefektivitate/energijas_ietaupijumu_katalogs/</w:t>
        </w:r>
      </w:hyperlink>
    </w:p>
  </w:footnote>
  <w:footnote w:id="5">
    <w:p w14:paraId="2BB36E38" w14:textId="77777777" w:rsidR="00256DE1" w:rsidRPr="00971A9B" w:rsidRDefault="00256DE1" w:rsidP="00256DE1">
      <w:pPr>
        <w:pStyle w:val="FootnoteText"/>
        <w:rPr>
          <w:rFonts w:ascii="Times New Roman" w:hAnsi="Times New Roman"/>
          <w:sz w:val="16"/>
          <w:szCs w:val="16"/>
        </w:rPr>
      </w:pPr>
      <w:r w:rsidRPr="00971A9B">
        <w:rPr>
          <w:rStyle w:val="FootnoteReference"/>
          <w:rFonts w:ascii="Times New Roman" w:hAnsi="Times New Roman"/>
        </w:rPr>
        <w:footnoteRef/>
      </w:r>
      <w:r w:rsidRPr="00971A9B">
        <w:rPr>
          <w:rFonts w:ascii="Times New Roman" w:hAnsi="Times New Roman"/>
          <w:sz w:val="16"/>
          <w:szCs w:val="16"/>
        </w:rPr>
        <w:t xml:space="preserve"> </w:t>
      </w:r>
      <w:r w:rsidRPr="00971A9B">
        <w:rPr>
          <w:rFonts w:ascii="Times New Roman" w:hAnsi="Times New Roman"/>
          <w:sz w:val="16"/>
          <w:szCs w:val="16"/>
        </w:rPr>
        <w:t>www.bis.gov.lv</w:t>
      </w:r>
    </w:p>
  </w:footnote>
  <w:footnote w:id="6">
    <w:p w14:paraId="2FB36319" w14:textId="02485860" w:rsidR="003D6CED" w:rsidRDefault="003D6CED">
      <w:pPr>
        <w:pStyle w:val="FootnoteText"/>
      </w:pPr>
      <w:r>
        <w:rPr>
          <w:rStyle w:val="FootnoteReference"/>
        </w:rPr>
        <w:footnoteRef/>
      </w:r>
      <w:r>
        <w:t xml:space="preserve"> </w:t>
      </w:r>
      <w:hyperlink r:id="rId4" w:history="1">
        <w:r>
          <w:rPr>
            <w:rStyle w:val="Hyperlink"/>
          </w:rPr>
          <w:t>https://www.latak.gov.lv/</w:t>
        </w:r>
      </w:hyperlink>
    </w:p>
  </w:footnote>
  <w:footnote w:id="7">
    <w:p w14:paraId="408531C8" w14:textId="7ADFE8BE" w:rsidR="005B490C" w:rsidRDefault="005B490C">
      <w:pPr>
        <w:pStyle w:val="FootnoteText"/>
      </w:pPr>
      <w:r>
        <w:rPr>
          <w:rStyle w:val="FootnoteReference"/>
        </w:rPr>
        <w:footnoteRef/>
      </w:r>
      <w:r>
        <w:t xml:space="preserve"> </w:t>
      </w:r>
      <w:hyperlink r:id="rId5" w:history="1">
        <w:r>
          <w:rPr>
            <w:rStyle w:val="Hyperlink"/>
          </w:rPr>
          <w:t>https://ec.europa.eu/energy/sites/ener/files/documents/c_2019_6621_-_act_com_recom_energy_savings.pdf</w:t>
        </w:r>
      </w:hyperlink>
    </w:p>
  </w:footnote>
  <w:footnote w:id="8">
    <w:p w14:paraId="41C010BF" w14:textId="591355D8" w:rsidR="00C06640" w:rsidRDefault="00C06640">
      <w:pPr>
        <w:pStyle w:val="FootnoteText"/>
      </w:pPr>
      <w:r>
        <w:rPr>
          <w:rStyle w:val="FootnoteReference"/>
        </w:rPr>
        <w:footnoteRef/>
      </w:r>
      <w:r>
        <w:t xml:space="preserve"> </w:t>
      </w:r>
      <w:hyperlink r:id="rId6" w:history="1">
        <w:r>
          <w:rPr>
            <w:rStyle w:val="Hyperlink"/>
          </w:rPr>
          <w:t>https://ec.europa.eu/energy/sites/ener/files/documents/c_2019_6621_-_annex_com_recom_energy_savings.pdf</w:t>
        </w:r>
      </w:hyperlink>
    </w:p>
  </w:footnote>
  <w:footnote w:id="9">
    <w:p w14:paraId="2C0D3FAC" w14:textId="3FAB7353" w:rsidR="00C06640" w:rsidRDefault="00C06640">
      <w:pPr>
        <w:pStyle w:val="FootnoteText"/>
      </w:pPr>
      <w:r>
        <w:rPr>
          <w:rStyle w:val="FootnoteReference"/>
        </w:rPr>
        <w:footnoteRef/>
      </w:r>
      <w:r>
        <w:t xml:space="preserve"> </w:t>
      </w:r>
      <w:hyperlink r:id="rId7" w:history="1">
        <w:r>
          <w:rPr>
            <w:rStyle w:val="Hyperlink"/>
          </w:rPr>
          <w:t>https://eur-lex.europa.eu/legal-content/LV/TXT/?uri=celex:02010L0031-20180709</w:t>
        </w:r>
      </w:hyperlink>
    </w:p>
  </w:footnote>
  <w:footnote w:id="10">
    <w:p w14:paraId="6266306D" w14:textId="77777777" w:rsidR="003A0754" w:rsidRDefault="003A0754" w:rsidP="003A0754">
      <w:pPr>
        <w:pStyle w:val="FootnoteText"/>
      </w:pPr>
      <w:r>
        <w:rPr>
          <w:rStyle w:val="FootnoteReference"/>
        </w:rPr>
        <w:footnoteRef/>
      </w:r>
      <w:r>
        <w:t xml:space="preserve"> </w:t>
      </w:r>
      <w:hyperlink r:id="rId8" w:history="1">
        <w:r>
          <w:rPr>
            <w:rStyle w:val="Hyperlink"/>
          </w:rPr>
          <w:t>https://www.em.gov.lv/lv/nozares_politika/energoefektivitate_un_siltumapgade/energoefektivitate/energijas_ietaupijumu_katalogs/</w:t>
        </w:r>
      </w:hyperlink>
    </w:p>
  </w:footnote>
  <w:footnote w:id="11">
    <w:p w14:paraId="055CA62F" w14:textId="77777777" w:rsidR="003A0754" w:rsidRDefault="003A0754" w:rsidP="003A0754">
      <w:pPr>
        <w:pStyle w:val="FootnoteText"/>
      </w:pPr>
      <w:r>
        <w:rPr>
          <w:rStyle w:val="FootnoteReference"/>
        </w:rPr>
        <w:footnoteRef/>
      </w:r>
      <w:r>
        <w:t xml:space="preserve"> </w:t>
      </w:r>
      <w:r w:rsidRPr="00E206C5">
        <w:t>https://likumi.lv/ta/id/301192</w:t>
      </w:r>
    </w:p>
  </w:footnote>
  <w:footnote w:id="12">
    <w:p w14:paraId="4E6011B8" w14:textId="77777777" w:rsidR="003A0754" w:rsidRDefault="003A0754" w:rsidP="003A0754">
      <w:pPr>
        <w:pStyle w:val="FootnoteText"/>
      </w:pPr>
      <w:r>
        <w:rPr>
          <w:rStyle w:val="FootnoteReference"/>
        </w:rPr>
        <w:footnoteRef/>
      </w:r>
      <w:r>
        <w:t xml:space="preserve"> </w:t>
      </w:r>
      <w:r w:rsidRPr="00BF4BC8">
        <w:t>https://likumi.lv/doc.php?id=258322</w:t>
      </w:r>
    </w:p>
  </w:footnote>
  <w:footnote w:id="13">
    <w:p w14:paraId="5694A5F8" w14:textId="77777777" w:rsidR="003A0754" w:rsidRDefault="003A0754" w:rsidP="003A0754">
      <w:pPr>
        <w:pStyle w:val="FootnoteText"/>
      </w:pPr>
      <w:r>
        <w:rPr>
          <w:rStyle w:val="FootnoteReference"/>
        </w:rPr>
        <w:footnoteRef/>
      </w:r>
      <w:r>
        <w:t xml:space="preserve"> </w:t>
      </w:r>
      <w:r w:rsidRPr="00E206C5">
        <w:t>https://likumi.lv/ta/id/258128</w:t>
      </w:r>
    </w:p>
  </w:footnote>
  <w:footnote w:id="14">
    <w:p w14:paraId="1FB00B0A" w14:textId="77777777" w:rsidR="003A0754" w:rsidRDefault="003A0754" w:rsidP="003A0754">
      <w:pPr>
        <w:pStyle w:val="FootnoteText"/>
      </w:pPr>
      <w:r>
        <w:rPr>
          <w:rStyle w:val="FootnoteReference"/>
        </w:rPr>
        <w:footnoteRef/>
      </w:r>
      <w:r>
        <w:t xml:space="preserve"> </w:t>
      </w:r>
      <w:hyperlink r:id="rId9" w:history="1">
        <w:r>
          <w:rPr>
            <w:rStyle w:val="Hyperlink"/>
          </w:rPr>
          <w:t>https://likumi.lv/doc.php?id=258322</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050926"/>
    <w:multiLevelType w:val="hybridMultilevel"/>
    <w:tmpl w:val="2B54A98E"/>
    <w:lvl w:ilvl="0" w:tplc="28E8BE26">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A573672"/>
    <w:multiLevelType w:val="hybridMultilevel"/>
    <w:tmpl w:val="BF825278"/>
    <w:lvl w:ilvl="0" w:tplc="04260001">
      <w:start w:val="1"/>
      <w:numFmt w:val="bullet"/>
      <w:lvlText w:val=""/>
      <w:lvlJc w:val="left"/>
      <w:pPr>
        <w:ind w:left="1320" w:hanging="360"/>
      </w:pPr>
      <w:rPr>
        <w:rFonts w:ascii="Symbol" w:hAnsi="Symbol" w:hint="default"/>
      </w:rPr>
    </w:lvl>
    <w:lvl w:ilvl="1" w:tplc="04260003" w:tentative="1">
      <w:start w:val="1"/>
      <w:numFmt w:val="bullet"/>
      <w:lvlText w:val="o"/>
      <w:lvlJc w:val="left"/>
      <w:pPr>
        <w:ind w:left="2040" w:hanging="360"/>
      </w:pPr>
      <w:rPr>
        <w:rFonts w:ascii="Courier New" w:hAnsi="Courier New" w:cs="Courier New" w:hint="default"/>
      </w:rPr>
    </w:lvl>
    <w:lvl w:ilvl="2" w:tplc="04260005" w:tentative="1">
      <w:start w:val="1"/>
      <w:numFmt w:val="bullet"/>
      <w:lvlText w:val=""/>
      <w:lvlJc w:val="left"/>
      <w:pPr>
        <w:ind w:left="2760" w:hanging="360"/>
      </w:pPr>
      <w:rPr>
        <w:rFonts w:ascii="Wingdings" w:hAnsi="Wingdings" w:hint="default"/>
      </w:rPr>
    </w:lvl>
    <w:lvl w:ilvl="3" w:tplc="04260001" w:tentative="1">
      <w:start w:val="1"/>
      <w:numFmt w:val="bullet"/>
      <w:lvlText w:val=""/>
      <w:lvlJc w:val="left"/>
      <w:pPr>
        <w:ind w:left="3480" w:hanging="360"/>
      </w:pPr>
      <w:rPr>
        <w:rFonts w:ascii="Symbol" w:hAnsi="Symbol" w:hint="default"/>
      </w:rPr>
    </w:lvl>
    <w:lvl w:ilvl="4" w:tplc="04260003" w:tentative="1">
      <w:start w:val="1"/>
      <w:numFmt w:val="bullet"/>
      <w:lvlText w:val="o"/>
      <w:lvlJc w:val="left"/>
      <w:pPr>
        <w:ind w:left="4200" w:hanging="360"/>
      </w:pPr>
      <w:rPr>
        <w:rFonts w:ascii="Courier New" w:hAnsi="Courier New" w:cs="Courier New" w:hint="default"/>
      </w:rPr>
    </w:lvl>
    <w:lvl w:ilvl="5" w:tplc="04260005" w:tentative="1">
      <w:start w:val="1"/>
      <w:numFmt w:val="bullet"/>
      <w:lvlText w:val=""/>
      <w:lvlJc w:val="left"/>
      <w:pPr>
        <w:ind w:left="4920" w:hanging="360"/>
      </w:pPr>
      <w:rPr>
        <w:rFonts w:ascii="Wingdings" w:hAnsi="Wingdings" w:hint="default"/>
      </w:rPr>
    </w:lvl>
    <w:lvl w:ilvl="6" w:tplc="04260001" w:tentative="1">
      <w:start w:val="1"/>
      <w:numFmt w:val="bullet"/>
      <w:lvlText w:val=""/>
      <w:lvlJc w:val="left"/>
      <w:pPr>
        <w:ind w:left="5640" w:hanging="360"/>
      </w:pPr>
      <w:rPr>
        <w:rFonts w:ascii="Symbol" w:hAnsi="Symbol" w:hint="default"/>
      </w:rPr>
    </w:lvl>
    <w:lvl w:ilvl="7" w:tplc="04260003" w:tentative="1">
      <w:start w:val="1"/>
      <w:numFmt w:val="bullet"/>
      <w:lvlText w:val="o"/>
      <w:lvlJc w:val="left"/>
      <w:pPr>
        <w:ind w:left="6360" w:hanging="360"/>
      </w:pPr>
      <w:rPr>
        <w:rFonts w:ascii="Courier New" w:hAnsi="Courier New" w:cs="Courier New" w:hint="default"/>
      </w:rPr>
    </w:lvl>
    <w:lvl w:ilvl="8" w:tplc="04260005" w:tentative="1">
      <w:start w:val="1"/>
      <w:numFmt w:val="bullet"/>
      <w:lvlText w:val=""/>
      <w:lvlJc w:val="left"/>
      <w:pPr>
        <w:ind w:left="7080" w:hanging="360"/>
      </w:pPr>
      <w:rPr>
        <w:rFonts w:ascii="Wingdings" w:hAnsi="Wingdings" w:hint="default"/>
      </w:rPr>
    </w:lvl>
  </w:abstractNum>
  <w:abstractNum w:abstractNumId="2" w15:restartNumberingAfterBreak="0">
    <w:nsid w:val="33F56DCD"/>
    <w:multiLevelType w:val="hybridMultilevel"/>
    <w:tmpl w:val="84368DEA"/>
    <w:lvl w:ilvl="0" w:tplc="04260001">
      <w:start w:val="1"/>
      <w:numFmt w:val="bullet"/>
      <w:lvlText w:val=""/>
      <w:lvlJc w:val="left"/>
      <w:pPr>
        <w:ind w:left="360" w:hanging="360"/>
      </w:pPr>
      <w:rPr>
        <w:rFonts w:ascii="Symbol" w:hAnsi="Symbol"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3" w15:restartNumberingAfterBreak="0">
    <w:nsid w:val="397324A1"/>
    <w:multiLevelType w:val="hybridMultilevel"/>
    <w:tmpl w:val="DA6628C4"/>
    <w:lvl w:ilvl="0" w:tplc="28E8BE26">
      <w:start w:val="1"/>
      <w:numFmt w:val="bullet"/>
      <w:lvlText w:val=""/>
      <w:lvlJc w:val="left"/>
      <w:pPr>
        <w:tabs>
          <w:tab w:val="num" w:pos="357"/>
        </w:tabs>
        <w:ind w:left="567" w:hanging="210"/>
      </w:pPr>
      <w:rPr>
        <w:rFonts w:ascii="Symbol" w:hAnsi="Symbol" w:hint="default"/>
        <w:color w:val="auto"/>
      </w:rPr>
    </w:lvl>
    <w:lvl w:ilvl="1" w:tplc="04260003" w:tentative="1">
      <w:start w:val="1"/>
      <w:numFmt w:val="bullet"/>
      <w:lvlText w:val="o"/>
      <w:lvlJc w:val="left"/>
      <w:pPr>
        <w:tabs>
          <w:tab w:val="num" w:pos="1440"/>
        </w:tabs>
        <w:ind w:left="1440" w:hanging="360"/>
      </w:pPr>
      <w:rPr>
        <w:rFonts w:ascii="Courier New" w:hAnsi="Courier New" w:cs="Courier New" w:hint="default"/>
      </w:rPr>
    </w:lvl>
    <w:lvl w:ilvl="2" w:tplc="04260005" w:tentative="1">
      <w:start w:val="1"/>
      <w:numFmt w:val="bullet"/>
      <w:lvlText w:val=""/>
      <w:lvlJc w:val="left"/>
      <w:pPr>
        <w:tabs>
          <w:tab w:val="num" w:pos="2160"/>
        </w:tabs>
        <w:ind w:left="2160" w:hanging="360"/>
      </w:pPr>
      <w:rPr>
        <w:rFonts w:ascii="Wingdings" w:hAnsi="Wingdings" w:hint="default"/>
      </w:rPr>
    </w:lvl>
    <w:lvl w:ilvl="3" w:tplc="04260001" w:tentative="1">
      <w:start w:val="1"/>
      <w:numFmt w:val="bullet"/>
      <w:lvlText w:val=""/>
      <w:lvlJc w:val="left"/>
      <w:pPr>
        <w:tabs>
          <w:tab w:val="num" w:pos="2880"/>
        </w:tabs>
        <w:ind w:left="2880" w:hanging="360"/>
      </w:pPr>
      <w:rPr>
        <w:rFonts w:ascii="Symbol" w:hAnsi="Symbol" w:hint="default"/>
      </w:rPr>
    </w:lvl>
    <w:lvl w:ilvl="4" w:tplc="04260003" w:tentative="1">
      <w:start w:val="1"/>
      <w:numFmt w:val="bullet"/>
      <w:lvlText w:val="o"/>
      <w:lvlJc w:val="left"/>
      <w:pPr>
        <w:tabs>
          <w:tab w:val="num" w:pos="3600"/>
        </w:tabs>
        <w:ind w:left="3600" w:hanging="360"/>
      </w:pPr>
      <w:rPr>
        <w:rFonts w:ascii="Courier New" w:hAnsi="Courier New" w:cs="Courier New" w:hint="default"/>
      </w:rPr>
    </w:lvl>
    <w:lvl w:ilvl="5" w:tplc="04260005" w:tentative="1">
      <w:start w:val="1"/>
      <w:numFmt w:val="bullet"/>
      <w:lvlText w:val=""/>
      <w:lvlJc w:val="left"/>
      <w:pPr>
        <w:tabs>
          <w:tab w:val="num" w:pos="4320"/>
        </w:tabs>
        <w:ind w:left="4320" w:hanging="360"/>
      </w:pPr>
      <w:rPr>
        <w:rFonts w:ascii="Wingdings" w:hAnsi="Wingdings" w:hint="default"/>
      </w:rPr>
    </w:lvl>
    <w:lvl w:ilvl="6" w:tplc="04260001" w:tentative="1">
      <w:start w:val="1"/>
      <w:numFmt w:val="bullet"/>
      <w:lvlText w:val=""/>
      <w:lvlJc w:val="left"/>
      <w:pPr>
        <w:tabs>
          <w:tab w:val="num" w:pos="5040"/>
        </w:tabs>
        <w:ind w:left="5040" w:hanging="360"/>
      </w:pPr>
      <w:rPr>
        <w:rFonts w:ascii="Symbol" w:hAnsi="Symbol" w:hint="default"/>
      </w:rPr>
    </w:lvl>
    <w:lvl w:ilvl="7" w:tplc="04260003" w:tentative="1">
      <w:start w:val="1"/>
      <w:numFmt w:val="bullet"/>
      <w:lvlText w:val="o"/>
      <w:lvlJc w:val="left"/>
      <w:pPr>
        <w:tabs>
          <w:tab w:val="num" w:pos="5760"/>
        </w:tabs>
        <w:ind w:left="5760" w:hanging="360"/>
      </w:pPr>
      <w:rPr>
        <w:rFonts w:ascii="Courier New" w:hAnsi="Courier New" w:cs="Courier New" w:hint="default"/>
      </w:rPr>
    </w:lvl>
    <w:lvl w:ilvl="8" w:tplc="0426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960"/>
    <w:rsid w:val="00011036"/>
    <w:rsid w:val="00016552"/>
    <w:rsid w:val="00025B03"/>
    <w:rsid w:val="00033AE1"/>
    <w:rsid w:val="00062570"/>
    <w:rsid w:val="000B446B"/>
    <w:rsid w:val="000B7629"/>
    <w:rsid w:val="000E2960"/>
    <w:rsid w:val="00131602"/>
    <w:rsid w:val="001527E6"/>
    <w:rsid w:val="00167653"/>
    <w:rsid w:val="001845B8"/>
    <w:rsid w:val="0019587E"/>
    <w:rsid w:val="002170B8"/>
    <w:rsid w:val="00222A05"/>
    <w:rsid w:val="00256234"/>
    <w:rsid w:val="00256DE1"/>
    <w:rsid w:val="002674A2"/>
    <w:rsid w:val="0029365E"/>
    <w:rsid w:val="002E7BD8"/>
    <w:rsid w:val="00301E7D"/>
    <w:rsid w:val="00326210"/>
    <w:rsid w:val="00343E7C"/>
    <w:rsid w:val="003960A1"/>
    <w:rsid w:val="003A0754"/>
    <w:rsid w:val="003C33AC"/>
    <w:rsid w:val="003D6CED"/>
    <w:rsid w:val="00401396"/>
    <w:rsid w:val="00411E73"/>
    <w:rsid w:val="0042414F"/>
    <w:rsid w:val="004A75DE"/>
    <w:rsid w:val="00507D7E"/>
    <w:rsid w:val="00516447"/>
    <w:rsid w:val="005178C8"/>
    <w:rsid w:val="005A4C81"/>
    <w:rsid w:val="005B490C"/>
    <w:rsid w:val="005B60E5"/>
    <w:rsid w:val="005D5DB9"/>
    <w:rsid w:val="00603CFA"/>
    <w:rsid w:val="00611349"/>
    <w:rsid w:val="00627DD4"/>
    <w:rsid w:val="00635D53"/>
    <w:rsid w:val="0072209E"/>
    <w:rsid w:val="0077478F"/>
    <w:rsid w:val="007942B0"/>
    <w:rsid w:val="007A2066"/>
    <w:rsid w:val="007C01C6"/>
    <w:rsid w:val="007D362F"/>
    <w:rsid w:val="007E2D05"/>
    <w:rsid w:val="008048C4"/>
    <w:rsid w:val="00804EFD"/>
    <w:rsid w:val="00815E65"/>
    <w:rsid w:val="00870C49"/>
    <w:rsid w:val="00874CD2"/>
    <w:rsid w:val="008870C8"/>
    <w:rsid w:val="00895C28"/>
    <w:rsid w:val="00935854"/>
    <w:rsid w:val="0095252F"/>
    <w:rsid w:val="00965357"/>
    <w:rsid w:val="00A309F2"/>
    <w:rsid w:val="00A5631F"/>
    <w:rsid w:val="00AB6B5B"/>
    <w:rsid w:val="00AC34CC"/>
    <w:rsid w:val="00AC7004"/>
    <w:rsid w:val="00B4028A"/>
    <w:rsid w:val="00C06640"/>
    <w:rsid w:val="00C07F8D"/>
    <w:rsid w:val="00C67333"/>
    <w:rsid w:val="00D079D3"/>
    <w:rsid w:val="00D3513D"/>
    <w:rsid w:val="00D40595"/>
    <w:rsid w:val="00D54ED2"/>
    <w:rsid w:val="00D76FCC"/>
    <w:rsid w:val="00DA43D3"/>
    <w:rsid w:val="00DC41AE"/>
    <w:rsid w:val="00E328C3"/>
    <w:rsid w:val="00E47FF1"/>
    <w:rsid w:val="00E644DC"/>
    <w:rsid w:val="00E73612"/>
    <w:rsid w:val="00EA453F"/>
    <w:rsid w:val="00F24831"/>
    <w:rsid w:val="00F617F3"/>
    <w:rsid w:val="00F6371C"/>
    <w:rsid w:val="00F66154"/>
    <w:rsid w:val="00F744CA"/>
    <w:rsid w:val="00FB216F"/>
    <w:rsid w:val="00FD216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4F00E"/>
  <w15:chartTrackingRefBased/>
  <w15:docId w15:val="{731A3EBA-A986-43D6-BB84-9A8B66B1D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2483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4831"/>
    <w:rPr>
      <w:rFonts w:ascii="Segoe UI" w:hAnsi="Segoe UI" w:cs="Segoe UI"/>
      <w:sz w:val="18"/>
      <w:szCs w:val="18"/>
    </w:rPr>
  </w:style>
  <w:style w:type="character" w:styleId="CommentReference">
    <w:name w:val="annotation reference"/>
    <w:basedOn w:val="DefaultParagraphFont"/>
    <w:uiPriority w:val="99"/>
    <w:semiHidden/>
    <w:unhideWhenUsed/>
    <w:rsid w:val="00131602"/>
    <w:rPr>
      <w:sz w:val="16"/>
      <w:szCs w:val="16"/>
    </w:rPr>
  </w:style>
  <w:style w:type="paragraph" w:styleId="CommentText">
    <w:name w:val="annotation text"/>
    <w:basedOn w:val="Normal"/>
    <w:link w:val="CommentTextChar"/>
    <w:uiPriority w:val="99"/>
    <w:semiHidden/>
    <w:unhideWhenUsed/>
    <w:rsid w:val="00131602"/>
    <w:pPr>
      <w:spacing w:line="240" w:lineRule="auto"/>
    </w:pPr>
    <w:rPr>
      <w:sz w:val="20"/>
      <w:szCs w:val="20"/>
    </w:rPr>
  </w:style>
  <w:style w:type="character" w:customStyle="1" w:styleId="CommentTextChar">
    <w:name w:val="Comment Text Char"/>
    <w:basedOn w:val="DefaultParagraphFont"/>
    <w:link w:val="CommentText"/>
    <w:uiPriority w:val="99"/>
    <w:semiHidden/>
    <w:rsid w:val="00131602"/>
    <w:rPr>
      <w:sz w:val="20"/>
      <w:szCs w:val="20"/>
    </w:rPr>
  </w:style>
  <w:style w:type="paragraph" w:styleId="CommentSubject">
    <w:name w:val="annotation subject"/>
    <w:basedOn w:val="CommentText"/>
    <w:next w:val="CommentText"/>
    <w:link w:val="CommentSubjectChar"/>
    <w:uiPriority w:val="99"/>
    <w:semiHidden/>
    <w:unhideWhenUsed/>
    <w:rsid w:val="00131602"/>
    <w:rPr>
      <w:b/>
      <w:bCs/>
    </w:rPr>
  </w:style>
  <w:style w:type="character" w:customStyle="1" w:styleId="CommentSubjectChar">
    <w:name w:val="Comment Subject Char"/>
    <w:basedOn w:val="CommentTextChar"/>
    <w:link w:val="CommentSubject"/>
    <w:uiPriority w:val="99"/>
    <w:semiHidden/>
    <w:rsid w:val="00131602"/>
    <w:rPr>
      <w:b/>
      <w:bCs/>
      <w:sz w:val="20"/>
      <w:szCs w:val="20"/>
    </w:rPr>
  </w:style>
  <w:style w:type="paragraph" w:styleId="FootnoteText">
    <w:name w:val="footnote text"/>
    <w:aliases w:val="-E Fußnotentext,footnote text,Fußnotentext Ursprung,(Diplomarbeit),(Diplomarbeit)1,(Diplomarbeit)2,(Diplomarbeit)3,(Diplomarbeit)4,(Diplomarbeit)5,(Diplomarbeit)6,(Diplomarbeit)7,(Diplomarbeit)8,(Diplomarbeit)9,Fußnote,Footnote,Fußn,Char"/>
    <w:basedOn w:val="Normal"/>
    <w:link w:val="FootnoteTextChar"/>
    <w:uiPriority w:val="99"/>
    <w:unhideWhenUsed/>
    <w:qFormat/>
    <w:rsid w:val="008870C8"/>
    <w:pPr>
      <w:spacing w:after="0" w:line="240" w:lineRule="auto"/>
    </w:pPr>
    <w:rPr>
      <w:sz w:val="20"/>
      <w:szCs w:val="20"/>
    </w:rPr>
  </w:style>
  <w:style w:type="character" w:customStyle="1" w:styleId="FootnoteTextChar">
    <w:name w:val="Footnote Text Char"/>
    <w:aliases w:val="-E Fußnotentext Char,footnote text Char,Fußnotentext Ursprung Char,(Diplomarbeit) Char,(Diplomarbeit)1 Char,(Diplomarbeit)2 Char,(Diplomarbeit)3 Char,(Diplomarbeit)4 Char,(Diplomarbeit)5 Char,(Diplomarbeit)6 Char,(Diplomarbeit)7 Char"/>
    <w:basedOn w:val="DefaultParagraphFont"/>
    <w:link w:val="FootnoteText"/>
    <w:uiPriority w:val="99"/>
    <w:rsid w:val="008870C8"/>
    <w:rPr>
      <w:sz w:val="20"/>
      <w:szCs w:val="20"/>
    </w:rPr>
  </w:style>
  <w:style w:type="character" w:styleId="FootnoteReference">
    <w:name w:val="footnote reference"/>
    <w:aliases w:val="-E Fußnotenzeichen,(Diplomarbeit FZ),(Diplomarbeit FZ)1,(Diplomarbeit FZ)2,(Diplomarbeit FZ)3,(Diplomarbeit FZ)4,(Diplomarbeit FZ)5,(Diplomarbeit FZ)6,(Diplomarbeit FZ)7,(Diplomarbeit FZ)8,(Diplomarbeit FZ)9,Footnote Reference Number"/>
    <w:basedOn w:val="DefaultParagraphFont"/>
    <w:link w:val="FootnoteRefernece"/>
    <w:uiPriority w:val="99"/>
    <w:unhideWhenUsed/>
    <w:qFormat/>
    <w:rsid w:val="008870C8"/>
    <w:rPr>
      <w:vertAlign w:val="superscript"/>
    </w:rPr>
  </w:style>
  <w:style w:type="character" w:styleId="Hyperlink">
    <w:name w:val="Hyperlink"/>
    <w:basedOn w:val="DefaultParagraphFont"/>
    <w:uiPriority w:val="99"/>
    <w:unhideWhenUsed/>
    <w:rsid w:val="008870C8"/>
    <w:rPr>
      <w:color w:val="0000FF"/>
      <w:u w:val="single"/>
    </w:rPr>
  </w:style>
  <w:style w:type="paragraph" w:customStyle="1" w:styleId="tv213">
    <w:name w:val="tv213"/>
    <w:basedOn w:val="Normal"/>
    <w:rsid w:val="00AC7004"/>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ListParagraph">
    <w:name w:val="List Paragraph"/>
    <w:aliases w:val="2,H&amp;P List Paragraph,List Paragraph1,Strip,Numbered Para 1,Dot pt,No Spacing1,List Paragraph Char Char Char,Indicator Text,Bullet Points,MAIN CONTENT,IFCL - List Paragraph,List Paragraph12,OBC Bullet,F5 List Paragraph,Bullet Styl,Bullet 1"/>
    <w:basedOn w:val="Normal"/>
    <w:link w:val="ListParagraphChar"/>
    <w:uiPriority w:val="34"/>
    <w:qFormat/>
    <w:rsid w:val="003A0754"/>
    <w:pPr>
      <w:ind w:left="720"/>
      <w:contextualSpacing/>
    </w:pPr>
  </w:style>
  <w:style w:type="paragraph" w:customStyle="1" w:styleId="Default">
    <w:name w:val="Default"/>
    <w:rsid w:val="003A0754"/>
    <w:pPr>
      <w:autoSpaceDE w:val="0"/>
      <w:autoSpaceDN w:val="0"/>
      <w:adjustRightInd w:val="0"/>
      <w:spacing w:after="0" w:line="240" w:lineRule="auto"/>
    </w:pPr>
    <w:rPr>
      <w:rFonts w:ascii="Times New Roman" w:hAnsi="Times New Roman" w:cs="Times New Roman"/>
      <w:color w:val="000000"/>
      <w:sz w:val="24"/>
      <w:szCs w:val="24"/>
    </w:rPr>
  </w:style>
  <w:style w:type="table" w:styleId="TableGrid">
    <w:name w:val="Table Grid"/>
    <w:basedOn w:val="TableNormal"/>
    <w:uiPriority w:val="59"/>
    <w:rsid w:val="003A07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3A0754"/>
  </w:style>
  <w:style w:type="character" w:styleId="UnresolvedMention">
    <w:name w:val="Unresolved Mention"/>
    <w:basedOn w:val="DefaultParagraphFont"/>
    <w:uiPriority w:val="99"/>
    <w:semiHidden/>
    <w:unhideWhenUsed/>
    <w:rsid w:val="00033AE1"/>
    <w:rPr>
      <w:color w:val="605E5C"/>
      <w:shd w:val="clear" w:color="auto" w:fill="E1DFDD"/>
    </w:rPr>
  </w:style>
  <w:style w:type="paragraph" w:customStyle="1" w:styleId="FootnoteRefernece">
    <w:name w:val="Footnote Refernece"/>
    <w:aliases w:val="ftref,Odwołanie przypisu,Footnotes refss,Ref,de nota al pie,E,E FNZ"/>
    <w:basedOn w:val="Normal"/>
    <w:next w:val="Normal"/>
    <w:link w:val="FootnoteReference"/>
    <w:uiPriority w:val="99"/>
    <w:rsid w:val="00326210"/>
    <w:pPr>
      <w:spacing w:line="240" w:lineRule="exact"/>
      <w:jc w:val="both"/>
    </w:pPr>
    <w:rPr>
      <w:vertAlign w:val="superscript"/>
    </w:rPr>
  </w:style>
  <w:style w:type="paragraph" w:styleId="Revision">
    <w:name w:val="Revision"/>
    <w:hidden/>
    <w:uiPriority w:val="99"/>
    <w:semiHidden/>
    <w:rsid w:val="005A4C81"/>
    <w:pPr>
      <w:spacing w:after="0" w:line="240" w:lineRule="auto"/>
    </w:pPr>
  </w:style>
  <w:style w:type="character" w:customStyle="1" w:styleId="ListParagraphChar">
    <w:name w:val="List Paragraph Char"/>
    <w:aliases w:val="2 Char,H&amp;P List Paragraph Char,List Paragraph1 Char,Strip Char,Numbered Para 1 Char,Dot pt Char,No Spacing1 Char,List Paragraph Char Char Char Char,Indicator Text Char,Bullet Points Char,MAIN CONTENT Char,IFCL - List Paragraph Char"/>
    <w:link w:val="ListParagraph"/>
    <w:uiPriority w:val="34"/>
    <w:qFormat/>
    <w:locked/>
    <w:rsid w:val="004013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4055657">
      <w:bodyDiv w:val="1"/>
      <w:marLeft w:val="0"/>
      <w:marRight w:val="0"/>
      <w:marTop w:val="0"/>
      <w:marBottom w:val="0"/>
      <w:divBdr>
        <w:top w:val="none" w:sz="0" w:space="0" w:color="auto"/>
        <w:left w:val="none" w:sz="0" w:space="0" w:color="auto"/>
        <w:bottom w:val="none" w:sz="0" w:space="0" w:color="auto"/>
        <w:right w:val="none" w:sz="0" w:space="0" w:color="auto"/>
      </w:divBdr>
    </w:div>
    <w:div w:id="1466971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em.gov.lv/lv/nozares_politika/energoefektivitate_un_siltumapgade/energoefektivitate/energijas_ietaupijumu_katalogs/" TargetMode="External"/><Relationship Id="rId3" Type="http://schemas.openxmlformats.org/officeDocument/2006/relationships/hyperlink" Target="https://www.em.gov.lv/lv/nozares_politika/energoefektivitate_un_siltumapgade/energoefektivitate/energijas_ietaupijumu_katalogs/" TargetMode="External"/><Relationship Id="rId7" Type="http://schemas.openxmlformats.org/officeDocument/2006/relationships/hyperlink" Target="https://eur-lex.europa.eu/legal-content/LV/TXT/?uri=celex:02010L0031-20180709" TargetMode="External"/><Relationship Id="rId2" Type="http://schemas.openxmlformats.org/officeDocument/2006/relationships/hyperlink" Target="https://www.em.gov.lv/lv/nozares_politika/energoefektivitate_un_siltumapgade/energoefektivitate/energijas_ietaupijumu_katalogs/" TargetMode="External"/><Relationship Id="rId1" Type="http://schemas.openxmlformats.org/officeDocument/2006/relationships/hyperlink" Target="https://www.em.gov.lv/files/energetika/Metodiskie%20noradijumi_17072017.pdf" TargetMode="External"/><Relationship Id="rId6" Type="http://schemas.openxmlformats.org/officeDocument/2006/relationships/hyperlink" Target="https://ec.europa.eu/energy/sites/ener/files/documents/c_2019_6621_-_annex_com_recom_energy_savings.pdf" TargetMode="External"/><Relationship Id="rId5" Type="http://schemas.openxmlformats.org/officeDocument/2006/relationships/hyperlink" Target="https://ec.europa.eu/energy/sites/ener/files/documents/c_2019_6621_-_act_com_recom_energy_savings.pdf" TargetMode="External"/><Relationship Id="rId4" Type="http://schemas.openxmlformats.org/officeDocument/2006/relationships/hyperlink" Target="https://www.latak.gov.lv/" TargetMode="External"/><Relationship Id="rId9" Type="http://schemas.openxmlformats.org/officeDocument/2006/relationships/hyperlink" Target="https://likumi.lv/doc.php?id=25832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5C9D20-2C3F-4EE1-9901-17AF91FFB0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8575</Words>
  <Characters>4889</Characters>
  <Application>Microsoft Office Word</Application>
  <DocSecurity>0</DocSecurity>
  <Lines>40</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Ozoliņa</dc:creator>
  <cp:keywords/>
  <dc:description/>
  <cp:lastModifiedBy>Inguna Ozoliņa</cp:lastModifiedBy>
  <cp:revision>3</cp:revision>
  <cp:lastPrinted>2019-10-08T10:59:00Z</cp:lastPrinted>
  <dcterms:created xsi:type="dcterms:W3CDTF">2019-12-13T14:13:00Z</dcterms:created>
  <dcterms:modified xsi:type="dcterms:W3CDTF">2019-12-13T14:18:00Z</dcterms:modified>
</cp:coreProperties>
</file>