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DD0C" w14:textId="77777777" w:rsidR="0030119C" w:rsidRPr="0030119C" w:rsidRDefault="0030119C" w:rsidP="0030119C">
      <w:pPr>
        <w:pStyle w:val="VirsrkastsOtrais"/>
        <w:numPr>
          <w:ilvl w:val="0"/>
          <w:numId w:val="0"/>
        </w:numPr>
        <w:spacing w:before="120" w:after="120"/>
        <w:ind w:left="142"/>
        <w:contextualSpacing w:val="0"/>
        <w:jc w:val="right"/>
        <w:rPr>
          <w:rFonts w:asciiTheme="minorHAnsi" w:hAnsiTheme="minorHAnsi" w:cstheme="minorHAnsi"/>
        </w:rPr>
      </w:pPr>
      <w:r w:rsidRPr="0030119C">
        <w:rPr>
          <w:rFonts w:asciiTheme="minorHAnsi" w:hAnsiTheme="minorHAnsi" w:cstheme="minorHAnsi"/>
        </w:rPr>
        <w:t>Latvijas Nacionālais enerģētikas un klimata plāns 2030. gadam </w:t>
      </w:r>
    </w:p>
    <w:p w14:paraId="54E3D965" w14:textId="77777777" w:rsidR="0030119C" w:rsidRPr="0030119C" w:rsidRDefault="0030119C" w:rsidP="0030119C">
      <w:pPr>
        <w:pStyle w:val="Heading1"/>
        <w:numPr>
          <w:ilvl w:val="0"/>
          <w:numId w:val="0"/>
        </w:numPr>
        <w:ind w:left="709"/>
        <w:jc w:val="right"/>
        <w:rPr>
          <w:rFonts w:asciiTheme="minorHAnsi" w:hAnsiTheme="minorHAnsi" w:cstheme="minorHAnsi"/>
        </w:rPr>
      </w:pPr>
      <w:bookmarkStart w:id="0" w:name="_Toc532910027"/>
      <w:r w:rsidRPr="0030119C">
        <w:rPr>
          <w:rFonts w:asciiTheme="minorHAnsi" w:hAnsiTheme="minorHAnsi" w:cstheme="minorHAnsi"/>
        </w:rPr>
        <w:t>2.pielikums</w:t>
      </w:r>
      <w:bookmarkEnd w:id="0"/>
      <w:r w:rsidRPr="0030119C">
        <w:rPr>
          <w:rFonts w:asciiTheme="minorHAnsi" w:hAnsiTheme="minorHAnsi" w:cstheme="minorHAnsi"/>
        </w:rPr>
        <w:t> </w:t>
      </w:r>
    </w:p>
    <w:p w14:paraId="4417CED5" w14:textId="77777777" w:rsidR="0030119C" w:rsidRPr="0030119C" w:rsidRDefault="0030119C" w:rsidP="0030119C">
      <w:pPr>
        <w:pStyle w:val="Heading1"/>
        <w:numPr>
          <w:ilvl w:val="0"/>
          <w:numId w:val="0"/>
        </w:numPr>
        <w:ind w:left="709"/>
        <w:jc w:val="center"/>
        <w:rPr>
          <w:rFonts w:asciiTheme="minorHAnsi" w:eastAsia="Calibri" w:hAnsiTheme="minorHAnsi" w:cstheme="minorHAnsi"/>
          <w:noProof/>
          <w:szCs w:val="28"/>
          <w:lang w:eastAsia="lv-LV" w:bidi="lv-LV"/>
        </w:rPr>
      </w:pPr>
      <w:bookmarkStart w:id="1" w:name="_Toc532910028"/>
      <w:bookmarkStart w:id="2" w:name="_Hlk529787106"/>
      <w:r w:rsidRPr="0030119C">
        <w:rPr>
          <w:rFonts w:asciiTheme="minorHAnsi" w:eastAsia="Calibri" w:hAnsiTheme="minorHAnsi" w:cstheme="minorHAnsi"/>
          <w:noProof/>
          <w:szCs w:val="28"/>
          <w:lang w:eastAsia="lv-LV" w:bidi="lv-LV"/>
        </w:rPr>
        <w:t>Indikatīvā ERAF un KF sasaiste ar Plānu</w:t>
      </w:r>
      <w:bookmarkEnd w:id="1"/>
    </w:p>
    <w:bookmarkEnd w:id="2"/>
    <w:p w14:paraId="6066A4BB" w14:textId="1B97AFB3" w:rsidR="0030119C" w:rsidRPr="0030119C" w:rsidRDefault="0030119C" w:rsidP="0030119C">
      <w:pPr>
        <w:spacing w:before="120" w:after="120" w:line="240" w:lineRule="auto"/>
        <w:ind w:right="-309"/>
        <w:jc w:val="center"/>
        <w:rPr>
          <w:rFonts w:eastAsia="Calibri" w:cstheme="minorHAnsi"/>
          <w:b/>
          <w:bCs/>
          <w:noProof/>
          <w:sz w:val="28"/>
          <w:szCs w:val="28"/>
          <w:vertAlign w:val="superscript"/>
          <w:lang w:eastAsia="lv-LV" w:bidi="lv-LV"/>
        </w:rPr>
      </w:pPr>
      <w:r w:rsidRPr="0030119C">
        <w:rPr>
          <w:rFonts w:eastAsia="Calibri" w:cstheme="minorHAnsi"/>
          <w:b/>
          <w:noProof/>
          <w:sz w:val="28"/>
          <w:szCs w:val="28"/>
          <w:lang w:eastAsia="lv-LV" w:bidi="lv-LV"/>
        </w:rPr>
        <w:t>1.tabula. Indikatīvā informācija par kopīgo ERAF un Kohēzijas fonda rezultātu rādītāju atbilstību Plāna rādītājiem</w:t>
      </w:r>
      <w:r w:rsidR="004F1052" w:rsidRPr="00EB1A84">
        <w:rPr>
          <w:rFonts w:eastAsia="Calibri" w:cstheme="minorHAnsi"/>
          <w:b/>
          <w:noProof/>
          <w:color w:val="000000"/>
          <w:sz w:val="22"/>
          <w:vertAlign w:val="superscript"/>
          <w:lang w:eastAsia="lv-LV" w:bidi="lv-LV"/>
        </w:rPr>
        <w:footnoteReference w:id="1"/>
      </w:r>
    </w:p>
    <w:tbl>
      <w:tblPr>
        <w:tblW w:w="14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237"/>
        <w:gridCol w:w="6486"/>
      </w:tblGrid>
      <w:tr w:rsidR="0030119C" w:rsidRPr="0050401D" w14:paraId="29576748" w14:textId="77777777" w:rsidTr="00461EED">
        <w:trPr>
          <w:trHeight w:val="186"/>
          <w:tblHeader/>
        </w:trPr>
        <w:tc>
          <w:tcPr>
            <w:tcW w:w="1745" w:type="dxa"/>
            <w:shd w:val="clear" w:color="auto" w:fill="F2F2F2"/>
            <w:vAlign w:val="center"/>
            <w:hideMark/>
          </w:tcPr>
          <w:p w14:paraId="5CCA9497" w14:textId="77777777" w:rsidR="0030119C" w:rsidRPr="00461EED" w:rsidRDefault="0030119C" w:rsidP="000165BF">
            <w:pPr>
              <w:spacing w:after="0" w:line="240" w:lineRule="auto"/>
              <w:jc w:val="center"/>
              <w:rPr>
                <w:rFonts w:eastAsia="Times New Roman" w:cstheme="minorHAnsi"/>
                <w:b/>
                <w:bCs/>
                <w:noProof/>
                <w:color w:val="000000"/>
                <w:sz w:val="22"/>
                <w:lang w:eastAsia="lv-LV" w:bidi="lv-LV"/>
              </w:rPr>
            </w:pPr>
            <w:bookmarkStart w:id="3" w:name="_Hlk527912224"/>
            <w:r w:rsidRPr="00461EED">
              <w:rPr>
                <w:rFonts w:eastAsia="Calibri" w:cstheme="minorHAnsi"/>
                <w:b/>
                <w:noProof/>
                <w:color w:val="000000"/>
                <w:sz w:val="22"/>
                <w:lang w:eastAsia="lv-LV" w:bidi="lv-LV"/>
              </w:rPr>
              <w:t>Politikas mērķis</w:t>
            </w:r>
          </w:p>
        </w:tc>
        <w:tc>
          <w:tcPr>
            <w:tcW w:w="6237" w:type="dxa"/>
            <w:shd w:val="clear" w:color="auto" w:fill="F2F2F2"/>
            <w:vAlign w:val="center"/>
            <w:hideMark/>
          </w:tcPr>
          <w:p w14:paraId="62B34BF4" w14:textId="6F3CA44D" w:rsidR="0030119C" w:rsidRPr="00461EED" w:rsidRDefault="0030119C" w:rsidP="000165BF">
            <w:pPr>
              <w:spacing w:after="0" w:line="240" w:lineRule="auto"/>
              <w:jc w:val="center"/>
              <w:rPr>
                <w:rFonts w:eastAsia="Times New Roman" w:cstheme="minorHAnsi"/>
                <w:b/>
                <w:bCs/>
                <w:noProof/>
                <w:color w:val="000000"/>
                <w:sz w:val="22"/>
                <w:lang w:eastAsia="lv-LV" w:bidi="lv-LV"/>
              </w:rPr>
            </w:pPr>
            <w:r w:rsidRPr="00461EED">
              <w:rPr>
                <w:rFonts w:eastAsia="Calibri" w:cstheme="minorHAnsi"/>
                <w:b/>
                <w:noProof/>
                <w:color w:val="000000"/>
                <w:sz w:val="22"/>
                <w:lang w:eastAsia="lv-LV" w:bidi="lv-LV"/>
              </w:rPr>
              <w:t>EFAF un KF fondu rezultāti</w:t>
            </w:r>
          </w:p>
        </w:tc>
        <w:tc>
          <w:tcPr>
            <w:tcW w:w="6486" w:type="dxa"/>
            <w:shd w:val="clear" w:color="auto" w:fill="F2F2F2"/>
            <w:vAlign w:val="center"/>
            <w:hideMark/>
          </w:tcPr>
          <w:p w14:paraId="1375CD73" w14:textId="77777777" w:rsidR="0030119C" w:rsidRPr="00461EED" w:rsidRDefault="0030119C" w:rsidP="000165BF">
            <w:pPr>
              <w:spacing w:after="0" w:line="240" w:lineRule="auto"/>
              <w:jc w:val="center"/>
              <w:rPr>
                <w:rFonts w:eastAsia="Calibri" w:cstheme="minorHAnsi"/>
                <w:b/>
                <w:noProof/>
                <w:color w:val="000000"/>
                <w:sz w:val="22"/>
                <w:lang w:eastAsia="lv-LV" w:bidi="lv-LV"/>
              </w:rPr>
            </w:pPr>
            <w:r w:rsidRPr="00461EED">
              <w:rPr>
                <w:rFonts w:eastAsia="Calibri" w:cstheme="minorHAnsi"/>
                <w:b/>
                <w:noProof/>
                <w:color w:val="000000"/>
                <w:sz w:val="22"/>
                <w:lang w:eastAsia="lv-LV" w:bidi="lv-LV"/>
              </w:rPr>
              <w:t>Plāna rezultāti</w:t>
            </w:r>
            <w:r w:rsidRPr="00461EED">
              <w:rPr>
                <w:rStyle w:val="FootnoteReference"/>
                <w:rFonts w:eastAsia="Calibri" w:cstheme="minorHAnsi"/>
                <w:b/>
                <w:noProof/>
                <w:color w:val="000000"/>
                <w:sz w:val="22"/>
                <w:lang w:eastAsia="lv-LV" w:bidi="lv-LV"/>
              </w:rPr>
              <w:footnoteReference w:id="2"/>
            </w:r>
          </w:p>
        </w:tc>
      </w:tr>
      <w:tr w:rsidR="004F1052" w:rsidRPr="0050401D" w14:paraId="1960C284" w14:textId="77777777" w:rsidTr="00461EED">
        <w:trPr>
          <w:trHeight w:val="2091"/>
        </w:trPr>
        <w:tc>
          <w:tcPr>
            <w:tcW w:w="1745" w:type="dxa"/>
            <w:vMerge w:val="restart"/>
            <w:vAlign w:val="center"/>
            <w:hideMark/>
          </w:tcPr>
          <w:p w14:paraId="1921F8F8" w14:textId="77777777" w:rsidR="004F1052" w:rsidRPr="0050401D" w:rsidRDefault="004F1052"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t>1. Viedāka Eiropa, veicinot inovatīvas un viedas ekonomiskās pārmaiņas</w:t>
            </w:r>
          </w:p>
        </w:tc>
        <w:tc>
          <w:tcPr>
            <w:tcW w:w="6237" w:type="dxa"/>
            <w:vAlign w:val="center"/>
            <w:hideMark/>
          </w:tcPr>
          <w:p w14:paraId="5EAB54BB" w14:textId="77777777" w:rsidR="004F1052" w:rsidRPr="0050401D" w:rsidRDefault="004F1052"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RKR</w:t>
            </w:r>
            <w:r w:rsidRPr="0050401D">
              <w:rPr>
                <w:rFonts w:eastAsia="Calibri" w:cstheme="minorHAnsi"/>
                <w:noProof/>
                <w:color w:val="000000"/>
                <w:sz w:val="22"/>
                <w:vertAlign w:val="superscript"/>
                <w:lang w:eastAsia="lv-LV" w:bidi="lv-LV"/>
              </w:rPr>
              <w:footnoteReference w:id="3"/>
            </w:r>
            <w:r w:rsidRPr="0050401D">
              <w:rPr>
                <w:rFonts w:eastAsia="Calibri" w:cstheme="minorHAnsi"/>
                <w:noProof/>
                <w:color w:val="000000"/>
                <w:sz w:val="22"/>
                <w:lang w:eastAsia="lv-LV" w:bidi="lv-LV"/>
              </w:rPr>
              <w:t>01 – Atbalstītajās struktūrās izveidotās darbvietas</w:t>
            </w:r>
          </w:p>
          <w:p w14:paraId="47590455" w14:textId="04781A48"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102</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02 – Publisko atbalstu papildinošās privātās investīcijas (tai skaitā: dotācijas, finanšu instrumenti)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03 – MVU, kas ievieš produktu vai procesu inovāciju</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04 – MVU, kas ievieš tirgvedības vai organizatorisku inovāciju</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05 – MVU, kas inovē sava uzņēmuma iekšienē</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06 – Eiropas Patentu birojam iesniegtie patentu pieteikumi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07 – Preču zīmju un dizainparaugu pieteikumi </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08 – Publiskā un privātā sektora koppublikācijas</w:t>
            </w:r>
          </w:p>
        </w:tc>
        <w:tc>
          <w:tcPr>
            <w:tcW w:w="6486" w:type="dxa"/>
            <w:vMerge w:val="restart"/>
            <w:hideMark/>
          </w:tcPr>
          <w:p w14:paraId="3D07FA3C"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Inovatīvu produktu apgrozījums</w:t>
            </w:r>
          </w:p>
          <w:p w14:paraId="7617A2F7"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Inovatīvu uzņēmumu īpatsvars</w:t>
            </w:r>
          </w:p>
          <w:p w14:paraId="03D3CF67"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Augsto tehnoloģiju nozaru eksporta īpatsvars</w:t>
            </w:r>
          </w:p>
          <w:p w14:paraId="6FC844A8"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Reģistrēto intelektuālā īpašuma vienību skaitsun ieņēmumi no tiem</w:t>
            </w:r>
          </w:p>
          <w:p w14:paraId="70FEE19B"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Zinātnē nodarbināto skaits</w:t>
            </w:r>
          </w:p>
          <w:p w14:paraId="7D21EBD2"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Pētniecībā un inovācijā ieguldītais un piesaistītais ārvalstu finansējums</w:t>
            </w:r>
          </w:p>
        </w:tc>
      </w:tr>
      <w:tr w:rsidR="004F1052" w:rsidRPr="0050401D" w14:paraId="1138AF74" w14:textId="77777777" w:rsidTr="00461EED">
        <w:trPr>
          <w:trHeight w:val="1030"/>
        </w:trPr>
        <w:tc>
          <w:tcPr>
            <w:tcW w:w="1745" w:type="dxa"/>
            <w:vMerge/>
            <w:vAlign w:val="center"/>
            <w:hideMark/>
          </w:tcPr>
          <w:p w14:paraId="3012F2BC" w14:textId="77777777" w:rsidR="004F1052" w:rsidRPr="0050401D" w:rsidRDefault="004F1052"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61F6D349" w14:textId="0E94FCD3"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11 – Jaunu publisko digitālo pakalpojumu un lietotņu lietotāji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12 – Uzņēmumu izstrādāto jauno digitālo produktu, pakalpojumu un lietotņu lietotāji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13 – Uzņēmumi, kas panākuši augstu digitālo intensitāti</w:t>
            </w:r>
            <w:r w:rsidRPr="0050401D">
              <w:rPr>
                <w:rFonts w:eastAsia="Times New Roman" w:cstheme="minorHAnsi"/>
                <w:noProof/>
                <w:color w:val="000000"/>
                <w:sz w:val="22"/>
                <w:lang w:eastAsia="lv-LV" w:bidi="lv-LV"/>
              </w:rPr>
              <w:br/>
            </w:r>
          </w:p>
        </w:tc>
        <w:tc>
          <w:tcPr>
            <w:tcW w:w="6486" w:type="dxa"/>
            <w:vMerge/>
            <w:vAlign w:val="center"/>
            <w:hideMark/>
          </w:tcPr>
          <w:p w14:paraId="5514922D" w14:textId="77777777" w:rsidR="004F1052" w:rsidRPr="0050401D" w:rsidRDefault="004F1052" w:rsidP="000165BF">
            <w:pPr>
              <w:spacing w:after="0" w:line="240" w:lineRule="auto"/>
              <w:rPr>
                <w:rFonts w:eastAsia="Calibri" w:cstheme="minorHAnsi"/>
                <w:noProof/>
                <w:color w:val="000000"/>
                <w:sz w:val="22"/>
                <w:lang w:eastAsia="lv-LV" w:bidi="lv-LV"/>
              </w:rPr>
            </w:pPr>
          </w:p>
        </w:tc>
      </w:tr>
      <w:tr w:rsidR="004F1052" w:rsidRPr="0050401D" w14:paraId="61399DE1" w14:textId="77777777" w:rsidTr="00461EED">
        <w:trPr>
          <w:trHeight w:val="1601"/>
        </w:trPr>
        <w:tc>
          <w:tcPr>
            <w:tcW w:w="1745" w:type="dxa"/>
            <w:vMerge/>
            <w:vAlign w:val="center"/>
            <w:hideMark/>
          </w:tcPr>
          <w:p w14:paraId="46AFA638" w14:textId="77777777" w:rsidR="004F1052" w:rsidRPr="0050401D" w:rsidRDefault="004F1052"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5B888B35" w14:textId="04B3D4C4" w:rsidR="004F1052" w:rsidRPr="0050401D" w:rsidRDefault="004F1052" w:rsidP="000165BF">
            <w:pPr>
              <w:spacing w:after="0" w:line="240" w:lineRule="auto"/>
              <w:rPr>
                <w:rFonts w:eastAsia="Calibri" w:cstheme="minorHAnsi"/>
                <w:noProof/>
                <w:color w:val="000000"/>
                <w:sz w:val="22"/>
                <w:lang w:eastAsia="lv-LV" w:bidi="lv-LV"/>
              </w:rPr>
            </w:pP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17 – 3 gadus veci uzņēmumi, kas joprojām darbojas tirgū</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18 – MVU, kuri izmanto inkubatora pakalpojumus vienu gadu pēc inkubatora izveides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19 – Uzņēmumi ar lielāku apgrozījumu</w:t>
            </w:r>
          </w:p>
          <w:p w14:paraId="20515A6E"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25 – Pievienotā vērtība uz vienu darbinieku atbalstītajos MVU</w:t>
            </w:r>
          </w:p>
        </w:tc>
        <w:tc>
          <w:tcPr>
            <w:tcW w:w="6486" w:type="dxa"/>
            <w:vMerge/>
            <w:vAlign w:val="center"/>
            <w:hideMark/>
          </w:tcPr>
          <w:p w14:paraId="6C06F032" w14:textId="77777777" w:rsidR="004F1052" w:rsidRPr="0050401D" w:rsidRDefault="004F1052" w:rsidP="000165BF">
            <w:pPr>
              <w:spacing w:after="0" w:line="240" w:lineRule="auto"/>
              <w:rPr>
                <w:rFonts w:eastAsia="Calibri" w:cstheme="minorHAnsi"/>
                <w:noProof/>
                <w:color w:val="000000"/>
                <w:sz w:val="22"/>
                <w:lang w:eastAsia="lv-LV" w:bidi="lv-LV"/>
              </w:rPr>
            </w:pPr>
          </w:p>
        </w:tc>
      </w:tr>
      <w:tr w:rsidR="0050401D" w:rsidRPr="0050401D" w14:paraId="5510E91C" w14:textId="77777777" w:rsidTr="00461EED">
        <w:trPr>
          <w:trHeight w:val="70"/>
        </w:trPr>
        <w:tc>
          <w:tcPr>
            <w:tcW w:w="1745" w:type="dxa"/>
            <w:vMerge w:val="restart"/>
            <w:vAlign w:val="center"/>
            <w:hideMark/>
          </w:tcPr>
          <w:p w14:paraId="31C64C20" w14:textId="77777777" w:rsidR="0050401D" w:rsidRPr="0050401D" w:rsidRDefault="0050401D"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t>2. Zaļāka Eiropa ar zemām oglekļa emisijām, veicinot tīru un taisnīgu enerģētikas pārkārtošanu, “zaļas” un “zilas” investīcijas, aprites ekonomiku, pielāgošanos klimata pārmaiņām un risku novēršanu un pārvaldību</w:t>
            </w:r>
          </w:p>
        </w:tc>
        <w:tc>
          <w:tcPr>
            <w:tcW w:w="6237" w:type="dxa"/>
            <w:vAlign w:val="center"/>
            <w:hideMark/>
          </w:tcPr>
          <w:p w14:paraId="1F633900" w14:textId="53E0BDDD"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26 – Gada primārās enerģijas patēriņš (tai skaitā: mājokļi, sabiedriskās ēkas, uzņēmumi, citi)</w:t>
            </w:r>
            <w:r w:rsidRPr="0050401D">
              <w:rPr>
                <w:rFonts w:eastAsia="Times New Roman" w:cstheme="minorHAnsi"/>
                <w:noProof/>
                <w:color w:val="000000"/>
                <w:sz w:val="22"/>
                <w:lang w:eastAsia="lv-LV" w:bidi="lv-LV"/>
              </w:rPr>
              <w:br/>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29 – Aplēstās siltumnīcefekta gāzu emisijas</w:t>
            </w:r>
            <w:r w:rsidRPr="0050401D">
              <w:rPr>
                <w:rFonts w:eastAsia="Times New Roman" w:cstheme="minorHAnsi"/>
                <w:noProof/>
                <w:color w:val="000000"/>
                <w:sz w:val="22"/>
                <w:lang w:eastAsia="lv-LV" w:bidi="lv-LV"/>
              </w:rPr>
              <w:br/>
            </w:r>
          </w:p>
        </w:tc>
        <w:tc>
          <w:tcPr>
            <w:tcW w:w="6486" w:type="dxa"/>
            <w:hideMark/>
          </w:tcPr>
          <w:p w14:paraId="3C8E7284"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Energoresursu kopējais patēriņš (kopā un atsevišķās tautsaimniecības nozarēs)</w:t>
            </w:r>
          </w:p>
          <w:p w14:paraId="3FCC10AA"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Kopējais enerģijas galapatēriņš (kopā un atsevišķās tautsaimniecības nozarēs);</w:t>
            </w:r>
          </w:p>
          <w:p w14:paraId="12A81404"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Ēku skaits, kurās ir veikti energoefekvitātes uzlabošanas pasākumi;</w:t>
            </w:r>
          </w:p>
          <w:p w14:paraId="55149127"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Veiktie energoefektivitātes pasākumi uzņēmumos;</w:t>
            </w:r>
          </w:p>
          <w:p w14:paraId="11116BBF"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Nodrošinātais enerģijas galapatēriņa ietaupījums;</w:t>
            </w:r>
          </w:p>
          <w:p w14:paraId="645F4B69"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Īpatnējais siltumenerģijas patēriņš ēkās;</w:t>
            </w:r>
          </w:p>
          <w:p w14:paraId="36DCF0DC"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SEG emisiju apjoms</w:t>
            </w:r>
          </w:p>
        </w:tc>
      </w:tr>
      <w:tr w:rsidR="0050401D" w:rsidRPr="0050401D" w14:paraId="31A114A7" w14:textId="77777777" w:rsidTr="00461EED">
        <w:trPr>
          <w:trHeight w:val="1020"/>
        </w:trPr>
        <w:tc>
          <w:tcPr>
            <w:tcW w:w="1745" w:type="dxa"/>
            <w:vMerge/>
            <w:vAlign w:val="center"/>
            <w:hideMark/>
          </w:tcPr>
          <w:p w14:paraId="04CBB210"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157ACFF4" w14:textId="6FE0B0EE"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31 – Kopējā saražotā atjaunojamā enerģija (tai skaitā: elektroenerģija, siltumenerģija)</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32 – </w:t>
            </w:r>
            <w:r w:rsidRPr="00A056F9">
              <w:rPr>
                <w:rFonts w:eastAsia="Times New Roman" w:cstheme="minorHAnsi"/>
                <w:bCs/>
                <w:color w:val="000000"/>
                <w:sz w:val="22"/>
              </w:rPr>
              <w:t>papildu darbības jauda,</w:t>
            </w:r>
            <w:r w:rsidRPr="00A056F9">
              <w:rPr>
                <w:rFonts w:eastAsia="Times New Roman" w:cstheme="minorHAnsi"/>
                <w:color w:val="000000"/>
                <w:sz w:val="22"/>
              </w:rPr>
              <w:t xml:space="preserve"> kas uzstādīta atjaunojamai enerģijai </w:t>
            </w:r>
          </w:p>
        </w:tc>
        <w:tc>
          <w:tcPr>
            <w:tcW w:w="6486" w:type="dxa"/>
            <w:hideMark/>
          </w:tcPr>
          <w:p w14:paraId="238889B3"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Kopējā saražotā atjaunojamā enerģija</w:t>
            </w:r>
          </w:p>
          <w:p w14:paraId="48176B7F"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saražotās elektroenerģijas apjomā</w:t>
            </w:r>
          </w:p>
          <w:p w14:paraId="4583CE50"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centralizētās siltumapgādē un aukstumapgādē</w:t>
            </w:r>
          </w:p>
          <w:p w14:paraId="6C8EB178"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transportā</w:t>
            </w:r>
          </w:p>
          <w:p w14:paraId="393B43B4"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jauda</w:t>
            </w:r>
          </w:p>
        </w:tc>
      </w:tr>
      <w:tr w:rsidR="0050401D" w:rsidRPr="0050401D" w14:paraId="66A21C92" w14:textId="77777777" w:rsidTr="00461EED">
        <w:trPr>
          <w:trHeight w:val="1020"/>
        </w:trPr>
        <w:tc>
          <w:tcPr>
            <w:tcW w:w="1745" w:type="dxa"/>
            <w:vMerge/>
            <w:vAlign w:val="center"/>
            <w:hideMark/>
          </w:tcPr>
          <w:p w14:paraId="0BA2105B"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635A23AF" w14:textId="19F09F03" w:rsidR="0050401D" w:rsidRPr="0050401D" w:rsidRDefault="0050401D">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33 – Viedajiem tīkliem pieslēgtie lietotājiRKR 34 – Viedo tīklu projektu izvēršana</w:t>
            </w:r>
          </w:p>
        </w:tc>
        <w:tc>
          <w:tcPr>
            <w:tcW w:w="6486" w:type="dxa"/>
            <w:hideMark/>
          </w:tcPr>
          <w:p w14:paraId="1417EC5C" w14:textId="77777777" w:rsidR="0050401D" w:rsidRPr="0050401D" w:rsidRDefault="0050401D" w:rsidP="00461EED">
            <w:pPr>
              <w:numPr>
                <w:ilvl w:val="0"/>
                <w:numId w:val="6"/>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Viedajiem tīkliem pieslēgtie lietotāji</w:t>
            </w:r>
          </w:p>
          <w:p w14:paraId="74D33B98" w14:textId="77777777" w:rsidR="0050401D" w:rsidRPr="0050401D" w:rsidRDefault="0050401D" w:rsidP="00461EED">
            <w:pPr>
              <w:numPr>
                <w:ilvl w:val="0"/>
                <w:numId w:val="6"/>
              </w:numPr>
              <w:spacing w:after="0" w:line="240" w:lineRule="auto"/>
              <w:ind w:left="227" w:hanging="227"/>
              <w:jc w:val="both"/>
              <w:rPr>
                <w:rFonts w:eastAsia="Calibri" w:cstheme="minorHAnsi"/>
                <w:noProof/>
                <w:color w:val="000000"/>
                <w:sz w:val="22"/>
              </w:rPr>
            </w:pPr>
            <w:r w:rsidRPr="0050401D">
              <w:rPr>
                <w:rFonts w:eastAsia="Times New Roman" w:cstheme="minorHAnsi"/>
                <w:noProof/>
                <w:color w:val="000000"/>
                <w:sz w:val="22"/>
              </w:rPr>
              <w:t>Rekonsutruētie vai jaunuzbūvētie tīkli;</w:t>
            </w:r>
          </w:p>
        </w:tc>
      </w:tr>
      <w:tr w:rsidR="0050401D" w:rsidRPr="0050401D" w14:paraId="42E5FEC9" w14:textId="77777777" w:rsidTr="00461EED">
        <w:trPr>
          <w:trHeight w:val="1545"/>
        </w:trPr>
        <w:tc>
          <w:tcPr>
            <w:tcW w:w="1745" w:type="dxa"/>
            <w:vMerge/>
            <w:vAlign w:val="center"/>
            <w:hideMark/>
          </w:tcPr>
          <w:p w14:paraId="742EEBAC"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47140F22" w14:textId="77777777"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35 – Iedzīvotāji, kuri gūst labumu no pretplūdu pasākumiem</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36 – Iedzīvotāji, kuri gūst labumu no pasākumiem aizsardzībai pret meža ugunsgrēkiem</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37 – Iedzīvotāji, kuri gūst labumu no pasākumiem aizsardzībai pret klimatiskām dabas katastrofām (kas nav plūdi un meža ugunsgrēki)</w:t>
            </w:r>
          </w:p>
          <w:p w14:paraId="679569AF" w14:textId="08BA5BE2"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lastRenderedPageBreak/>
              <w:t>RKR 96 – Iedzīvotāji, kuri gūst labumu no pasākumiem aizsardzībai pret neklimatiskiem dabas riskiem un ar cilvēka darbību saistītiem riskiem</w:t>
            </w:r>
          </w:p>
        </w:tc>
        <w:tc>
          <w:tcPr>
            <w:tcW w:w="6486" w:type="dxa"/>
            <w:hideMark/>
          </w:tcPr>
          <w:p w14:paraId="6A0452B6" w14:textId="7063A692" w:rsidR="0050401D" w:rsidRPr="0050401D" w:rsidRDefault="004F1052" w:rsidP="000165BF">
            <w:pPr>
              <w:spacing w:after="0" w:line="240" w:lineRule="auto"/>
              <w:rPr>
                <w:rFonts w:eastAsia="Calibri" w:cstheme="minorHAnsi"/>
                <w:noProof/>
                <w:color w:val="000000"/>
                <w:sz w:val="22"/>
                <w:lang w:eastAsia="lv-LV" w:bidi="lv-LV"/>
              </w:rPr>
            </w:pPr>
            <w:r>
              <w:rPr>
                <w:rFonts w:cstheme="minorHAnsi"/>
                <w:noProof/>
                <w:color w:val="000000"/>
                <w:szCs w:val="24"/>
              </w:rPr>
              <w:lastRenderedPageBreak/>
              <w:t>A</w:t>
            </w:r>
            <w:r w:rsidRPr="0030119C">
              <w:rPr>
                <w:rFonts w:cstheme="minorHAnsi"/>
                <w:noProof/>
                <w:color w:val="000000"/>
                <w:szCs w:val="24"/>
              </w:rPr>
              <w:t>ttiecas uz Plāna aptvērum</w:t>
            </w:r>
            <w:r>
              <w:rPr>
                <w:rFonts w:cstheme="minorHAnsi"/>
                <w:noProof/>
                <w:color w:val="000000"/>
                <w:szCs w:val="24"/>
              </w:rPr>
              <w:t>a tiktāl, cik tas skar pielāgošanās klimata pārmaiņām jautājumus</w:t>
            </w:r>
          </w:p>
        </w:tc>
      </w:tr>
      <w:tr w:rsidR="0050401D" w:rsidRPr="0050401D" w14:paraId="22F3C34D" w14:textId="77777777" w:rsidTr="00461EED">
        <w:trPr>
          <w:trHeight w:val="982"/>
        </w:trPr>
        <w:tc>
          <w:tcPr>
            <w:tcW w:w="1745" w:type="dxa"/>
            <w:vMerge/>
            <w:vAlign w:val="center"/>
            <w:hideMark/>
          </w:tcPr>
          <w:p w14:paraId="0C6C49BA"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31551CD8" w14:textId="72A9D6F0"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41 – Iedzīvotāji, kuri pieslēgti uzlabotai ūdensapgādei </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42 – Iedzīvotāji, kuri pieslēgti vismaz sekundārainotekūdeņu attīrīšanai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43 – Ūdens zudumi sadales sistēmās publiskai ūdens piegādei</w:t>
            </w:r>
          </w:p>
        </w:tc>
        <w:tc>
          <w:tcPr>
            <w:tcW w:w="6486" w:type="dxa"/>
            <w:hideMark/>
          </w:tcPr>
          <w:p w14:paraId="4C22B795" w14:textId="64BCCD82" w:rsidR="004F1052" w:rsidRDefault="004F1052" w:rsidP="00461EED">
            <w:pPr>
              <w:spacing w:line="240" w:lineRule="auto"/>
              <w:rPr>
                <w:rFonts w:cstheme="minorHAnsi"/>
                <w:noProof/>
                <w:color w:val="000000"/>
                <w:szCs w:val="24"/>
              </w:rPr>
            </w:pPr>
            <w:r>
              <w:rPr>
                <w:rFonts w:cstheme="minorHAnsi"/>
                <w:noProof/>
                <w:color w:val="000000"/>
                <w:szCs w:val="24"/>
              </w:rPr>
              <w:t>Attiecas uz Plāna aptvērumu tiktāl, cik tas skar SEG emisiju samazināšanu no notekūdeņu apsaimniekošanas</w:t>
            </w:r>
          </w:p>
          <w:p w14:paraId="29404DC2" w14:textId="545C9548" w:rsidR="0050401D" w:rsidRPr="0050401D" w:rsidRDefault="0050401D" w:rsidP="004F1052">
            <w:pPr>
              <w:spacing w:after="0" w:line="240" w:lineRule="auto"/>
              <w:rPr>
                <w:rFonts w:eastAsia="Calibri" w:cstheme="minorHAnsi"/>
                <w:noProof/>
                <w:color w:val="000000"/>
                <w:sz w:val="22"/>
                <w:lang w:eastAsia="lv-LV" w:bidi="lv-LV"/>
              </w:rPr>
            </w:pPr>
          </w:p>
        </w:tc>
      </w:tr>
      <w:tr w:rsidR="0050401D" w:rsidRPr="0050401D" w14:paraId="741B0B3F" w14:textId="77777777" w:rsidTr="00461EED">
        <w:trPr>
          <w:trHeight w:val="1464"/>
        </w:trPr>
        <w:tc>
          <w:tcPr>
            <w:tcW w:w="1745" w:type="dxa"/>
            <w:vMerge/>
            <w:vAlign w:val="center"/>
            <w:hideMark/>
          </w:tcPr>
          <w:p w14:paraId="7C9820CF"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7F060984" w14:textId="7ED7D194" w:rsidR="0050401D" w:rsidRPr="0050401D" w:rsidRDefault="0050401D" w:rsidP="004F1052">
            <w:pPr>
              <w:spacing w:after="0" w:line="240" w:lineRule="auto"/>
              <w:rPr>
                <w:rFonts w:eastAsia="Calibri" w:cstheme="minorHAnsi"/>
                <w:noProof/>
                <w:color w:val="000000"/>
                <w:sz w:val="22"/>
                <w:lang w:eastAsia="lv-LV" w:bidi="lv-LV"/>
              </w:rPr>
            </w:pPr>
          </w:p>
          <w:p w14:paraId="732F9C1C" w14:textId="38902695"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Times New Roman" w:cstheme="minorHAnsi"/>
                <w:noProof/>
                <w:color w:val="000000"/>
                <w:sz w:val="22"/>
                <w:lang w:eastAsia="lv-LV" w:bidi="lv-LV"/>
              </w:rPr>
              <w:t xml:space="preserve">RKR 103 - </w:t>
            </w:r>
            <w:r w:rsidRPr="00461EED">
              <w:rPr>
                <w:rFonts w:eastAsia="Times New Roman" w:cstheme="minorHAnsi"/>
                <w:bCs/>
                <w:color w:val="000000"/>
                <w:sz w:val="22"/>
              </w:rPr>
              <w:t>atsevišķi savāktie atkritumi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47 – pārstrādātie atkritumi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48 – pārstrādātie atkritumi, ko izmanto par izejvielām </w:t>
            </w:r>
            <w:r w:rsidRPr="0050401D">
              <w:rPr>
                <w:rFonts w:eastAsia="Times New Roman" w:cstheme="minorHAnsi"/>
                <w:noProof/>
                <w:color w:val="000000"/>
                <w:sz w:val="22"/>
                <w:lang w:eastAsia="lv-LV" w:bidi="lv-LV"/>
              </w:rPr>
              <w:br/>
            </w:r>
          </w:p>
        </w:tc>
        <w:tc>
          <w:tcPr>
            <w:tcW w:w="6486" w:type="dxa"/>
            <w:hideMark/>
          </w:tcPr>
          <w:p w14:paraId="4E3C88BE" w14:textId="77777777" w:rsidR="004F1052" w:rsidRDefault="004F1052" w:rsidP="00461EED">
            <w:pPr>
              <w:spacing w:line="240" w:lineRule="auto"/>
              <w:rPr>
                <w:rFonts w:cstheme="minorHAnsi"/>
                <w:noProof/>
                <w:color w:val="000000"/>
                <w:szCs w:val="24"/>
              </w:rPr>
            </w:pPr>
            <w:r>
              <w:rPr>
                <w:rFonts w:cstheme="minorHAnsi"/>
                <w:noProof/>
                <w:color w:val="000000"/>
                <w:szCs w:val="24"/>
              </w:rPr>
              <w:t>Attiecas uz Plānu tiktāl, cik tas skar SEG emisiju samazināšanu no aktritumu apsaimniekošanas</w:t>
            </w:r>
          </w:p>
          <w:p w14:paraId="0484C235" w14:textId="5E92AE63" w:rsidR="0050401D" w:rsidRPr="0050401D" w:rsidRDefault="0050401D" w:rsidP="004F1052">
            <w:pPr>
              <w:spacing w:after="0" w:line="240" w:lineRule="auto"/>
              <w:rPr>
                <w:rFonts w:eastAsia="Calibri" w:cstheme="minorHAnsi"/>
                <w:noProof/>
                <w:color w:val="000000"/>
                <w:sz w:val="22"/>
                <w:lang w:eastAsia="lv-LV" w:bidi="lv-LV"/>
              </w:rPr>
            </w:pPr>
          </w:p>
        </w:tc>
      </w:tr>
      <w:tr w:rsidR="0050401D" w:rsidRPr="0050401D" w14:paraId="21DF68DC" w14:textId="77777777" w:rsidTr="00461EED">
        <w:trPr>
          <w:trHeight w:val="1530"/>
        </w:trPr>
        <w:tc>
          <w:tcPr>
            <w:tcW w:w="1745" w:type="dxa"/>
            <w:vMerge/>
            <w:vAlign w:val="center"/>
            <w:hideMark/>
          </w:tcPr>
          <w:p w14:paraId="4C8B5F3B"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19D13147" w14:textId="77777777"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50 – Iedzīvotāji, kuri gūst labumu no gaisa kvalitātes pasākumiem</w:t>
            </w:r>
          </w:p>
          <w:p w14:paraId="095C3847" w14:textId="6DCF21C4"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95 – Iedzīvotāji, kuriem ir piekļuve jaunai vai modernizētai zaļajai infrastruktūrai pilsētu teritorijās</w:t>
            </w:r>
            <w:r w:rsidRPr="0050401D">
              <w:rPr>
                <w:rFonts w:eastAsia="Times New Roman" w:cstheme="minorHAnsi"/>
                <w:noProof/>
                <w:color w:val="000000"/>
                <w:sz w:val="22"/>
                <w:lang w:eastAsia="lv-LV" w:bidi="lv-LV"/>
              </w:rPr>
              <w:br/>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52 – Sanētā zeme, ko izmanto apzaļumotām teritorijām, sociālajiem mājokļiem un ekonomiskām vai kopienas darbībām</w:t>
            </w:r>
          </w:p>
        </w:tc>
        <w:tc>
          <w:tcPr>
            <w:tcW w:w="6486" w:type="dxa"/>
            <w:hideMark/>
          </w:tcPr>
          <w:p w14:paraId="31E7BA36" w14:textId="3E4F3DD6" w:rsidR="0050401D" w:rsidRPr="0050401D" w:rsidRDefault="004F1052" w:rsidP="004F1052">
            <w:pPr>
              <w:spacing w:after="0" w:line="240" w:lineRule="auto"/>
              <w:rPr>
                <w:rFonts w:eastAsia="Calibri" w:cstheme="minorHAnsi"/>
                <w:noProof/>
                <w:color w:val="000000"/>
                <w:sz w:val="22"/>
                <w:lang w:eastAsia="lv-LV" w:bidi="lv-LV"/>
              </w:rPr>
            </w:pPr>
            <w:r>
              <w:rPr>
                <w:rFonts w:cstheme="minorHAnsi"/>
                <w:noProof/>
                <w:szCs w:val="24"/>
              </w:rPr>
              <w:t>A</w:t>
            </w:r>
            <w:r w:rsidRPr="0030119C">
              <w:rPr>
                <w:rFonts w:cstheme="minorHAnsi"/>
                <w:noProof/>
                <w:szCs w:val="24"/>
              </w:rPr>
              <w:t>ttiecas uz Plāna aptvērumu</w:t>
            </w:r>
            <w:r>
              <w:rPr>
                <w:rFonts w:cstheme="minorHAnsi"/>
                <w:noProof/>
                <w:szCs w:val="24"/>
              </w:rPr>
              <w:t xml:space="preserve"> tiktāl, cik Plāns skar gaisa piesārņojuma emisiju samazināšanu</w:t>
            </w:r>
          </w:p>
        </w:tc>
      </w:tr>
      <w:tr w:rsidR="0050401D" w:rsidRPr="0050401D" w14:paraId="2668324D" w14:textId="77777777" w:rsidTr="00461EED">
        <w:trPr>
          <w:trHeight w:val="1020"/>
        </w:trPr>
        <w:tc>
          <w:tcPr>
            <w:tcW w:w="1745" w:type="dxa"/>
            <w:vMerge/>
          </w:tcPr>
          <w:p w14:paraId="63D315CD" w14:textId="77777777" w:rsidR="0050401D" w:rsidRPr="0050401D" w:rsidRDefault="0050401D" w:rsidP="000165BF">
            <w:pPr>
              <w:spacing w:after="0" w:line="240" w:lineRule="auto"/>
              <w:jc w:val="center"/>
              <w:rPr>
                <w:rFonts w:eastAsia="Calibri" w:cstheme="minorHAnsi"/>
                <w:b/>
                <w:noProof/>
                <w:color w:val="000000"/>
                <w:sz w:val="22"/>
                <w:lang w:eastAsia="lv-LV" w:bidi="lv-LV"/>
              </w:rPr>
            </w:pPr>
          </w:p>
        </w:tc>
        <w:tc>
          <w:tcPr>
            <w:tcW w:w="6237" w:type="dxa"/>
            <w:vAlign w:val="center"/>
          </w:tcPr>
          <w:p w14:paraId="06DBEC59" w14:textId="77777777" w:rsidR="0050401D" w:rsidRPr="0050401D" w:rsidRDefault="0050401D"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RKR 62 – Videi draudzīgajā sabiedriskajā transportā pārvadāto pasažieru skaits</w:t>
            </w:r>
          </w:p>
          <w:p w14:paraId="33F83A6E" w14:textId="273D56E9" w:rsidR="0050401D" w:rsidRPr="0050401D" w:rsidRDefault="0050401D" w:rsidP="000165BF">
            <w:pPr>
              <w:spacing w:after="0" w:line="240" w:lineRule="auto"/>
              <w:rPr>
                <w:rFonts w:eastAsia="Calibri" w:cstheme="minorHAnsi"/>
                <w:noProof/>
                <w:color w:val="000000"/>
                <w:sz w:val="22"/>
                <w:lang w:eastAsia="lv-LV" w:bidi="lv-LV"/>
              </w:rPr>
            </w:pPr>
            <w:r w:rsidRPr="00461EED">
              <w:rPr>
                <w:rFonts w:eastAsia="Times New Roman" w:cstheme="minorHAnsi"/>
                <w:bCs/>
                <w:color w:val="000000"/>
                <w:sz w:val="22"/>
              </w:rPr>
              <w:t>RKR 63 - Jaunu vai modernizētu tramvaju un metro līniju gada lietotāji</w:t>
            </w:r>
            <w:r w:rsidRPr="00461EED">
              <w:rPr>
                <w:rFonts w:eastAsia="Times New Roman" w:cstheme="minorHAnsi"/>
                <w:bCs/>
                <w:color w:val="000000"/>
                <w:sz w:val="22"/>
              </w:rPr>
              <w:br/>
            </w:r>
            <w:r w:rsidRPr="0050401D">
              <w:rPr>
                <w:rFonts w:eastAsia="Calibri" w:cstheme="minorHAnsi"/>
                <w:noProof/>
                <w:color w:val="000000"/>
                <w:sz w:val="22"/>
                <w:lang w:eastAsia="lv-LV" w:bidi="lv-LV"/>
              </w:rPr>
              <w:t>RKR 64 – Atdalītas ve</w:t>
            </w:r>
            <w:bookmarkStart w:id="4" w:name="_GoBack"/>
            <w:bookmarkEnd w:id="4"/>
            <w:r w:rsidRPr="0050401D">
              <w:rPr>
                <w:rFonts w:eastAsia="Calibri" w:cstheme="minorHAnsi"/>
                <w:noProof/>
                <w:color w:val="000000"/>
                <w:sz w:val="22"/>
                <w:lang w:eastAsia="lv-LV" w:bidi="lv-LV"/>
              </w:rPr>
              <w:t>loinfrastruktūras lietotāju skaits gadā</w:t>
            </w:r>
          </w:p>
        </w:tc>
        <w:tc>
          <w:tcPr>
            <w:tcW w:w="6486" w:type="dxa"/>
          </w:tcPr>
          <w:p w14:paraId="54E66973" w14:textId="6D1EE1EA" w:rsidR="0050401D" w:rsidRPr="0050401D" w:rsidRDefault="0050401D"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Videi draudzīgajā sabiedriskajā transportā pārvadāto pasažieru skaits</w:t>
            </w:r>
          </w:p>
        </w:tc>
      </w:tr>
      <w:tr w:rsidR="004F1052" w:rsidRPr="0050401D" w14:paraId="25C80C3A" w14:textId="77777777" w:rsidTr="00461EED">
        <w:trPr>
          <w:trHeight w:val="2138"/>
        </w:trPr>
        <w:tc>
          <w:tcPr>
            <w:tcW w:w="1745" w:type="dxa"/>
            <w:vMerge w:val="restart"/>
            <w:hideMark/>
          </w:tcPr>
          <w:p w14:paraId="12C67F17" w14:textId="77777777" w:rsidR="004F1052" w:rsidRPr="0050401D" w:rsidRDefault="004F1052"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lastRenderedPageBreak/>
              <w:t>3. Ciešāk savienota Eiropa, uzlabojot mobilitāti un reģionālo IKT savienotību</w:t>
            </w:r>
          </w:p>
        </w:tc>
        <w:tc>
          <w:tcPr>
            <w:tcW w:w="6237" w:type="dxa"/>
            <w:vAlign w:val="center"/>
          </w:tcPr>
          <w:p w14:paraId="428DE0E3"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55 – Jaunuzbūvēto, rekonstruēto vai modernizēto autoceļu lietotāji </w:t>
            </w:r>
          </w:p>
          <w:p w14:paraId="57F94978"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56 – Laika ietaupījums no uzlabotas autoceļu infrastruktūras</w:t>
            </w:r>
          </w:p>
          <w:p w14:paraId="64064D8D" w14:textId="118454BE"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101 – Laika ietaupījums no uzlabotas dzelzceļa infrastruktūras </w:t>
            </w:r>
          </w:p>
        </w:tc>
        <w:tc>
          <w:tcPr>
            <w:tcW w:w="6486" w:type="dxa"/>
          </w:tcPr>
          <w:p w14:paraId="3306F284" w14:textId="77777777" w:rsidR="004F1052" w:rsidRDefault="004F1052" w:rsidP="00461EED">
            <w:pPr>
              <w:spacing w:after="0" w:line="240" w:lineRule="auto"/>
              <w:jc w:val="both"/>
              <w:rPr>
                <w:rFonts w:eastAsia="Calibri" w:cstheme="minorHAnsi"/>
                <w:noProof/>
                <w:color w:val="000000"/>
                <w:sz w:val="22"/>
                <w:lang w:eastAsia="lv-LV" w:bidi="lv-LV"/>
              </w:rPr>
            </w:pPr>
          </w:p>
          <w:p w14:paraId="60D9FCE7" w14:textId="4AD39BA5" w:rsidR="004F1052" w:rsidRPr="0050401D" w:rsidRDefault="004F1052" w:rsidP="000165BF">
            <w:pPr>
              <w:numPr>
                <w:ilvl w:val="0"/>
                <w:numId w:val="7"/>
              </w:numPr>
              <w:spacing w:after="0" w:line="240" w:lineRule="auto"/>
              <w:ind w:left="227" w:hanging="227"/>
              <w:jc w:val="both"/>
              <w:rPr>
                <w:rFonts w:eastAsia="Calibri" w:cstheme="minorHAnsi"/>
                <w:noProof/>
                <w:color w:val="000000"/>
                <w:sz w:val="22"/>
                <w:lang w:eastAsia="lv-LV" w:bidi="lv-LV"/>
              </w:rPr>
            </w:pPr>
            <w:r w:rsidRPr="0050401D">
              <w:rPr>
                <w:rFonts w:eastAsia="Calibri" w:cstheme="minorHAnsi"/>
                <w:noProof/>
                <w:color w:val="000000"/>
                <w:sz w:val="22"/>
              </w:rPr>
              <w:t>Jaunuzbūvēto, rekonstruēto vai modernizēto autoceļu garums</w:t>
            </w:r>
          </w:p>
        </w:tc>
      </w:tr>
      <w:tr w:rsidR="0030119C" w:rsidRPr="0050401D" w14:paraId="25E4B112" w14:textId="77777777" w:rsidTr="00461EED">
        <w:trPr>
          <w:trHeight w:val="152"/>
        </w:trPr>
        <w:tc>
          <w:tcPr>
            <w:tcW w:w="1745" w:type="dxa"/>
            <w:vMerge/>
            <w:vAlign w:val="center"/>
            <w:hideMark/>
          </w:tcPr>
          <w:p w14:paraId="32FF68BA" w14:textId="77777777" w:rsidR="0030119C" w:rsidRPr="0050401D" w:rsidRDefault="0030119C"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0B616829" w14:textId="0104084C" w:rsidR="0030119C" w:rsidRPr="0050401D" w:rsidRDefault="0030119C" w:rsidP="000165BF">
            <w:pPr>
              <w:spacing w:after="0" w:line="240" w:lineRule="auto"/>
              <w:rPr>
                <w:rFonts w:eastAsia="Times New Roman" w:cstheme="minorHAnsi"/>
                <w:noProof/>
                <w:color w:val="000000"/>
                <w:sz w:val="22"/>
                <w:lang w:eastAsia="lv-LV" w:bidi="lv-LV"/>
              </w:rPr>
            </w:pP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58 – Pa atbalstītajiem sliežu ceļiem gadā pārvadāto pasažieru skaits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59 – Pa dzelzceļu pārvadātās kravas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60 – Pa iekšējiem ūdensceļiem pārvadātās kravas </w:t>
            </w:r>
          </w:p>
        </w:tc>
        <w:tc>
          <w:tcPr>
            <w:tcW w:w="6486" w:type="dxa"/>
            <w:hideMark/>
          </w:tcPr>
          <w:p w14:paraId="32E5B666" w14:textId="77777777" w:rsidR="0030119C" w:rsidRPr="0050401D" w:rsidRDefault="0030119C" w:rsidP="000165BF">
            <w:pPr>
              <w:numPr>
                <w:ilvl w:val="0"/>
                <w:numId w:val="8"/>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Pa dzelzceļā pārvadāto pasažieru skaits;</w:t>
            </w:r>
          </w:p>
          <w:p w14:paraId="3193482A" w14:textId="77777777" w:rsidR="0030119C" w:rsidRPr="0050401D" w:rsidRDefault="0030119C" w:rsidP="000165BF">
            <w:pPr>
              <w:numPr>
                <w:ilvl w:val="0"/>
                <w:numId w:val="8"/>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Pa dzelzceļu pārvadāto kravu skaits</w:t>
            </w:r>
          </w:p>
          <w:p w14:paraId="7A443651" w14:textId="77777777" w:rsidR="0030119C" w:rsidRPr="0050401D" w:rsidRDefault="0030119C" w:rsidP="000165BF">
            <w:pPr>
              <w:spacing w:after="0" w:line="240" w:lineRule="auto"/>
              <w:ind w:left="227" w:hanging="227"/>
              <w:jc w:val="both"/>
              <w:rPr>
                <w:rFonts w:eastAsia="Calibri" w:cstheme="minorHAnsi"/>
                <w:noProof/>
                <w:color w:val="000000"/>
                <w:sz w:val="22"/>
              </w:rPr>
            </w:pPr>
          </w:p>
        </w:tc>
      </w:tr>
    </w:tbl>
    <w:bookmarkEnd w:id="3"/>
    <w:p w14:paraId="6769442D" w14:textId="1898B934" w:rsidR="0030119C" w:rsidRDefault="0030119C" w:rsidP="0030119C">
      <w:pPr>
        <w:spacing w:before="120" w:after="120" w:line="240" w:lineRule="auto"/>
        <w:jc w:val="both"/>
        <w:rPr>
          <w:rFonts w:eastAsia="Calibri" w:cstheme="minorHAnsi"/>
          <w:noProof/>
          <w:sz w:val="20"/>
          <w:szCs w:val="20"/>
          <w:lang w:eastAsia="lv-LV" w:bidi="lv-LV"/>
        </w:rPr>
      </w:pPr>
      <w:r w:rsidRPr="0030119C">
        <w:rPr>
          <w:rFonts w:eastAsia="Calibri" w:cstheme="minorHAnsi"/>
          <w:noProof/>
          <w:sz w:val="20"/>
          <w:szCs w:val="20"/>
          <w:lang w:eastAsia="lv-LV" w:bidi="lv-LV"/>
        </w:rPr>
        <w:tab/>
      </w:r>
    </w:p>
    <w:p w14:paraId="3605BF95" w14:textId="77777777" w:rsidR="007C60F0" w:rsidRPr="0030119C" w:rsidRDefault="007C60F0" w:rsidP="0030119C">
      <w:pPr>
        <w:spacing w:before="120" w:after="120" w:line="240" w:lineRule="auto"/>
        <w:jc w:val="both"/>
        <w:rPr>
          <w:rFonts w:eastAsia="Calibri" w:cstheme="minorHAnsi"/>
          <w:noProof/>
          <w:sz w:val="20"/>
          <w:szCs w:val="20"/>
          <w:lang w:eastAsia="lv-LV" w:bidi="lv-LV"/>
        </w:rPr>
      </w:pPr>
    </w:p>
    <w:p w14:paraId="4C696237" w14:textId="77777777" w:rsidR="0030119C" w:rsidRPr="0030119C" w:rsidRDefault="0030119C" w:rsidP="0030119C">
      <w:pPr>
        <w:spacing w:after="200" w:line="276" w:lineRule="auto"/>
        <w:rPr>
          <w:rFonts w:eastAsia="Calibri" w:cstheme="minorHAnsi"/>
          <w:noProof/>
          <w:sz w:val="20"/>
          <w:szCs w:val="20"/>
          <w:lang w:eastAsia="lv-LV" w:bidi="lv-LV"/>
        </w:rPr>
      </w:pPr>
      <w:r w:rsidRPr="0030119C">
        <w:rPr>
          <w:rFonts w:eastAsia="Calibri" w:cstheme="minorHAnsi"/>
          <w:noProof/>
          <w:sz w:val="20"/>
          <w:szCs w:val="20"/>
          <w:lang w:eastAsia="lv-LV" w:bidi="lv-LV"/>
        </w:rPr>
        <w:br w:type="page"/>
      </w:r>
    </w:p>
    <w:p w14:paraId="01E9B917" w14:textId="2DF397FE" w:rsidR="0030119C" w:rsidRPr="0030119C" w:rsidRDefault="0030119C" w:rsidP="0030119C">
      <w:pPr>
        <w:spacing w:before="120" w:after="120" w:line="240" w:lineRule="auto"/>
        <w:jc w:val="center"/>
        <w:rPr>
          <w:rFonts w:eastAsia="Calibri" w:cstheme="minorHAnsi"/>
          <w:b/>
          <w:noProof/>
          <w:sz w:val="28"/>
          <w:szCs w:val="28"/>
          <w:lang w:eastAsia="lv-LV" w:bidi="lv-LV"/>
        </w:rPr>
      </w:pPr>
      <w:r w:rsidRPr="0030119C">
        <w:rPr>
          <w:rFonts w:eastAsia="Calibri" w:cstheme="minorHAnsi"/>
          <w:b/>
          <w:noProof/>
          <w:sz w:val="28"/>
          <w:szCs w:val="28"/>
          <w:lang w:eastAsia="lv-LV" w:bidi="lv-LV"/>
        </w:rPr>
        <w:lastRenderedPageBreak/>
        <w:t>2. tabula. Tematiskie veicinošie nosacījumi, ko piemēro ERAF, ESF+ un Kohēzijas fondam</w:t>
      </w:r>
      <w:r w:rsidR="00A056F9">
        <w:rPr>
          <w:rStyle w:val="FootnoteReference"/>
          <w:rFonts w:eastAsia="Calibri" w:cstheme="minorHAnsi"/>
          <w:b/>
          <w:noProof/>
          <w:sz w:val="28"/>
          <w:szCs w:val="28"/>
          <w:lang w:eastAsia="lv-LV" w:bidi="lv-LV"/>
        </w:rPr>
        <w:footnoteReference w:id="4"/>
      </w:r>
    </w:p>
    <w:tbl>
      <w:tblPr>
        <w:tblStyle w:val="TableGrid2"/>
        <w:tblW w:w="14459" w:type="dxa"/>
        <w:jc w:val="center"/>
        <w:tblInd w:w="0" w:type="dxa"/>
        <w:tblLook w:val="04A0" w:firstRow="1" w:lastRow="0" w:firstColumn="1" w:lastColumn="0" w:noHBand="0" w:noVBand="1"/>
      </w:tblPr>
      <w:tblGrid>
        <w:gridCol w:w="1798"/>
        <w:gridCol w:w="2556"/>
        <w:gridCol w:w="2353"/>
        <w:gridCol w:w="4458"/>
        <w:gridCol w:w="3294"/>
      </w:tblGrid>
      <w:tr w:rsidR="004F1052" w:rsidRPr="0030119C" w14:paraId="7F2DBD13" w14:textId="77777777" w:rsidTr="004F1052">
        <w:trPr>
          <w:trHeight w:val="573"/>
          <w:tblHeader/>
          <w:jc w:val="center"/>
        </w:trPr>
        <w:tc>
          <w:tcPr>
            <w:tcW w:w="17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E6A6A"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Politikas mērķis</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55427" w14:textId="77777777" w:rsidR="0030119C" w:rsidRPr="0030119C" w:rsidRDefault="0030119C" w:rsidP="000165BF">
            <w:pPr>
              <w:jc w:val="center"/>
              <w:rPr>
                <w:rFonts w:asciiTheme="minorHAnsi" w:hAnsiTheme="minorHAnsi" w:cstheme="minorHAnsi"/>
                <w:noProof/>
                <w:szCs w:val="24"/>
              </w:rPr>
            </w:pPr>
            <w:r w:rsidRPr="0030119C">
              <w:rPr>
                <w:rFonts w:asciiTheme="minorHAnsi" w:hAnsiTheme="minorHAnsi" w:cstheme="minorHAnsi"/>
                <w:b/>
                <w:noProof/>
                <w:szCs w:val="24"/>
              </w:rPr>
              <w:t>Konkrētais mērķis</w:t>
            </w:r>
          </w:p>
        </w:tc>
        <w:tc>
          <w:tcPr>
            <w:tcW w:w="23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AA3F73"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Veicinošā nosacījuma nosaukums</w:t>
            </w:r>
          </w:p>
        </w:tc>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50EC2E" w14:textId="77777777" w:rsidR="0030119C" w:rsidRPr="0030119C" w:rsidRDefault="0030119C" w:rsidP="000165BF">
            <w:pPr>
              <w:ind w:left="34"/>
              <w:jc w:val="center"/>
              <w:rPr>
                <w:rFonts w:asciiTheme="minorHAnsi" w:hAnsiTheme="minorHAnsi" w:cstheme="minorHAnsi"/>
                <w:noProof/>
                <w:szCs w:val="24"/>
              </w:rPr>
            </w:pPr>
            <w:r w:rsidRPr="0030119C">
              <w:rPr>
                <w:rFonts w:asciiTheme="minorHAnsi" w:hAnsiTheme="minorHAnsi" w:cstheme="minorHAnsi"/>
                <w:b/>
                <w:noProof/>
                <w:szCs w:val="24"/>
              </w:rPr>
              <w:t>Veicinošā nosacījuma izpildes kritēriji</w:t>
            </w:r>
          </w:p>
        </w:tc>
        <w:tc>
          <w:tcPr>
            <w:tcW w:w="32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816C8B" w14:textId="77777777" w:rsidR="0030119C" w:rsidRPr="0030119C" w:rsidRDefault="0030119C" w:rsidP="000165BF">
            <w:pPr>
              <w:ind w:left="34"/>
              <w:jc w:val="center"/>
              <w:rPr>
                <w:rFonts w:asciiTheme="minorHAnsi" w:hAnsiTheme="minorHAnsi" w:cstheme="minorHAnsi"/>
                <w:b/>
                <w:noProof/>
                <w:szCs w:val="24"/>
              </w:rPr>
            </w:pPr>
            <w:r w:rsidRPr="0030119C">
              <w:rPr>
                <w:rFonts w:asciiTheme="minorHAnsi" w:hAnsiTheme="minorHAnsi" w:cstheme="minorHAnsi"/>
                <w:b/>
                <w:noProof/>
                <w:szCs w:val="24"/>
              </w:rPr>
              <w:t>Veicinošā nosacījuma sasaiste ar Plānu, tā izvērtējums Plānā</w:t>
            </w:r>
          </w:p>
        </w:tc>
      </w:tr>
      <w:tr w:rsidR="004F1052" w:rsidRPr="0030119C" w14:paraId="44F67A67" w14:textId="77777777" w:rsidTr="004F1052">
        <w:trPr>
          <w:trHeight w:val="573"/>
          <w:jc w:val="center"/>
        </w:trPr>
        <w:tc>
          <w:tcPr>
            <w:tcW w:w="1798" w:type="dxa"/>
            <w:tcBorders>
              <w:top w:val="single" w:sz="4" w:space="0" w:color="auto"/>
              <w:left w:val="single" w:sz="4" w:space="0" w:color="auto"/>
              <w:bottom w:val="single" w:sz="4" w:space="0" w:color="auto"/>
              <w:right w:val="single" w:sz="4" w:space="0" w:color="auto"/>
            </w:tcBorders>
            <w:hideMark/>
          </w:tcPr>
          <w:p w14:paraId="18BB8508"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1. Viedāka Eiropa, veicinot inovatīvas un viedas ekonomiskās pārmaiņas</w:t>
            </w:r>
          </w:p>
        </w:tc>
        <w:tc>
          <w:tcPr>
            <w:tcW w:w="2556" w:type="dxa"/>
            <w:tcBorders>
              <w:top w:val="single" w:sz="4" w:space="0" w:color="auto"/>
              <w:left w:val="single" w:sz="4" w:space="0" w:color="auto"/>
              <w:bottom w:val="single" w:sz="4" w:space="0" w:color="auto"/>
              <w:right w:val="single" w:sz="4" w:space="0" w:color="auto"/>
            </w:tcBorders>
          </w:tcPr>
          <w:p w14:paraId="6CEB32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1600848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Visi šā politikas mērķa konkrētie mērķi </w:t>
            </w:r>
          </w:p>
          <w:p w14:paraId="2CE9E9F8" w14:textId="77777777" w:rsidR="0030119C" w:rsidRPr="0030119C" w:rsidRDefault="0030119C" w:rsidP="000165BF">
            <w:pPr>
              <w:jc w:val="both"/>
              <w:rPr>
                <w:rFonts w:asciiTheme="minorHAnsi" w:hAnsiTheme="minorHAnsi" w:cstheme="minorHAnsi"/>
                <w:noProof/>
                <w:szCs w:val="24"/>
              </w:rPr>
            </w:pPr>
          </w:p>
          <w:p w14:paraId="24C19348" w14:textId="77777777" w:rsidR="0030119C" w:rsidRPr="0030119C" w:rsidRDefault="0030119C" w:rsidP="000165BF">
            <w:pPr>
              <w:jc w:val="both"/>
              <w:rPr>
                <w:rFonts w:asciiTheme="minorHAnsi" w:hAnsiTheme="minorHAnsi" w:cstheme="minorHAnsi"/>
                <w:noProof/>
                <w:szCs w:val="24"/>
              </w:rPr>
            </w:pPr>
          </w:p>
          <w:p w14:paraId="313BEFDF"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636E191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Valsts vai reģionālas viedās specializācijas stratēģijas laba pārvaldība </w:t>
            </w:r>
          </w:p>
          <w:p w14:paraId="11C6B5AC" w14:textId="77777777" w:rsidR="0030119C" w:rsidRPr="0030119C" w:rsidRDefault="0030119C" w:rsidP="000165BF">
            <w:pPr>
              <w:jc w:val="both"/>
              <w:rPr>
                <w:rFonts w:asciiTheme="minorHAnsi" w:hAnsiTheme="minorHAnsi" w:cstheme="minorHAnsi"/>
                <w:noProof/>
                <w:szCs w:val="24"/>
              </w:rPr>
            </w:pPr>
          </w:p>
        </w:tc>
        <w:tc>
          <w:tcPr>
            <w:tcW w:w="4458" w:type="dxa"/>
            <w:tcBorders>
              <w:top w:val="single" w:sz="4" w:space="0" w:color="auto"/>
              <w:left w:val="single" w:sz="4" w:space="0" w:color="auto"/>
              <w:bottom w:val="single" w:sz="4" w:space="0" w:color="auto"/>
              <w:right w:val="single" w:sz="4" w:space="0" w:color="auto"/>
            </w:tcBorders>
            <w:hideMark/>
          </w:tcPr>
          <w:p w14:paraId="0F34412F" w14:textId="77777777"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Viedās specializācijas stratēģiju (-as) balsta uz:</w:t>
            </w:r>
          </w:p>
          <w:p w14:paraId="62B5564E"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inovāciju izplatīšanas, tostarp digitalizācijas, trūkumu aktuālu analīzi;</w:t>
            </w:r>
          </w:p>
          <w:p w14:paraId="61BCCAF2"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 xml:space="preserve">tādas reģionālās/valsts kompetentās iestādes vai struktūras pastāvēšanu, kas ir atbildīga par viedās specializācijas stratēģijas pārvaldību; </w:t>
            </w:r>
          </w:p>
          <w:p w14:paraId="22C2933D"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monitoringa un novērtēšanas rīkiem, kas paredzēti, lai vērtētu virzību uz stratēģijas mērķu sasniegšanu;</w:t>
            </w:r>
          </w:p>
          <w:p w14:paraId="1D973F2A"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uzņēmējdarbības potenciāla atklāšanas procesa efektīvu darbību;</w:t>
            </w:r>
          </w:p>
          <w:p w14:paraId="4E5EE3FB"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darbībām, kas nepieciešamas, lai uzlabotu valstu vai reģionālās pētniecības un inovācijas sistēmas;</w:t>
            </w:r>
          </w:p>
          <w:p w14:paraId="295CF717"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rūpniecības restrukturizācijas darbībām;</w:t>
            </w:r>
          </w:p>
          <w:p w14:paraId="6E7FFE33"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starptautiskās sadarbības pasākumiem.</w:t>
            </w:r>
          </w:p>
        </w:tc>
        <w:tc>
          <w:tcPr>
            <w:tcW w:w="3294" w:type="dxa"/>
            <w:tcBorders>
              <w:top w:val="single" w:sz="4" w:space="0" w:color="auto"/>
              <w:left w:val="single" w:sz="4" w:space="0" w:color="auto"/>
              <w:bottom w:val="single" w:sz="4" w:space="0" w:color="auto"/>
              <w:right w:val="single" w:sz="4" w:space="0" w:color="auto"/>
            </w:tcBorders>
            <w:hideMark/>
          </w:tcPr>
          <w:p w14:paraId="3F47EA5B" w14:textId="037C8199"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Plānā iekļautā inovāciju, pētniecības un dekarbonizācijas dimensija)</w:t>
            </w:r>
          </w:p>
        </w:tc>
      </w:tr>
      <w:tr w:rsidR="004F1052" w:rsidRPr="0030119C" w14:paraId="194AC311" w14:textId="77777777" w:rsidTr="004F1052">
        <w:trPr>
          <w:trHeight w:val="573"/>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14:paraId="3EC296FD"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 xml:space="preserve">2. Zaļāka Eiropa ar zemām oglekļa </w:t>
            </w:r>
            <w:r w:rsidRPr="0030119C">
              <w:rPr>
                <w:rFonts w:asciiTheme="minorHAnsi" w:hAnsiTheme="minorHAnsi" w:cstheme="minorHAnsi"/>
                <w:b/>
                <w:noProof/>
                <w:szCs w:val="24"/>
              </w:rPr>
              <w:lastRenderedPageBreak/>
              <w:t>emisijām, veicinot tīru un taisnīgu enerģētikas pārkārtošanu, “zaļas” un “zilas” investīcijas, aprites ekonomiku, pielāgošanos klimata pārmaiņām un risku novēršanu un pārvaldību</w:t>
            </w:r>
          </w:p>
        </w:tc>
        <w:tc>
          <w:tcPr>
            <w:tcW w:w="2556" w:type="dxa"/>
            <w:tcBorders>
              <w:top w:val="single" w:sz="4" w:space="0" w:color="auto"/>
              <w:left w:val="single" w:sz="4" w:space="0" w:color="auto"/>
              <w:bottom w:val="single" w:sz="4" w:space="0" w:color="auto"/>
              <w:right w:val="single" w:sz="4" w:space="0" w:color="auto"/>
            </w:tcBorders>
          </w:tcPr>
          <w:p w14:paraId="4A272C0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ERAF un Kohēzijas fonds. </w:t>
            </w:r>
          </w:p>
          <w:p w14:paraId="5BD099ED" w14:textId="25BCEFF4"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Energoefektivitātes pasākumu veicināšana</w:t>
            </w:r>
          </w:p>
          <w:p w14:paraId="6CADF854" w14:textId="77777777" w:rsidR="0030119C" w:rsidRPr="0030119C" w:rsidRDefault="0030119C" w:rsidP="000165BF">
            <w:pPr>
              <w:jc w:val="both"/>
              <w:rPr>
                <w:rFonts w:asciiTheme="minorHAnsi" w:hAnsiTheme="minorHAnsi" w:cstheme="minorHAnsi"/>
                <w:noProof/>
                <w:szCs w:val="24"/>
              </w:rPr>
            </w:pPr>
          </w:p>
          <w:p w14:paraId="691CA98C" w14:textId="77777777" w:rsidR="0030119C" w:rsidRPr="0030119C" w:rsidRDefault="0030119C" w:rsidP="000165BF">
            <w:pPr>
              <w:jc w:val="both"/>
              <w:rPr>
                <w:rFonts w:asciiTheme="minorHAnsi" w:hAnsiTheme="minorHAnsi" w:cstheme="minorHAnsi"/>
                <w:noProof/>
                <w:szCs w:val="24"/>
              </w:rPr>
            </w:pPr>
          </w:p>
          <w:p w14:paraId="0BA14398" w14:textId="77777777" w:rsidR="0030119C" w:rsidRPr="0030119C" w:rsidRDefault="0030119C" w:rsidP="000165BF">
            <w:pPr>
              <w:jc w:val="both"/>
              <w:rPr>
                <w:rFonts w:asciiTheme="minorHAnsi" w:hAnsiTheme="minorHAnsi" w:cstheme="minorHAnsi"/>
                <w:noProof/>
                <w:szCs w:val="24"/>
              </w:rPr>
            </w:pPr>
          </w:p>
          <w:p w14:paraId="44AAC8A1" w14:textId="77777777" w:rsidR="0030119C" w:rsidRPr="0030119C" w:rsidRDefault="0030119C" w:rsidP="000165BF">
            <w:pPr>
              <w:jc w:val="both"/>
              <w:rPr>
                <w:rFonts w:asciiTheme="minorHAnsi" w:hAnsiTheme="minorHAnsi" w:cstheme="minorHAnsi"/>
                <w:noProof/>
                <w:szCs w:val="24"/>
              </w:rPr>
            </w:pPr>
          </w:p>
          <w:p w14:paraId="66DF9AFB" w14:textId="77777777" w:rsidR="0030119C" w:rsidRPr="0030119C" w:rsidRDefault="0030119C" w:rsidP="000165BF">
            <w:pPr>
              <w:jc w:val="right"/>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2B498EDD" w14:textId="0B1D87F3" w:rsidR="0030119C" w:rsidRPr="0030119C" w:rsidRDefault="00A056F9" w:rsidP="000165BF">
            <w:pPr>
              <w:jc w:val="both"/>
              <w:rPr>
                <w:rFonts w:asciiTheme="minorHAnsi" w:hAnsiTheme="minorHAnsi" w:cstheme="minorHAnsi"/>
                <w:i/>
                <w:noProof/>
                <w:szCs w:val="24"/>
              </w:rPr>
            </w:pPr>
            <w:r w:rsidRPr="0030119C">
              <w:rPr>
                <w:rFonts w:asciiTheme="minorHAnsi" w:hAnsiTheme="minorHAnsi" w:cstheme="minorHAnsi"/>
                <w:noProof/>
                <w:szCs w:val="24"/>
              </w:rPr>
              <w:lastRenderedPageBreak/>
              <w:t>2.1. </w:t>
            </w:r>
            <w:r w:rsidR="0030119C" w:rsidRPr="0030119C">
              <w:rPr>
                <w:rFonts w:asciiTheme="minorHAnsi" w:hAnsiTheme="minorHAnsi" w:cstheme="minorHAnsi"/>
                <w:noProof/>
                <w:szCs w:val="24"/>
              </w:rPr>
              <w:t xml:space="preserve">Stratēģiskās politikas satvars, kas atbalsta dzīvojamo un </w:t>
            </w:r>
            <w:r w:rsidR="0030119C" w:rsidRPr="0030119C">
              <w:rPr>
                <w:rFonts w:asciiTheme="minorHAnsi" w:hAnsiTheme="minorHAnsi" w:cstheme="minorHAnsi"/>
                <w:noProof/>
                <w:szCs w:val="24"/>
              </w:rPr>
              <w:lastRenderedPageBreak/>
              <w:t>nedzīvojamo ēku renovēšanu energoefektivitātes uzlabošanai</w:t>
            </w:r>
          </w:p>
        </w:tc>
        <w:tc>
          <w:tcPr>
            <w:tcW w:w="4458" w:type="dxa"/>
            <w:tcBorders>
              <w:top w:val="single" w:sz="4" w:space="0" w:color="auto"/>
              <w:left w:val="single" w:sz="4" w:space="0" w:color="auto"/>
              <w:bottom w:val="single" w:sz="4" w:space="0" w:color="auto"/>
              <w:right w:val="single" w:sz="4" w:space="0" w:color="auto"/>
            </w:tcBorders>
            <w:hideMark/>
          </w:tcPr>
          <w:p w14:paraId="3FFA7B8B"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Saskaņā ar Direktīvas 2010/31/ES par ēku energoefektivitāti, lai atbalstītu valsts dzīvojamo un nedzīvojamo ēku </w:t>
            </w:r>
            <w:r w:rsidRPr="0030119C">
              <w:rPr>
                <w:rFonts w:asciiTheme="minorHAnsi" w:hAnsiTheme="minorHAnsi" w:cstheme="minorHAnsi"/>
                <w:noProof/>
                <w:szCs w:val="24"/>
              </w:rPr>
              <w:lastRenderedPageBreak/>
              <w:t>fonda renovāciju, ir pieņemta valsts ilgtermiņa renovācijas stratēģija, kas:</w:t>
            </w:r>
          </w:p>
          <w:p w14:paraId="0762536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satur indikatīvus atskaites punktus attiecībā uz 2030. un 2040. gadu un mērķus 2050. gadam;</w:t>
            </w:r>
          </w:p>
          <w:p w14:paraId="62252F1D"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sniedz indikatīvu budžeta resursu izklāstu stratēģijas īstenošanas atbalstam;</w:t>
            </w:r>
          </w:p>
          <w:p w14:paraId="478D4FF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 xml:space="preserve">nosaka efektīvus mehānismus, kas paredzēti, lai veicinātu investīcijas ēku renovācijā.  </w:t>
            </w:r>
          </w:p>
          <w:p w14:paraId="13409351"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t xml:space="preserve">Energoefektivitātes uzlabošanas pasākumi nepieciešamo enerģijas ietaupījumu panākšanai. </w:t>
            </w:r>
          </w:p>
        </w:tc>
        <w:tc>
          <w:tcPr>
            <w:tcW w:w="3294" w:type="dxa"/>
            <w:tcBorders>
              <w:top w:val="single" w:sz="4" w:space="0" w:color="auto"/>
              <w:left w:val="single" w:sz="4" w:space="0" w:color="auto"/>
              <w:bottom w:val="single" w:sz="4" w:space="0" w:color="auto"/>
              <w:right w:val="single" w:sz="4" w:space="0" w:color="auto"/>
            </w:tcBorders>
            <w:hideMark/>
          </w:tcPr>
          <w:p w14:paraId="2F6037D5" w14:textId="04455AAE"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Pānā iekļautā energoefektivitātes dimensija</w:t>
            </w:r>
          </w:p>
        </w:tc>
      </w:tr>
      <w:tr w:rsidR="004F1052" w:rsidRPr="0030119C" w14:paraId="2BA0800A" w14:textId="77777777" w:rsidTr="004F1052">
        <w:trPr>
          <w:trHeight w:val="2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A3119"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41AA88B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464AA466" w14:textId="73B46EB8"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Energoefektivitātes pasākumu veicināšana</w:t>
            </w:r>
          </w:p>
          <w:p w14:paraId="3891BC70" w14:textId="6C087ACF"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AE veicināšana, investējot ražošanas jaudā</w:t>
            </w:r>
          </w:p>
        </w:tc>
        <w:tc>
          <w:tcPr>
            <w:tcW w:w="2353" w:type="dxa"/>
            <w:tcBorders>
              <w:top w:val="single" w:sz="4" w:space="0" w:color="auto"/>
              <w:left w:val="single" w:sz="4" w:space="0" w:color="auto"/>
              <w:bottom w:val="single" w:sz="4" w:space="0" w:color="auto"/>
              <w:right w:val="single" w:sz="4" w:space="0" w:color="auto"/>
            </w:tcBorders>
            <w:hideMark/>
          </w:tcPr>
          <w:p w14:paraId="49F6F74B" w14:textId="3F78A4ED"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t xml:space="preserve">2.2. </w:t>
            </w:r>
            <w:r w:rsidR="0030119C" w:rsidRPr="0030119C">
              <w:rPr>
                <w:rFonts w:asciiTheme="minorHAnsi" w:hAnsiTheme="minorHAnsi" w:cstheme="minorHAnsi"/>
                <w:noProof/>
                <w:szCs w:val="24"/>
              </w:rPr>
              <w:t xml:space="preserve">Enerģētikas nozares pārvaldība </w:t>
            </w:r>
          </w:p>
        </w:tc>
        <w:tc>
          <w:tcPr>
            <w:tcW w:w="4458" w:type="dxa"/>
            <w:tcBorders>
              <w:top w:val="single" w:sz="4" w:space="0" w:color="auto"/>
              <w:left w:val="single" w:sz="4" w:space="0" w:color="auto"/>
              <w:bottom w:val="single" w:sz="4" w:space="0" w:color="auto"/>
              <w:right w:val="single" w:sz="4" w:space="0" w:color="auto"/>
            </w:tcBorders>
            <w:hideMark/>
          </w:tcPr>
          <w:p w14:paraId="2279D3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pieņemts valsts enerģētikas un klimata plāns, un tas ietver:</w:t>
            </w:r>
          </w:p>
          <w:p w14:paraId="36B6E514" w14:textId="196A4C05"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 xml:space="preserve">visus </w:t>
            </w:r>
            <w:r w:rsidR="00A056F9">
              <w:rPr>
                <w:rFonts w:asciiTheme="minorHAnsi" w:hAnsiTheme="minorHAnsi" w:cstheme="minorHAnsi"/>
                <w:noProof/>
                <w:szCs w:val="24"/>
              </w:rPr>
              <w:t>Regulas 2018/1999</w:t>
            </w:r>
            <w:r w:rsidRPr="0030119C">
              <w:rPr>
                <w:rFonts w:asciiTheme="minorHAnsi" w:hAnsiTheme="minorHAnsi" w:cstheme="minorHAnsi"/>
                <w:noProof/>
                <w:szCs w:val="24"/>
              </w:rPr>
              <w:t xml:space="preserve"> I pielikuma veidnē prasītos elementus;</w:t>
            </w:r>
          </w:p>
          <w:p w14:paraId="217F03F6" w14:textId="77777777"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mazoglekļa enerģijas veicināšanas pasākumiem paredzēto finanšu resursu un mehānismu indikatīvu izklāstu.</w:t>
            </w:r>
          </w:p>
        </w:tc>
        <w:tc>
          <w:tcPr>
            <w:tcW w:w="3294" w:type="dxa"/>
            <w:tcBorders>
              <w:top w:val="single" w:sz="4" w:space="0" w:color="auto"/>
              <w:left w:val="single" w:sz="4" w:space="0" w:color="auto"/>
              <w:bottom w:val="single" w:sz="4" w:space="0" w:color="auto"/>
              <w:right w:val="single" w:sz="4" w:space="0" w:color="auto"/>
            </w:tcBorders>
            <w:hideMark/>
          </w:tcPr>
          <w:p w14:paraId="20C7CA16" w14:textId="64408F60"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Plāna apstiprināšana Ministru kabinetā paredzēta 2019.gada </w:t>
            </w:r>
            <w:r w:rsidR="0050401D">
              <w:rPr>
                <w:rFonts w:asciiTheme="minorHAnsi" w:hAnsiTheme="minorHAnsi" w:cstheme="minorHAnsi"/>
                <w:noProof/>
                <w:szCs w:val="24"/>
              </w:rPr>
              <w:t>17.decembrī</w:t>
            </w:r>
          </w:p>
        </w:tc>
      </w:tr>
      <w:tr w:rsidR="004F1052" w:rsidRPr="0030119C" w14:paraId="408A2A60"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CD580"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4F776F7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33FCB5AC" w14:textId="1DF30C13"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AE veicināšana, investējot ražošanas jaudā</w:t>
            </w:r>
          </w:p>
          <w:p w14:paraId="00D26839" w14:textId="77777777" w:rsidR="0030119C" w:rsidRPr="0030119C" w:rsidRDefault="0030119C" w:rsidP="000165BF">
            <w:pPr>
              <w:jc w:val="both"/>
              <w:rPr>
                <w:rFonts w:asciiTheme="minorHAnsi" w:hAnsiTheme="minorHAnsi" w:cstheme="minorHAnsi"/>
                <w:noProof/>
                <w:szCs w:val="24"/>
              </w:rPr>
            </w:pPr>
          </w:p>
          <w:p w14:paraId="22F4F2EE"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2A184BFC" w14:textId="2DF0B301"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lastRenderedPageBreak/>
              <w:t xml:space="preserve">2.3. </w:t>
            </w:r>
            <w:r w:rsidR="0030119C" w:rsidRPr="0030119C">
              <w:rPr>
                <w:rFonts w:asciiTheme="minorHAnsi" w:hAnsiTheme="minorHAnsi" w:cstheme="minorHAnsi"/>
                <w:noProof/>
                <w:szCs w:val="24"/>
              </w:rPr>
              <w:t xml:space="preserve">Efektīvi veicināt AE izmantošanu dažādās nozarēs un visā ES </w:t>
            </w:r>
          </w:p>
        </w:tc>
        <w:tc>
          <w:tcPr>
            <w:tcW w:w="4458" w:type="dxa"/>
            <w:tcBorders>
              <w:top w:val="single" w:sz="4" w:space="0" w:color="auto"/>
              <w:left w:val="single" w:sz="4" w:space="0" w:color="auto"/>
              <w:bottom w:val="single" w:sz="4" w:space="0" w:color="auto"/>
              <w:right w:val="single" w:sz="4" w:space="0" w:color="auto"/>
            </w:tcBorders>
            <w:hideMark/>
          </w:tcPr>
          <w:p w14:paraId="0127D8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sagatavoti pasākumi, kas nodrošina:</w:t>
            </w:r>
          </w:p>
          <w:p w14:paraId="37F845E9" w14:textId="77777777" w:rsidR="004F1052" w:rsidRDefault="00A056F9" w:rsidP="00A056F9">
            <w:pPr>
              <w:ind w:left="360"/>
              <w:jc w:val="both"/>
              <w:rPr>
                <w:rFonts w:asciiTheme="minorHAnsi" w:hAnsiTheme="minorHAnsi" w:cstheme="minorHAnsi"/>
                <w:noProof/>
                <w:szCs w:val="24"/>
              </w:rPr>
            </w:pPr>
            <w:r>
              <w:rPr>
                <w:rFonts w:asciiTheme="minorHAnsi" w:hAnsiTheme="minorHAnsi" w:cstheme="minorHAnsi"/>
                <w:noProof/>
                <w:szCs w:val="24"/>
              </w:rPr>
              <w:t xml:space="preserve">1. </w:t>
            </w:r>
            <w:r w:rsidRPr="00A056F9">
              <w:rPr>
                <w:rFonts w:asciiTheme="minorHAnsi" w:hAnsiTheme="minorHAnsi" w:cstheme="minorHAnsi"/>
                <w:noProof/>
                <w:szCs w:val="24"/>
              </w:rPr>
              <w:t>Atbilstīb</w:t>
            </w:r>
            <w:r>
              <w:rPr>
                <w:rFonts w:asciiTheme="minorHAnsi" w:hAnsiTheme="minorHAnsi" w:cstheme="minorHAnsi"/>
                <w:noProof/>
                <w:szCs w:val="24"/>
              </w:rPr>
              <w:t>u</w:t>
            </w:r>
            <w:r w:rsidRPr="00A056F9">
              <w:rPr>
                <w:rFonts w:asciiTheme="minorHAnsi" w:hAnsiTheme="minorHAnsi" w:cstheme="minorHAnsi"/>
                <w:noProof/>
                <w:szCs w:val="24"/>
              </w:rPr>
              <w:t xml:space="preserve"> 2020. gadam saistošajam valsts </w:t>
            </w:r>
            <w:r>
              <w:rPr>
                <w:rFonts w:asciiTheme="minorHAnsi" w:hAnsiTheme="minorHAnsi" w:cstheme="minorHAnsi"/>
                <w:noProof/>
                <w:szCs w:val="24"/>
              </w:rPr>
              <w:t>AER</w:t>
            </w:r>
            <w:r w:rsidRPr="00A056F9">
              <w:rPr>
                <w:rFonts w:asciiTheme="minorHAnsi" w:hAnsiTheme="minorHAnsi" w:cstheme="minorHAnsi"/>
                <w:noProof/>
                <w:szCs w:val="24"/>
              </w:rPr>
              <w:t xml:space="preserve"> mērķim un</w:t>
            </w:r>
            <w:r>
              <w:rPr>
                <w:rFonts w:asciiTheme="minorHAnsi" w:hAnsiTheme="minorHAnsi" w:cstheme="minorHAnsi"/>
                <w:noProof/>
                <w:szCs w:val="24"/>
              </w:rPr>
              <w:t xml:space="preserve"> </w:t>
            </w:r>
            <w:r w:rsidRPr="00A056F9">
              <w:rPr>
                <w:rFonts w:asciiTheme="minorHAnsi" w:hAnsiTheme="minorHAnsi" w:cstheme="minorHAnsi"/>
                <w:noProof/>
                <w:szCs w:val="24"/>
              </w:rPr>
              <w:t xml:space="preserve">ar </w:t>
            </w:r>
            <w:r w:rsidR="004F1052">
              <w:rPr>
                <w:rFonts w:asciiTheme="minorHAnsi" w:hAnsiTheme="minorHAnsi" w:cstheme="minorHAnsi"/>
                <w:noProof/>
                <w:szCs w:val="24"/>
              </w:rPr>
              <w:t>šim</w:t>
            </w:r>
            <w:r w:rsidRPr="00A056F9">
              <w:rPr>
                <w:rFonts w:asciiTheme="minorHAnsi" w:hAnsiTheme="minorHAnsi" w:cstheme="minorHAnsi"/>
                <w:noProof/>
                <w:szCs w:val="24"/>
              </w:rPr>
              <w:t xml:space="preserve"> </w:t>
            </w:r>
            <w:r>
              <w:rPr>
                <w:rFonts w:asciiTheme="minorHAnsi" w:hAnsiTheme="minorHAnsi" w:cstheme="minorHAnsi"/>
                <w:noProof/>
                <w:szCs w:val="24"/>
              </w:rPr>
              <w:t>AE</w:t>
            </w:r>
            <w:r w:rsidRPr="00A056F9">
              <w:rPr>
                <w:rFonts w:asciiTheme="minorHAnsi" w:hAnsiTheme="minorHAnsi" w:cstheme="minorHAnsi"/>
                <w:noProof/>
                <w:szCs w:val="24"/>
              </w:rPr>
              <w:t xml:space="preserve"> īpatsvar</w:t>
            </w:r>
            <w:r w:rsidR="004F1052">
              <w:rPr>
                <w:rFonts w:asciiTheme="minorHAnsi" w:hAnsiTheme="minorHAnsi" w:cstheme="minorHAnsi"/>
                <w:noProof/>
                <w:szCs w:val="24"/>
              </w:rPr>
              <w:t>am</w:t>
            </w:r>
            <w:r w:rsidRPr="00A056F9">
              <w:rPr>
                <w:rFonts w:asciiTheme="minorHAnsi" w:hAnsiTheme="minorHAnsi" w:cstheme="minorHAnsi"/>
                <w:noProof/>
                <w:szCs w:val="24"/>
              </w:rPr>
              <w:t xml:space="preserve"> kā pamatscenārij</w:t>
            </w:r>
            <w:r w:rsidR="004F1052">
              <w:rPr>
                <w:rFonts w:asciiTheme="minorHAnsi" w:hAnsiTheme="minorHAnsi" w:cstheme="minorHAnsi"/>
                <w:noProof/>
                <w:szCs w:val="24"/>
              </w:rPr>
              <w:t>am</w:t>
            </w:r>
            <w:r w:rsidRPr="00A056F9">
              <w:rPr>
                <w:rFonts w:asciiTheme="minorHAnsi" w:hAnsiTheme="minorHAnsi" w:cstheme="minorHAnsi"/>
                <w:noProof/>
                <w:szCs w:val="24"/>
              </w:rPr>
              <w:t xml:space="preserve"> līdz 2030. gadam vai</w:t>
            </w:r>
            <w:r w:rsidR="004F1052">
              <w:rPr>
                <w:rFonts w:asciiTheme="minorHAnsi" w:hAnsiTheme="minorHAnsi" w:cstheme="minorHAnsi"/>
                <w:noProof/>
                <w:szCs w:val="24"/>
              </w:rPr>
              <w:t xml:space="preserve"> </w:t>
            </w:r>
            <w:r w:rsidRPr="00A056F9">
              <w:rPr>
                <w:rFonts w:asciiTheme="minorHAnsi" w:hAnsiTheme="minorHAnsi" w:cstheme="minorHAnsi"/>
                <w:noProof/>
                <w:szCs w:val="24"/>
              </w:rPr>
              <w:t>papildu pasākum</w:t>
            </w:r>
            <w:r w:rsidR="004F1052">
              <w:rPr>
                <w:rFonts w:asciiTheme="minorHAnsi" w:hAnsiTheme="minorHAnsi" w:cstheme="minorHAnsi"/>
                <w:noProof/>
                <w:szCs w:val="24"/>
              </w:rPr>
              <w:t xml:space="preserve">u </w:t>
            </w:r>
            <w:r w:rsidR="004F1052">
              <w:rPr>
                <w:rFonts w:asciiTheme="minorHAnsi" w:hAnsiTheme="minorHAnsi" w:cstheme="minorHAnsi"/>
                <w:noProof/>
                <w:szCs w:val="24"/>
              </w:rPr>
              <w:lastRenderedPageBreak/>
              <w:t>veikšanu</w:t>
            </w:r>
            <w:r w:rsidRPr="00A056F9">
              <w:rPr>
                <w:rFonts w:asciiTheme="minorHAnsi" w:hAnsiTheme="minorHAnsi" w:cstheme="minorHAnsi"/>
                <w:noProof/>
                <w:szCs w:val="24"/>
              </w:rPr>
              <w:t>, ja pamatscenārijs netiek saglabāts</w:t>
            </w:r>
            <w:r>
              <w:rPr>
                <w:rFonts w:asciiTheme="minorHAnsi" w:hAnsiTheme="minorHAnsi" w:cstheme="minorHAnsi"/>
                <w:noProof/>
                <w:szCs w:val="24"/>
              </w:rPr>
              <w:t xml:space="preserve"> </w:t>
            </w:r>
            <w:r w:rsidRPr="00A056F9">
              <w:rPr>
                <w:rFonts w:asciiTheme="minorHAnsi" w:hAnsiTheme="minorHAnsi" w:cstheme="minorHAnsi"/>
                <w:noProof/>
                <w:szCs w:val="24"/>
              </w:rPr>
              <w:t>katru gadu saskaņā ar Direktīvu 2018/2001</w:t>
            </w:r>
            <w:r>
              <w:rPr>
                <w:rFonts w:asciiTheme="minorHAnsi" w:hAnsiTheme="minorHAnsi" w:cstheme="minorHAnsi"/>
                <w:noProof/>
                <w:szCs w:val="24"/>
              </w:rPr>
              <w:t xml:space="preserve"> un </w:t>
            </w:r>
            <w:r w:rsidRPr="00A056F9">
              <w:rPr>
                <w:rFonts w:asciiTheme="minorHAnsi" w:hAnsiTheme="minorHAnsi" w:cstheme="minorHAnsi"/>
                <w:noProof/>
                <w:szCs w:val="24"/>
              </w:rPr>
              <w:t>un Regulu 2018/1999</w:t>
            </w:r>
          </w:p>
          <w:p w14:paraId="7CFB8C74" w14:textId="7FD136F7" w:rsidR="0030119C" w:rsidRPr="0030119C" w:rsidRDefault="00A056F9" w:rsidP="00461EED">
            <w:pPr>
              <w:jc w:val="both"/>
              <w:rPr>
                <w:rFonts w:asciiTheme="minorHAnsi" w:hAnsiTheme="minorHAnsi" w:cstheme="minorHAnsi"/>
                <w:noProof/>
                <w:szCs w:val="24"/>
              </w:rPr>
            </w:pPr>
            <w:r w:rsidRPr="00A056F9">
              <w:rPr>
                <w:rFonts w:asciiTheme="minorHAnsi" w:hAnsiTheme="minorHAnsi" w:cstheme="minorHAnsi"/>
                <w:noProof/>
                <w:szCs w:val="24"/>
              </w:rPr>
              <w:t>2. Saskaņā ar</w:t>
            </w:r>
            <w:r w:rsidR="004F1052">
              <w:rPr>
                <w:rFonts w:asciiTheme="minorHAnsi" w:hAnsiTheme="minorHAnsi" w:cstheme="minorHAnsi"/>
                <w:noProof/>
                <w:szCs w:val="24"/>
              </w:rPr>
              <w:t xml:space="preserve"> Direktīvu 2018/2001 un Regulu 2018/1999 – AER </w:t>
            </w:r>
            <w:r w:rsidRPr="00A056F9">
              <w:rPr>
                <w:rFonts w:asciiTheme="minorHAnsi" w:hAnsiTheme="minorHAnsi" w:cstheme="minorHAnsi"/>
                <w:noProof/>
                <w:szCs w:val="24"/>
              </w:rPr>
              <w:t>īpatsvara palielināšana siltumapgādē un</w:t>
            </w:r>
            <w:r w:rsidR="004F1052">
              <w:rPr>
                <w:rFonts w:asciiTheme="minorHAnsi" w:hAnsiTheme="minorHAnsi" w:cstheme="minorHAnsi"/>
                <w:noProof/>
                <w:szCs w:val="24"/>
              </w:rPr>
              <w:t xml:space="preserve"> aukstumapgādē</w:t>
            </w:r>
          </w:p>
        </w:tc>
        <w:tc>
          <w:tcPr>
            <w:tcW w:w="3294" w:type="dxa"/>
            <w:tcBorders>
              <w:top w:val="single" w:sz="4" w:space="0" w:color="auto"/>
              <w:left w:val="single" w:sz="4" w:space="0" w:color="auto"/>
              <w:bottom w:val="single" w:sz="4" w:space="0" w:color="auto"/>
              <w:right w:val="single" w:sz="4" w:space="0" w:color="auto"/>
            </w:tcBorders>
            <w:hideMark/>
          </w:tcPr>
          <w:p w14:paraId="29D66C56" w14:textId="77777777" w:rsidR="0050401D"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Plānā iekļautā dekarbonizācijas </w:t>
            </w:r>
            <w:r w:rsidR="0050401D">
              <w:rPr>
                <w:rFonts w:asciiTheme="minorHAnsi" w:hAnsiTheme="minorHAnsi" w:cstheme="minorHAnsi"/>
                <w:noProof/>
                <w:szCs w:val="24"/>
              </w:rPr>
              <w:t>dimensijas AER apakšdimensija</w:t>
            </w:r>
          </w:p>
          <w:p w14:paraId="59482A43" w14:textId="5D7687DD" w:rsidR="0030119C" w:rsidRPr="0030119C" w:rsidRDefault="0030119C" w:rsidP="000165BF">
            <w:pPr>
              <w:jc w:val="both"/>
              <w:rPr>
                <w:rFonts w:asciiTheme="minorHAnsi" w:hAnsiTheme="minorHAnsi" w:cstheme="minorHAnsi"/>
                <w:noProof/>
                <w:szCs w:val="24"/>
              </w:rPr>
            </w:pPr>
          </w:p>
        </w:tc>
      </w:tr>
      <w:tr w:rsidR="004F1052" w:rsidRPr="0030119C" w14:paraId="5CAB967D"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87D25"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0235A6D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6FA53DED" w14:textId="77777777" w:rsidR="00A056F9" w:rsidRDefault="00A056F9" w:rsidP="000165BF">
            <w:pPr>
              <w:jc w:val="both"/>
              <w:rPr>
                <w:rFonts w:asciiTheme="minorHAnsi" w:hAnsiTheme="minorHAnsi" w:cstheme="minorHAnsi"/>
                <w:noProof/>
                <w:szCs w:val="24"/>
              </w:rPr>
            </w:pPr>
          </w:p>
          <w:p w14:paraId="5F4F75DA" w14:textId="2747114A"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Veicināt pielāgošanos klimata pārmaiņām, risku novēršanu un noturību pret katastrofām</w:t>
            </w:r>
          </w:p>
          <w:p w14:paraId="066918EC" w14:textId="77777777" w:rsidR="0030119C" w:rsidRPr="0030119C" w:rsidRDefault="0030119C" w:rsidP="000165BF">
            <w:pPr>
              <w:jc w:val="both"/>
              <w:rPr>
                <w:rFonts w:asciiTheme="minorHAnsi" w:hAnsiTheme="minorHAnsi" w:cstheme="minorHAnsi"/>
                <w:noProof/>
                <w:szCs w:val="24"/>
              </w:rPr>
            </w:pPr>
          </w:p>
          <w:p w14:paraId="08EDCF5C"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2638A3B0" w14:textId="4E7B11AC"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t xml:space="preserve">2.4. </w:t>
            </w:r>
            <w:r w:rsidR="0030119C" w:rsidRPr="0030119C">
              <w:rPr>
                <w:rFonts w:asciiTheme="minorHAnsi" w:hAnsiTheme="minorHAnsi" w:cstheme="minorHAnsi"/>
                <w:noProof/>
                <w:szCs w:val="24"/>
              </w:rPr>
              <w:t>Efektīvs katastrofu risku pārvaldības satvars</w:t>
            </w:r>
          </w:p>
          <w:p w14:paraId="65EC514E" w14:textId="77777777" w:rsidR="0030119C" w:rsidRPr="0030119C" w:rsidRDefault="0030119C" w:rsidP="000165BF">
            <w:pPr>
              <w:jc w:val="both"/>
              <w:rPr>
                <w:rFonts w:asciiTheme="minorHAnsi" w:hAnsiTheme="minorHAnsi" w:cstheme="minorHAnsi"/>
                <w:noProof/>
                <w:szCs w:val="24"/>
              </w:rPr>
            </w:pPr>
          </w:p>
          <w:p w14:paraId="35F80A48" w14:textId="77777777" w:rsidR="0030119C" w:rsidRPr="0030119C" w:rsidRDefault="0030119C" w:rsidP="000165BF">
            <w:pPr>
              <w:jc w:val="both"/>
              <w:rPr>
                <w:rFonts w:asciiTheme="minorHAnsi" w:hAnsiTheme="minorHAnsi" w:cstheme="minorHAnsi"/>
                <w:noProof/>
                <w:szCs w:val="24"/>
              </w:rPr>
            </w:pPr>
          </w:p>
        </w:tc>
        <w:tc>
          <w:tcPr>
            <w:tcW w:w="4458" w:type="dxa"/>
            <w:tcBorders>
              <w:top w:val="single" w:sz="4" w:space="0" w:color="auto"/>
              <w:left w:val="single" w:sz="4" w:space="0" w:color="auto"/>
              <w:bottom w:val="single" w:sz="4" w:space="0" w:color="auto"/>
              <w:right w:val="single" w:sz="4" w:space="0" w:color="auto"/>
            </w:tcBorders>
          </w:tcPr>
          <w:p w14:paraId="07AF4A0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vai reģionālais katastrofu risku pārvaldības plāns, kas atbilst spēkā esošajām stratēģijām attiecībā uz pielāgošanos klimata pārmaiņām un kas ietver:</w:t>
            </w:r>
          </w:p>
          <w:p w14:paraId="6AB85253"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galveno risku aprakstu, kuri novērtēti saskaņā ar Lēmuma Nr. 1313/2013/ES 6. panta a) punkts noteikumiem; apraksts atspoguļo pašreizējos un ilgtermiņa (25 līdz 35 gadi) draudus. Attiecībā uz riskiem, kas saistīti ar klimatu, novērtējums balstās uz klimata pārmaiņu prognozēm un scenārijiem;</w:t>
            </w:r>
          </w:p>
          <w:p w14:paraId="3C3B1B2F"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 xml:space="preserve">lai risinātu galvenos identificētos riskus, aprakstu par pasākumiem katastrofu novēršanai, sagatavošanos tām un reaģēšanai. Proporcionāli riskiem un to ekonomiskajai ietekmei, spēju </w:t>
            </w:r>
            <w:r w:rsidRPr="0030119C">
              <w:rPr>
                <w:rFonts w:asciiTheme="minorHAnsi" w:hAnsiTheme="minorHAnsi" w:cstheme="minorHAnsi"/>
                <w:noProof/>
                <w:szCs w:val="24"/>
              </w:rPr>
              <w:lastRenderedPageBreak/>
              <w:t>nepietiekamībai</w:t>
            </w:r>
            <w:r w:rsidRPr="0030119C">
              <w:rPr>
                <w:rFonts w:asciiTheme="minorHAnsi" w:hAnsiTheme="minorHAnsi" w:cstheme="minorHAnsi"/>
                <w:noProof/>
                <w:szCs w:val="24"/>
                <w:vertAlign w:val="superscript"/>
              </w:rPr>
              <w:footnoteReference w:id="5"/>
            </w:r>
            <w:r w:rsidRPr="0030119C">
              <w:rPr>
                <w:rFonts w:asciiTheme="minorHAnsi" w:hAnsiTheme="minorHAnsi" w:cstheme="minorHAnsi"/>
                <w:noProof/>
                <w:szCs w:val="24"/>
              </w:rPr>
              <w:t xml:space="preserve">, efektivitātei un iedarbīgumam, pasākumiem nosaka prioritāti, ņemot vērā iespējamās alternatīvas; </w:t>
            </w:r>
          </w:p>
          <w:p w14:paraId="428EBC88"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informāciju par budžeta un finanšu resursiem un mehānismiem, kas pieejami, lai segtu darbības un uzturēšanas izmaksas, kas saistītas ar novēršanu, sagatavošanos un reaģēšanu.</w:t>
            </w:r>
          </w:p>
          <w:p w14:paraId="78E37ACE" w14:textId="77777777" w:rsidR="0030119C" w:rsidRPr="0030119C" w:rsidRDefault="0030119C" w:rsidP="000165BF">
            <w:pPr>
              <w:ind w:left="317"/>
              <w:jc w:val="both"/>
              <w:rPr>
                <w:rFonts w:asciiTheme="minorHAnsi" w:hAnsiTheme="minorHAnsi" w:cstheme="minorHAnsi"/>
                <w:noProof/>
                <w:szCs w:val="24"/>
              </w:rPr>
            </w:pPr>
          </w:p>
        </w:tc>
        <w:tc>
          <w:tcPr>
            <w:tcW w:w="3294" w:type="dxa"/>
            <w:tcBorders>
              <w:top w:val="single" w:sz="4" w:space="0" w:color="auto"/>
              <w:left w:val="single" w:sz="4" w:space="0" w:color="auto"/>
              <w:bottom w:val="single" w:sz="4" w:space="0" w:color="auto"/>
              <w:right w:val="single" w:sz="4" w:space="0" w:color="auto"/>
            </w:tcBorders>
            <w:hideMark/>
          </w:tcPr>
          <w:p w14:paraId="49EB2307" w14:textId="78C0CE55" w:rsidR="0030119C" w:rsidRPr="0030119C" w:rsidRDefault="004F1052" w:rsidP="000165BF">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w:t>
            </w:r>
            <w:r w:rsidRPr="0030119C">
              <w:rPr>
                <w:rFonts w:asciiTheme="minorHAnsi" w:hAnsiTheme="minorHAnsi" w:cstheme="minorHAnsi"/>
                <w:noProof/>
                <w:color w:val="000000"/>
                <w:szCs w:val="24"/>
              </w:rPr>
              <w:t xml:space="preserve">ttiecas </w:t>
            </w:r>
            <w:r w:rsidR="0030119C" w:rsidRPr="0030119C">
              <w:rPr>
                <w:rFonts w:asciiTheme="minorHAnsi" w:hAnsiTheme="minorHAnsi" w:cstheme="minorHAnsi"/>
                <w:noProof/>
                <w:color w:val="000000"/>
                <w:szCs w:val="24"/>
              </w:rPr>
              <w:t>uz Plāna aptvērum</w:t>
            </w:r>
            <w:r>
              <w:rPr>
                <w:rFonts w:asciiTheme="minorHAnsi" w:hAnsiTheme="minorHAnsi" w:cstheme="minorHAnsi"/>
                <w:noProof/>
                <w:color w:val="000000"/>
                <w:szCs w:val="24"/>
              </w:rPr>
              <w:t>a tiktāl, cik tas skar pielāgošanās klimata pārmaiņām jautājumus</w:t>
            </w:r>
          </w:p>
        </w:tc>
      </w:tr>
      <w:tr w:rsidR="004F1052" w:rsidRPr="0030119C" w14:paraId="080DE784"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9162C"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00946AE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58D50B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2.5. Veicināt ūdensefektivitāti</w:t>
            </w:r>
          </w:p>
          <w:p w14:paraId="0034D3C3" w14:textId="77777777" w:rsidR="0030119C" w:rsidRPr="0030119C" w:rsidRDefault="0030119C" w:rsidP="000165BF">
            <w:pPr>
              <w:jc w:val="both"/>
              <w:rPr>
                <w:rFonts w:asciiTheme="minorHAnsi" w:hAnsiTheme="minorHAnsi" w:cstheme="minorHAnsi"/>
                <w:noProof/>
                <w:szCs w:val="24"/>
              </w:rPr>
            </w:pPr>
          </w:p>
          <w:p w14:paraId="05ACA0CE"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4AA1C4D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Atjaunināts plāns par nepieciešamajām investīcijām ūdensapgādes un notekūdeņu nozarēs </w:t>
            </w:r>
          </w:p>
        </w:tc>
        <w:tc>
          <w:tcPr>
            <w:tcW w:w="4458" w:type="dxa"/>
            <w:tcBorders>
              <w:top w:val="single" w:sz="4" w:space="0" w:color="auto"/>
              <w:left w:val="single" w:sz="4" w:space="0" w:color="auto"/>
              <w:bottom w:val="single" w:sz="4" w:space="0" w:color="auto"/>
              <w:right w:val="single" w:sz="4" w:space="0" w:color="auto"/>
            </w:tcBorders>
            <w:hideMark/>
          </w:tcPr>
          <w:p w14:paraId="3B08872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investīciju plāns, un tas ietver:</w:t>
            </w:r>
          </w:p>
          <w:p w14:paraId="513625E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Komunālo notekūdeņu attīrīšanas direktīvas (KNAD) 91/271/EEK un Dzeramā ūdens direktīvas (DzŪD) 98/83/EK pašreizējās īstenošanas situācijas novērtējumu;</w:t>
            </w:r>
          </w:p>
          <w:p w14:paraId="2559125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visu publisko investīciju identificēšanu un plānošanu, tostarp indikatīvu izmaksu aprēķinu:</w:t>
            </w:r>
          </w:p>
          <w:p w14:paraId="6521845F"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panāktu atbilstību KNAD, tostarp prioritārās kārtības noteikšanu attiecībā uz aglomerāciju lielumu un ietekmi uz </w:t>
            </w:r>
            <w:r w:rsidRPr="0030119C">
              <w:rPr>
                <w:rFonts w:asciiTheme="minorHAnsi" w:hAnsiTheme="minorHAnsi" w:cstheme="minorHAnsi"/>
                <w:noProof/>
                <w:szCs w:val="24"/>
              </w:rPr>
              <w:lastRenderedPageBreak/>
              <w:t>vidi, norādot investīciju sadalījumu pēc notekūdeņu aglomerācijas;</w:t>
            </w:r>
          </w:p>
          <w:p w14:paraId="51E01883"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īstenotu DzŪD (Dzeramā ūdens direktīvu 98/83/EK); </w:t>
            </w:r>
          </w:p>
          <w:p w14:paraId="1D1937ED"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apmierinātu vajadzības, kuras izriet no ierosinātās pārstrādāšanas (COM(2017)753 final), jo īpaši ņemot vērā pārskatītos kvalitātes parametrus, kas sīki izklāstīti I pielikumā; </w:t>
            </w:r>
          </w:p>
          <w:p w14:paraId="6B834CD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esošās notekūdeņu un ūdensapgādes infrastruktūras, tostarp tīklu, atjaunošanai nepieciešamo investīciju aprēķinu, kas balstīts uz to vecumu un nolietojuma plāniem;</w:t>
            </w:r>
          </w:p>
          <w:p w14:paraId="2728F5A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norādi par iespējamiem publiskā finansējuma avotiem, ja nepieciešams papildināt lietotājiem piemērotās maksas. </w:t>
            </w:r>
          </w:p>
        </w:tc>
        <w:tc>
          <w:tcPr>
            <w:tcW w:w="3294" w:type="dxa"/>
            <w:tcBorders>
              <w:top w:val="single" w:sz="4" w:space="0" w:color="auto"/>
              <w:left w:val="single" w:sz="4" w:space="0" w:color="auto"/>
              <w:bottom w:val="single" w:sz="4" w:space="0" w:color="auto"/>
              <w:right w:val="single" w:sz="4" w:space="0" w:color="auto"/>
            </w:tcBorders>
            <w:hideMark/>
          </w:tcPr>
          <w:p w14:paraId="5B186412" w14:textId="2B7479A7" w:rsidR="004F1052" w:rsidRDefault="004F1052" w:rsidP="000165BF">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Attiecas uz Plāna aptvērumu tiktāl, cik tas skar SEG emisiju samazināšanu no notekūdeņu apsaimniekošanas</w:t>
            </w:r>
          </w:p>
          <w:p w14:paraId="6965F8FD" w14:textId="1C547C62" w:rsidR="0030119C" w:rsidRPr="0030119C" w:rsidRDefault="0030119C" w:rsidP="000165BF">
            <w:pPr>
              <w:rPr>
                <w:rFonts w:asciiTheme="minorHAnsi" w:hAnsiTheme="minorHAnsi" w:cstheme="minorHAnsi"/>
                <w:noProof/>
                <w:color w:val="000000"/>
                <w:szCs w:val="24"/>
              </w:rPr>
            </w:pPr>
          </w:p>
        </w:tc>
      </w:tr>
      <w:tr w:rsidR="004F1052" w:rsidRPr="0030119C" w14:paraId="089F0F3B"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7721F"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3961C77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772DB62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2.6. Attīstīt (pāriet uz) aprites ekonomiku, investējot atkritumu </w:t>
            </w:r>
            <w:r w:rsidRPr="0030119C">
              <w:rPr>
                <w:rFonts w:asciiTheme="minorHAnsi" w:hAnsiTheme="minorHAnsi" w:cstheme="minorHAnsi"/>
                <w:noProof/>
                <w:szCs w:val="24"/>
              </w:rPr>
              <w:lastRenderedPageBreak/>
              <w:t>nozarē un resursu efektivitātē</w:t>
            </w:r>
          </w:p>
        </w:tc>
        <w:tc>
          <w:tcPr>
            <w:tcW w:w="2353" w:type="dxa"/>
            <w:tcBorders>
              <w:top w:val="single" w:sz="4" w:space="0" w:color="auto"/>
              <w:left w:val="single" w:sz="4" w:space="0" w:color="auto"/>
              <w:bottom w:val="single" w:sz="4" w:space="0" w:color="auto"/>
              <w:right w:val="single" w:sz="4" w:space="0" w:color="auto"/>
            </w:tcBorders>
            <w:hideMark/>
          </w:tcPr>
          <w:p w14:paraId="2FB30B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Atjaunināts atkritumu apsaimniekošanas plāns </w:t>
            </w:r>
          </w:p>
        </w:tc>
        <w:tc>
          <w:tcPr>
            <w:tcW w:w="4458" w:type="dxa"/>
            <w:tcBorders>
              <w:top w:val="single" w:sz="4" w:space="0" w:color="auto"/>
              <w:left w:val="single" w:sz="4" w:space="0" w:color="auto"/>
              <w:bottom w:val="single" w:sz="4" w:space="0" w:color="auto"/>
              <w:right w:val="single" w:sz="4" w:space="0" w:color="auto"/>
            </w:tcBorders>
          </w:tcPr>
          <w:p w14:paraId="02C86E1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Saskaņā ar 28. pantu Direktīvā 2008/98/EK, kas grozīta ar Direktīvu ES 2018/xxxx, ir sagatavots(-i) atkritumu apsaimniekošanas plāns(-i), kas aptver visu dalībvalsts teritoriju un ietver:</w:t>
            </w:r>
          </w:p>
          <w:p w14:paraId="5E33563E"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lastRenderedPageBreak/>
              <w:t>pašreizējās atkritumu apsaimniekošanas situācijas attiecīgajā ģeogrāfiskajā vienībā analīzi, tostarp radīto atkritumu veidu, daudzumu un avotu, un to nākotnes attīstības novērtējumu, ņemot vērā to pasākumu paredzamo ietekmi, kas noteikti saskaņā ar 29. pantu Direktīvā 2008/98/EK, kas grozīta ar Direktīvu 2018/xx/ES, izstrādātajās atkritumu novēršanas programmā(-ās);</w:t>
            </w:r>
          </w:p>
          <w:p w14:paraId="72808115"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esošo atkritumu savākšanas shēmu novērtējumu, tostarp dalītas savākšanas materiālo un teritoriālo segumu un pasākumus tās darbības uzlabošanai, kā arī novērtējumu par jaunu savākšanas shēmu nepieciešamību; </w:t>
            </w:r>
          </w:p>
          <w:p w14:paraId="46E4FD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investīciju nepietiekamības novērtējumu, kas pamato papildu vai uzlabotas atkritumu apsaimniekošanas infrastruktūras nepieciešamību, un informāciju par pieejamajiem ienākumu avotiem darbības un uzturēšanas izmaksu segšanai; </w:t>
            </w:r>
          </w:p>
          <w:p w14:paraId="59DB80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lastRenderedPageBreak/>
              <w:t>informāciju par turpmāk ierīkojamo atkritumu apstrādes objektu vietas izvēlei izmantojamajiem kritērijiem un to jaudu.</w:t>
            </w:r>
          </w:p>
          <w:p w14:paraId="54DB1EDB" w14:textId="77777777" w:rsidR="0030119C" w:rsidRPr="0030119C" w:rsidRDefault="0030119C" w:rsidP="000165BF">
            <w:pPr>
              <w:jc w:val="both"/>
              <w:rPr>
                <w:rFonts w:asciiTheme="minorHAnsi" w:hAnsiTheme="minorHAnsi" w:cstheme="minorHAnsi"/>
                <w:noProof/>
                <w:szCs w:val="24"/>
              </w:rPr>
            </w:pPr>
          </w:p>
        </w:tc>
        <w:tc>
          <w:tcPr>
            <w:tcW w:w="3294" w:type="dxa"/>
            <w:tcBorders>
              <w:top w:val="single" w:sz="4" w:space="0" w:color="auto"/>
              <w:left w:val="single" w:sz="4" w:space="0" w:color="auto"/>
              <w:bottom w:val="single" w:sz="4" w:space="0" w:color="auto"/>
              <w:right w:val="single" w:sz="4" w:space="0" w:color="auto"/>
            </w:tcBorders>
            <w:hideMark/>
          </w:tcPr>
          <w:p w14:paraId="695478B2" w14:textId="6672DF84" w:rsidR="004F1052" w:rsidRDefault="004F1052" w:rsidP="004F1052">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Attiecas uz Plānu tiktāl, cik tas skar SEG emisiju samazināšanu no aktritumu apsaimniekošanas</w:t>
            </w:r>
          </w:p>
          <w:p w14:paraId="753B8D0D" w14:textId="70347299" w:rsidR="0030119C" w:rsidRPr="0030119C" w:rsidRDefault="0030119C" w:rsidP="000165BF">
            <w:pPr>
              <w:jc w:val="both"/>
              <w:rPr>
                <w:rFonts w:asciiTheme="minorHAnsi" w:hAnsiTheme="minorHAnsi" w:cstheme="minorHAnsi"/>
                <w:noProof/>
                <w:szCs w:val="24"/>
              </w:rPr>
            </w:pPr>
          </w:p>
        </w:tc>
      </w:tr>
      <w:tr w:rsidR="004F1052" w:rsidRPr="0030119C" w14:paraId="4B964F69"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8064D"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09B696D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ERAF un Kohēzijas fonds. </w:t>
            </w:r>
          </w:p>
          <w:p w14:paraId="3CC5419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2.6. Veicināt zaļo infrastruktūru pilsētvidē un samazināt piesārņojumu</w:t>
            </w:r>
          </w:p>
        </w:tc>
        <w:tc>
          <w:tcPr>
            <w:tcW w:w="2353" w:type="dxa"/>
            <w:tcBorders>
              <w:top w:val="single" w:sz="4" w:space="0" w:color="auto"/>
              <w:left w:val="single" w:sz="4" w:space="0" w:color="auto"/>
              <w:bottom w:val="single" w:sz="4" w:space="0" w:color="auto"/>
              <w:right w:val="single" w:sz="4" w:space="0" w:color="auto"/>
            </w:tcBorders>
            <w:hideMark/>
          </w:tcPr>
          <w:p w14:paraId="76714F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Prioritārās rīcības plāns nepieciešamajiem saglabāšanas pasākumiem, kuriem nepieciešams Savienības līdzfinansējums </w:t>
            </w:r>
          </w:p>
        </w:tc>
        <w:tc>
          <w:tcPr>
            <w:tcW w:w="4458" w:type="dxa"/>
            <w:tcBorders>
              <w:top w:val="single" w:sz="4" w:space="0" w:color="auto"/>
              <w:left w:val="single" w:sz="4" w:space="0" w:color="auto"/>
              <w:bottom w:val="single" w:sz="4" w:space="0" w:color="auto"/>
              <w:right w:val="single" w:sz="4" w:space="0" w:color="auto"/>
            </w:tcBorders>
            <w:hideMark/>
          </w:tcPr>
          <w:p w14:paraId="7411923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prioritārās rīcības plāns saskaņā ar Direktīvas 92/43/EEK 8. pantu, un tas ietver:</w:t>
            </w:r>
          </w:p>
          <w:p w14:paraId="6124674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visus elementus, kas prasīti prioritārās rīcības plāna 2021.–2027. gadam veidnē un par kuriem vienojusies Komisija un dalībvalstis;</w:t>
            </w:r>
          </w:p>
          <w:p w14:paraId="4C9C153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prioritāro pasākumu identifikāciju un finansiālo vajadzību aplēses. </w:t>
            </w:r>
          </w:p>
        </w:tc>
        <w:tc>
          <w:tcPr>
            <w:tcW w:w="3294" w:type="dxa"/>
            <w:tcBorders>
              <w:top w:val="single" w:sz="4" w:space="0" w:color="auto"/>
              <w:left w:val="single" w:sz="4" w:space="0" w:color="auto"/>
              <w:bottom w:val="single" w:sz="4" w:space="0" w:color="auto"/>
              <w:right w:val="single" w:sz="4" w:space="0" w:color="auto"/>
            </w:tcBorders>
            <w:hideMark/>
          </w:tcPr>
          <w:p w14:paraId="1AE7D9AC" w14:textId="271D3DDC" w:rsidR="0030119C" w:rsidRPr="0030119C" w:rsidRDefault="004F1052" w:rsidP="000165BF">
            <w:pPr>
              <w:jc w:val="both"/>
              <w:rPr>
                <w:rFonts w:asciiTheme="minorHAnsi" w:hAnsiTheme="minorHAnsi" w:cstheme="minorHAnsi"/>
                <w:noProof/>
                <w:szCs w:val="24"/>
              </w:rPr>
            </w:pPr>
            <w:r>
              <w:rPr>
                <w:rFonts w:asciiTheme="minorHAnsi" w:hAnsiTheme="minorHAnsi" w:cstheme="minorHAnsi"/>
                <w:noProof/>
                <w:szCs w:val="24"/>
              </w:rPr>
              <w:t>A</w:t>
            </w:r>
            <w:r w:rsidR="0030119C" w:rsidRPr="0030119C">
              <w:rPr>
                <w:rFonts w:asciiTheme="minorHAnsi" w:hAnsiTheme="minorHAnsi" w:cstheme="minorHAnsi"/>
                <w:noProof/>
                <w:szCs w:val="24"/>
              </w:rPr>
              <w:t>ttiecas uz Plāna aptvērumu</w:t>
            </w:r>
            <w:r>
              <w:rPr>
                <w:rFonts w:asciiTheme="minorHAnsi" w:hAnsiTheme="minorHAnsi" w:cstheme="minorHAnsi"/>
                <w:noProof/>
                <w:szCs w:val="24"/>
              </w:rPr>
              <w:t xml:space="preserve"> tiktāl, cik Plāns skar gaisa piesārņojuma emisiju samazināšanu</w:t>
            </w:r>
          </w:p>
        </w:tc>
      </w:tr>
      <w:tr w:rsidR="004F1052" w:rsidRPr="0030119C" w14:paraId="2CE11752" w14:textId="77777777" w:rsidTr="004F1052">
        <w:trPr>
          <w:trHeight w:val="609"/>
          <w:jc w:val="center"/>
        </w:trPr>
        <w:tc>
          <w:tcPr>
            <w:tcW w:w="1798" w:type="dxa"/>
            <w:tcBorders>
              <w:top w:val="single" w:sz="4" w:space="0" w:color="auto"/>
              <w:left w:val="single" w:sz="4" w:space="0" w:color="auto"/>
              <w:bottom w:val="single" w:sz="4" w:space="0" w:color="auto"/>
              <w:right w:val="single" w:sz="4" w:space="0" w:color="auto"/>
            </w:tcBorders>
          </w:tcPr>
          <w:p w14:paraId="0DC00522" w14:textId="758B416F" w:rsidR="004F1052" w:rsidRPr="0030119C" w:rsidRDefault="004F1052" w:rsidP="004F1052">
            <w:pPr>
              <w:jc w:val="both"/>
              <w:rPr>
                <w:rFonts w:cstheme="minorHAnsi"/>
                <w:b/>
                <w:noProof/>
                <w:szCs w:val="24"/>
              </w:rPr>
            </w:pPr>
            <w:r w:rsidRPr="0030119C">
              <w:rPr>
                <w:rFonts w:asciiTheme="minorHAnsi" w:hAnsiTheme="minorHAnsi" w:cstheme="minorHAnsi"/>
                <w:b/>
                <w:noProof/>
                <w:szCs w:val="24"/>
              </w:rPr>
              <w:t>3. Ciešāk savienota Eiropa, uzlabojot mobilitāti un reģionālo IKT savienotību</w:t>
            </w:r>
          </w:p>
        </w:tc>
        <w:tc>
          <w:tcPr>
            <w:tcW w:w="2556" w:type="dxa"/>
            <w:tcBorders>
              <w:top w:val="single" w:sz="4" w:space="0" w:color="auto"/>
              <w:left w:val="single" w:sz="4" w:space="0" w:color="auto"/>
              <w:bottom w:val="single" w:sz="4" w:space="0" w:color="auto"/>
              <w:right w:val="single" w:sz="4" w:space="0" w:color="auto"/>
            </w:tcBorders>
          </w:tcPr>
          <w:p w14:paraId="09D82B09"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719239C8" w14:textId="77777777" w:rsidR="004F1052"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 xml:space="preserve">3.2. Izveidot ilgtspējīgu, klimatnoturīgu, intelektisku, drošu un intermodālu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w:t>
            </w:r>
          </w:p>
          <w:p w14:paraId="5F66453C" w14:textId="77777777" w:rsidR="004F1052" w:rsidRDefault="004F1052" w:rsidP="004F1052">
            <w:pPr>
              <w:jc w:val="both"/>
              <w:rPr>
                <w:rFonts w:cstheme="minorHAnsi"/>
                <w:noProof/>
                <w:szCs w:val="24"/>
              </w:rPr>
            </w:pPr>
          </w:p>
          <w:p w14:paraId="1A91A0F4" w14:textId="648A563A" w:rsidR="004F1052" w:rsidRPr="0030119C" w:rsidRDefault="004F1052" w:rsidP="004F1052">
            <w:pPr>
              <w:jc w:val="both"/>
              <w:rPr>
                <w:rFonts w:cstheme="minorHAnsi"/>
                <w:noProof/>
                <w:szCs w:val="24"/>
              </w:rPr>
            </w:pPr>
            <w:r w:rsidRPr="0030119C">
              <w:rPr>
                <w:rFonts w:asciiTheme="minorHAnsi" w:hAnsiTheme="minorHAnsi" w:cstheme="minorHAnsi"/>
                <w:noProof/>
                <w:szCs w:val="24"/>
              </w:rPr>
              <w:t xml:space="preserve">3.3. Attīstīt ilgtspējīgu, klimatnoturīgu, intelektisku un intermodālu mobilitāti valstu, reģionu un vietējā līmenī, ietverot </w:t>
            </w:r>
            <w:r w:rsidRPr="0030119C">
              <w:rPr>
                <w:rFonts w:asciiTheme="minorHAnsi" w:hAnsiTheme="minorHAnsi" w:cstheme="minorHAnsi"/>
                <w:noProof/>
                <w:szCs w:val="24"/>
              </w:rPr>
              <w:lastRenderedPageBreak/>
              <w:t xml:space="preserve">uzlabotu piekļuvi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un pārrobežu mobilitāti</w:t>
            </w:r>
          </w:p>
        </w:tc>
        <w:tc>
          <w:tcPr>
            <w:tcW w:w="2353" w:type="dxa"/>
            <w:tcBorders>
              <w:top w:val="single" w:sz="4" w:space="0" w:color="auto"/>
              <w:left w:val="single" w:sz="4" w:space="0" w:color="auto"/>
              <w:bottom w:val="single" w:sz="4" w:space="0" w:color="auto"/>
              <w:right w:val="single" w:sz="4" w:space="0" w:color="auto"/>
            </w:tcBorders>
          </w:tcPr>
          <w:p w14:paraId="5FD87293" w14:textId="6DD2010E"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Visaptveroša transporta plānošana atbilstošajā līmenī</w:t>
            </w:r>
          </w:p>
        </w:tc>
        <w:tc>
          <w:tcPr>
            <w:tcW w:w="4458" w:type="dxa"/>
            <w:tcBorders>
              <w:top w:val="single" w:sz="4" w:space="0" w:color="auto"/>
              <w:left w:val="single" w:sz="4" w:space="0" w:color="auto"/>
              <w:bottom w:val="single" w:sz="4" w:space="0" w:color="auto"/>
              <w:right w:val="single" w:sz="4" w:space="0" w:color="auto"/>
            </w:tcBorders>
          </w:tcPr>
          <w:p w14:paraId="2C7F6428"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Ir sagatavots esošās un plānotās infrastruktūras multimodāla kartēšana līdz 2030. gadam, un tā:</w:t>
            </w:r>
          </w:p>
          <w:p w14:paraId="2E3225EE"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plānoto investīciju ekonomisko pamatojumu, kura pamatā ir pamatīga pieprasījuma analīze un satiksmes modelēšana, kurā būtu jāņem vērā dzelzceļa liberalizācijas paredzamā ietekme; </w:t>
            </w:r>
          </w:p>
          <w:p w14:paraId="54E5D54E"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atspoguļo gaisa kvalitātes uzlabošanas plānus, jo īpaši ņemot vērā valstu dekarbonizācijas plānus;</w:t>
            </w:r>
          </w:p>
          <w:p w14:paraId="1034F3DF"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ietver investīcijas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koridoros, kas definēti Regulā (ES) 1316/2013, saskaņā ar attiecīgajiem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darba plāniem; </w:t>
            </w:r>
          </w:p>
          <w:p w14:paraId="5A7C6004"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attiecībā uz investīcijām ārpus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nodrošina papildināmību, reģioniem un vietējām kopienām sniedzot pietiekamu savienojamību ar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pamattīklu un tā mezgliem;</w:t>
            </w:r>
          </w:p>
          <w:p w14:paraId="707C6785"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nodrošina dzelzceļu tīkla savstarpēju izmantojamību, izmantojot </w:t>
            </w:r>
            <w:r w:rsidRPr="0030119C">
              <w:rPr>
                <w:rFonts w:asciiTheme="minorHAnsi" w:hAnsiTheme="minorHAnsi" w:cstheme="minorHAnsi"/>
                <w:i/>
                <w:noProof/>
                <w:szCs w:val="24"/>
              </w:rPr>
              <w:t>baseline-3</w:t>
            </w:r>
            <w:r w:rsidRPr="0030119C">
              <w:rPr>
                <w:rFonts w:asciiTheme="minorHAnsi" w:hAnsiTheme="minorHAnsi" w:cstheme="minorHAnsi"/>
                <w:noProof/>
                <w:szCs w:val="24"/>
              </w:rPr>
              <w:t xml:space="preserve"> atbilstošas </w:t>
            </w:r>
            <w:r w:rsidRPr="0030119C">
              <w:rPr>
                <w:rFonts w:asciiTheme="minorHAnsi" w:hAnsiTheme="minorHAnsi" w:cstheme="minorHAnsi"/>
                <w:i/>
                <w:noProof/>
                <w:szCs w:val="24"/>
              </w:rPr>
              <w:t>ERTMS,</w:t>
            </w:r>
            <w:r w:rsidRPr="0030119C">
              <w:rPr>
                <w:rFonts w:asciiTheme="minorHAnsi" w:hAnsiTheme="minorHAnsi" w:cstheme="minorHAnsi"/>
                <w:noProof/>
                <w:szCs w:val="24"/>
              </w:rPr>
              <w:t xml:space="preserve"> aptveros un aptverot vismaz Eiropas izvēršanas plānu;</w:t>
            </w:r>
          </w:p>
          <w:p w14:paraId="6F9C52FF"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veicina multimodalitāti, nosakot multimodālo vai pārkraušanas kravu un pasažieru termināļu un aktīvo mezglu vajadzības;</w:t>
            </w:r>
          </w:p>
          <w:p w14:paraId="5B29003D"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ietver pasākumus, kuru mērķis ir sekmēt alternatīvas degvielas saskaņā ar attiecīgajiem valstu politikas satvariem;</w:t>
            </w:r>
          </w:p>
          <w:p w14:paraId="4EFB0AE3"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ceļu satiksmes drošības risku novērtējumu saskaņā ar esošajām valstu ceļu satiksmes drošības stratēģijām, kā arī attiecīgo ceļu un to posmu kartēšanu un attiecīgo investīciju prioritāro secību; </w:t>
            </w:r>
          </w:p>
          <w:p w14:paraId="0DB06B9D" w14:textId="0FDD816E"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sniedz informāciju par budžeta un finanšu resursiem, kas attiecas uz plānotajām investīcijām un nepieciešami esošās un plānotās infrastruktūras darbības un uzturēšanas izmaksu segšanai.</w:t>
            </w:r>
          </w:p>
        </w:tc>
        <w:tc>
          <w:tcPr>
            <w:tcW w:w="3294" w:type="dxa"/>
            <w:tcBorders>
              <w:top w:val="single" w:sz="4" w:space="0" w:color="auto"/>
              <w:left w:val="single" w:sz="4" w:space="0" w:color="auto"/>
              <w:bottom w:val="single" w:sz="4" w:space="0" w:color="auto"/>
              <w:right w:val="single" w:sz="4" w:space="0" w:color="auto"/>
            </w:tcBorders>
          </w:tcPr>
          <w:p w14:paraId="3FBB2011"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Plāna dekarbonizācijas un energoefektivitātes dimensijas.</w:t>
            </w:r>
          </w:p>
          <w:p w14:paraId="441D2354" w14:textId="08CA147B" w:rsidR="004F1052" w:rsidRPr="0030119C" w:rsidRDefault="004F1052" w:rsidP="004F1052">
            <w:pPr>
              <w:jc w:val="both"/>
              <w:rPr>
                <w:rFonts w:cstheme="minorHAnsi"/>
                <w:noProof/>
                <w:szCs w:val="24"/>
              </w:rPr>
            </w:pPr>
            <w:r w:rsidRPr="0030119C">
              <w:rPr>
                <w:rFonts w:asciiTheme="minorHAnsi" w:hAnsiTheme="minorHAnsi" w:cstheme="minorHAnsi"/>
                <w:noProof/>
                <w:szCs w:val="24"/>
              </w:rPr>
              <w:t>Detalizēti pasākumi un to izvērtējums ir iekļaujami transporta attīstības politikas plānošanas dokumentos</w:t>
            </w:r>
          </w:p>
        </w:tc>
      </w:tr>
      <w:tr w:rsidR="004F1052" w:rsidRPr="0030119C" w14:paraId="19F2BCDF" w14:textId="77777777" w:rsidTr="004F1052">
        <w:trPr>
          <w:trHeight w:val="131"/>
          <w:jc w:val="center"/>
        </w:trPr>
        <w:tc>
          <w:tcPr>
            <w:tcW w:w="1798" w:type="dxa"/>
            <w:tcBorders>
              <w:top w:val="single" w:sz="4" w:space="0" w:color="auto"/>
              <w:left w:val="single" w:sz="4" w:space="0" w:color="auto"/>
              <w:bottom w:val="single" w:sz="4" w:space="0" w:color="auto"/>
              <w:right w:val="single" w:sz="4" w:space="0" w:color="auto"/>
            </w:tcBorders>
          </w:tcPr>
          <w:p w14:paraId="5B6ABD78" w14:textId="0DF6C556" w:rsidR="004F1052" w:rsidRPr="0030119C" w:rsidRDefault="004F1052" w:rsidP="004F1052">
            <w:pPr>
              <w:jc w:val="both"/>
              <w:rPr>
                <w:rFonts w:cstheme="minorHAnsi"/>
                <w:b/>
                <w:noProof/>
                <w:szCs w:val="24"/>
              </w:rPr>
            </w:pPr>
            <w:r w:rsidRPr="0030119C">
              <w:rPr>
                <w:rFonts w:asciiTheme="minorHAnsi" w:hAnsiTheme="minorHAnsi" w:cstheme="minorHAnsi"/>
                <w:b/>
                <w:noProof/>
                <w:szCs w:val="24"/>
              </w:rPr>
              <w:lastRenderedPageBreak/>
              <w:t>4. Sociālāka Eiropa, īstenojot Eiropas sociālo tiesību pīlāru</w:t>
            </w:r>
          </w:p>
        </w:tc>
        <w:tc>
          <w:tcPr>
            <w:tcW w:w="2556" w:type="dxa"/>
            <w:tcBorders>
              <w:top w:val="single" w:sz="4" w:space="0" w:color="auto"/>
              <w:left w:val="single" w:sz="4" w:space="0" w:color="auto"/>
              <w:bottom w:val="single" w:sz="4" w:space="0" w:color="auto"/>
              <w:right w:val="single" w:sz="4" w:space="0" w:color="auto"/>
            </w:tcBorders>
          </w:tcPr>
          <w:p w14:paraId="3AECB0A2"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ERAF</w:t>
            </w:r>
          </w:p>
          <w:p w14:paraId="25410262"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 xml:space="preserve">4.3. Palielināt marginalizētu kopienu, migrantu un nelabvēlīgā situācijā esošo grupu sociāli ekonomisko integrāciju, izmantojot integrētus pasākumus, tostarp mājokļa un sociālo pakalpojumu jomā. </w:t>
            </w:r>
          </w:p>
          <w:p w14:paraId="4A0520AC"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ESF</w:t>
            </w:r>
          </w:p>
          <w:p w14:paraId="41C353BB"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4.3.1</w:t>
            </w:r>
            <w:r w:rsidRPr="0030119C">
              <w:rPr>
                <w:rFonts w:asciiTheme="minorHAnsi" w:hAnsiTheme="minorHAnsi" w:cstheme="minorHAnsi"/>
                <w:noProof/>
                <w:szCs w:val="24"/>
              </w:rPr>
              <w:tab/>
              <w:t xml:space="preserve">Veicināt aktīvu iekļaušanu, tostarp lai veicinātu vienlīdzīgas iespējas un aktīvu līdzdalību un uzlabotu nodarbināmību </w:t>
            </w:r>
          </w:p>
          <w:p w14:paraId="28F38F7B" w14:textId="77777777" w:rsidR="004F1052" w:rsidRPr="0030119C" w:rsidRDefault="004F1052" w:rsidP="004F1052">
            <w:pPr>
              <w:jc w:val="both"/>
              <w:rPr>
                <w:rFonts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22D42C9D" w14:textId="7D700053" w:rsidR="004F1052" w:rsidRPr="0030119C" w:rsidRDefault="004F1052" w:rsidP="004F1052">
            <w:pPr>
              <w:jc w:val="both"/>
              <w:rPr>
                <w:rFonts w:cstheme="minorHAnsi"/>
                <w:noProof/>
                <w:szCs w:val="24"/>
              </w:rPr>
            </w:pPr>
            <w:r w:rsidRPr="0030119C">
              <w:rPr>
                <w:rFonts w:asciiTheme="minorHAnsi" w:hAnsiTheme="minorHAnsi" w:cstheme="minorHAnsi"/>
                <w:noProof/>
                <w:szCs w:val="24"/>
              </w:rPr>
              <w:t>Valsts stratēģiskās politikas satvars sociālās iekļaušanas un nabadzības mazināšanas jomā</w:t>
            </w:r>
          </w:p>
        </w:tc>
        <w:tc>
          <w:tcPr>
            <w:tcW w:w="4458" w:type="dxa"/>
            <w:tcBorders>
              <w:top w:val="single" w:sz="4" w:space="0" w:color="auto"/>
              <w:left w:val="single" w:sz="4" w:space="0" w:color="auto"/>
              <w:bottom w:val="single" w:sz="4" w:space="0" w:color="auto"/>
              <w:right w:val="single" w:sz="4" w:space="0" w:color="auto"/>
            </w:tcBorders>
          </w:tcPr>
          <w:p w14:paraId="4CC976B9"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Ir sagatavots valsts stratēģiskās politikas satvars sociālās iekļaušanas un nabadzības mazināšanas jomā, un tas ietver:</w:t>
            </w:r>
          </w:p>
          <w:p w14:paraId="67DC79BC"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uz pierādījumiem balstītus secinājumus par nabadzību un sociālo atstumtību, tostarp par bērnu nabadzību, bezpajumtniecību, teritoriālo un izglītības segregāciju, ierobežotu piekļuvi pamatpakalpojumiem un infrastruktūrai, un par neaizsargāto personu īpašajām vajadzībām;</w:t>
            </w:r>
          </w:p>
          <w:p w14:paraId="10371C08"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pasākumus, ar ko novērš un apkaro segregāciju visās jomās, tostarp nodrošinot pienācīgu ienākumu atbalstu, un ietver iekļaujošu darba tirgu un piekļuvi kvalitatīviem pakalpojumiem, kas paredzēti neaizsargātām personām, tostarp migrantiem; </w:t>
            </w:r>
          </w:p>
          <w:p w14:paraId="2D3B269D"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pasākumus pārejai no institucionālās aprūpes uz aprūpi vietējā kopienā;</w:t>
            </w:r>
          </w:p>
          <w:p w14:paraId="40C04F16" w14:textId="5145285B"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kārtību, kādā nodrošina, ka tā izstrādi, īstenošanu, uzraudzību un pārskatīšanu veic ciešā sadarbībā ar sociālajiem partneriem un attiecīgajām pilsoniskās sabiedrības organizācijām.</w:t>
            </w:r>
          </w:p>
        </w:tc>
        <w:tc>
          <w:tcPr>
            <w:tcW w:w="3294" w:type="dxa"/>
            <w:tcBorders>
              <w:top w:val="single" w:sz="4" w:space="0" w:color="auto"/>
              <w:left w:val="single" w:sz="4" w:space="0" w:color="auto"/>
              <w:bottom w:val="single" w:sz="4" w:space="0" w:color="auto"/>
              <w:right w:val="single" w:sz="4" w:space="0" w:color="auto"/>
            </w:tcBorders>
          </w:tcPr>
          <w:p w14:paraId="652A044C"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Plānā iekļautie nosacījumi enerģētiskās nabadzības mazināšanai</w:t>
            </w:r>
          </w:p>
          <w:p w14:paraId="2CA6E6D8" w14:textId="77777777" w:rsidR="004F1052" w:rsidRPr="0030119C" w:rsidRDefault="004F1052" w:rsidP="004F1052">
            <w:pPr>
              <w:jc w:val="both"/>
              <w:rPr>
                <w:rFonts w:cstheme="minorHAnsi"/>
                <w:noProof/>
                <w:szCs w:val="24"/>
              </w:rPr>
            </w:pPr>
          </w:p>
        </w:tc>
      </w:tr>
    </w:tbl>
    <w:p w14:paraId="5F855675" w14:textId="77777777" w:rsidR="000165BF" w:rsidRDefault="000165BF" w:rsidP="000165BF">
      <w:pPr>
        <w:tabs>
          <w:tab w:val="left" w:pos="7230"/>
        </w:tabs>
        <w:jc w:val="both"/>
        <w:rPr>
          <w:sz w:val="28"/>
          <w:szCs w:val="28"/>
        </w:rPr>
      </w:pPr>
    </w:p>
    <w:p w14:paraId="76A6F2EA" w14:textId="5B08111C" w:rsidR="000165BF" w:rsidRDefault="000165BF" w:rsidP="000165BF">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1492E27A" w14:textId="77777777" w:rsidR="000165BF" w:rsidRDefault="000165BF" w:rsidP="000165BF">
      <w:pPr>
        <w:tabs>
          <w:tab w:val="left" w:pos="7230"/>
        </w:tabs>
        <w:rPr>
          <w:sz w:val="28"/>
          <w:szCs w:val="28"/>
        </w:rPr>
      </w:pPr>
    </w:p>
    <w:p w14:paraId="34EAD514" w14:textId="1952B267" w:rsidR="00D82336" w:rsidRPr="0030119C" w:rsidRDefault="000165BF" w:rsidP="000165BF">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D82336" w:rsidRPr="0030119C" w:rsidSect="000165BF">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6E89" w14:textId="77777777" w:rsidR="009D15DC" w:rsidRDefault="009D15DC" w:rsidP="0030119C">
      <w:pPr>
        <w:spacing w:after="0" w:line="240" w:lineRule="auto"/>
      </w:pPr>
      <w:r>
        <w:separator/>
      </w:r>
    </w:p>
  </w:endnote>
  <w:endnote w:type="continuationSeparator" w:id="0">
    <w:p w14:paraId="27164F31" w14:textId="77777777" w:rsidR="009D15DC" w:rsidRDefault="009D15DC" w:rsidP="0030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BEA4" w14:textId="054C9E8D" w:rsidR="0030119C" w:rsidRPr="00B66CC3" w:rsidRDefault="0030119C">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BC45C6">
      <w:rPr>
        <w:noProof/>
        <w:sz w:val="20"/>
        <w:szCs w:val="20"/>
      </w:rPr>
      <w:t>EMp2_220120_NEKP2030.docx</w:t>
    </w:r>
    <w:r w:rsidRPr="00B66CC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E1DD" w14:textId="3B2EE016" w:rsidR="00B66CC3" w:rsidRPr="00B66CC3" w:rsidRDefault="00B66CC3">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BC45C6">
      <w:rPr>
        <w:noProof/>
        <w:sz w:val="20"/>
        <w:szCs w:val="20"/>
      </w:rPr>
      <w:t>EMp2_220120_NEKP2030.docx</w:t>
    </w:r>
    <w:r w:rsidRPr="00B66CC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B97A" w14:textId="77777777" w:rsidR="009D15DC" w:rsidRDefault="009D15DC" w:rsidP="0030119C">
      <w:pPr>
        <w:spacing w:after="0" w:line="240" w:lineRule="auto"/>
      </w:pPr>
      <w:r>
        <w:separator/>
      </w:r>
    </w:p>
  </w:footnote>
  <w:footnote w:type="continuationSeparator" w:id="0">
    <w:p w14:paraId="0316589C" w14:textId="77777777" w:rsidR="009D15DC" w:rsidRDefault="009D15DC" w:rsidP="0030119C">
      <w:pPr>
        <w:spacing w:after="0" w:line="240" w:lineRule="auto"/>
      </w:pPr>
      <w:r>
        <w:continuationSeparator/>
      </w:r>
    </w:p>
  </w:footnote>
  <w:footnote w:id="1">
    <w:p w14:paraId="0D9FBC0E" w14:textId="44B1001F" w:rsidR="004F1052" w:rsidRPr="00894F5A" w:rsidRDefault="004F1052" w:rsidP="004F1052">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COM (2018) 375: Priekšlikums EIROPAS PARLAMENTA UN PADOMES REGULA,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p w14:paraId="43FE2899" w14:textId="77777777" w:rsidR="004F1052" w:rsidRPr="00894F5A" w:rsidRDefault="004F1052" w:rsidP="004F1052">
      <w:pPr>
        <w:pStyle w:val="FootnoteText"/>
        <w:rPr>
          <w:rFonts w:asciiTheme="minorHAnsi" w:hAnsiTheme="minorHAnsi" w:cstheme="minorHAnsi"/>
        </w:rPr>
      </w:pPr>
      <w:r w:rsidRPr="00894F5A">
        <w:rPr>
          <w:rFonts w:asciiTheme="minorHAnsi" w:hAnsiTheme="minorHAnsi" w:cstheme="minorHAnsi"/>
        </w:rPr>
        <w:t>Vienošanās par rādītāju sarakstu vēl nav panākta, tāpēc iespējams tie var būtiski mainīties</w:t>
      </w:r>
    </w:p>
  </w:footnote>
  <w:footnote w:id="2">
    <w:p w14:paraId="33B75698" w14:textId="77777777" w:rsidR="0030119C" w:rsidRPr="00894F5A" w:rsidRDefault="0030119C" w:rsidP="0030119C">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Rezultātu mērvienības kā Plāna projektā noteikts</w:t>
      </w:r>
    </w:p>
  </w:footnote>
  <w:footnote w:id="3">
    <w:p w14:paraId="1B81D578" w14:textId="77777777" w:rsidR="004F1052" w:rsidRPr="00894F5A" w:rsidRDefault="004F1052" w:rsidP="0030119C">
      <w:pPr>
        <w:pStyle w:val="FootnoteText"/>
        <w:ind w:left="480" w:hanging="480"/>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RKR: Reģionālās politikas kopīgais rezultātu rādītājs.</w:t>
      </w:r>
    </w:p>
  </w:footnote>
  <w:footnote w:id="4">
    <w:p w14:paraId="751ABE97" w14:textId="1B64EDB2" w:rsidR="00A056F9" w:rsidRPr="00461EED" w:rsidRDefault="00A056F9">
      <w:pPr>
        <w:pStyle w:val="FootnoteText"/>
        <w:rPr>
          <w:rFonts w:asciiTheme="minorHAnsi" w:hAnsiTheme="minorHAnsi" w:cstheme="minorHAnsi"/>
        </w:rPr>
      </w:pPr>
      <w:r w:rsidRPr="00461EED">
        <w:rPr>
          <w:rStyle w:val="FootnoteReference"/>
          <w:rFonts w:asciiTheme="minorHAnsi" w:hAnsiTheme="minorHAnsi" w:cstheme="minorHAnsi"/>
        </w:rPr>
        <w:footnoteRef/>
      </w:r>
      <w:r w:rsidRPr="00461EED">
        <w:rPr>
          <w:rFonts w:asciiTheme="minorHAnsi" w:hAnsiTheme="minorHAnsi" w:cstheme="minorHAnsi"/>
        </w:rPr>
        <w:t xml:space="preserve"> COM (2018) 375: Priekšlikums EIROPAS PARLAMENTA UN PADOMES REGULA,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IV pielikums</w:t>
      </w:r>
    </w:p>
    <w:p w14:paraId="09FF83EF" w14:textId="7CD18D9F" w:rsidR="00A056F9" w:rsidRPr="00461EED" w:rsidRDefault="00A056F9">
      <w:pPr>
        <w:pStyle w:val="FootnoteText"/>
        <w:rPr>
          <w:rFonts w:asciiTheme="minorHAnsi" w:hAnsiTheme="minorHAnsi" w:cstheme="minorHAnsi"/>
        </w:rPr>
      </w:pPr>
      <w:r w:rsidRPr="00461EED">
        <w:rPr>
          <w:rFonts w:asciiTheme="minorHAnsi" w:hAnsiTheme="minorHAnsi" w:cstheme="minorHAnsi"/>
        </w:rPr>
        <w:t xml:space="preserve">Jaunākā publiski pieejamā versija - </w:t>
      </w:r>
      <w:hyperlink r:id="rId1" w:history="1">
        <w:r w:rsidRPr="00461EED">
          <w:rPr>
            <w:rStyle w:val="Hyperlink"/>
            <w:rFonts w:asciiTheme="minorHAnsi" w:hAnsiTheme="minorHAnsi" w:cstheme="minorHAnsi"/>
          </w:rPr>
          <w:t>https://eur-lex.europa.eu/legal-content/EN/TXT/PDF/?uri=CONSIL:ST_11149_2019_ADD_1&amp;from=LV</w:t>
        </w:r>
      </w:hyperlink>
      <w:r w:rsidRPr="00461EED">
        <w:rPr>
          <w:rFonts w:asciiTheme="minorHAnsi" w:hAnsiTheme="minorHAnsi" w:cstheme="minorHAnsi"/>
        </w:rPr>
        <w:t xml:space="preserve"> </w:t>
      </w:r>
    </w:p>
    <w:p w14:paraId="0E32FECE" w14:textId="0EE8D88C" w:rsidR="004F1052" w:rsidRPr="00461EED" w:rsidRDefault="004F1052">
      <w:pPr>
        <w:pStyle w:val="FootnoteText"/>
        <w:rPr>
          <w:rFonts w:asciiTheme="minorHAnsi" w:hAnsiTheme="minorHAnsi" w:cstheme="minorHAnsi"/>
        </w:rPr>
      </w:pPr>
      <w:r w:rsidRPr="00461EED">
        <w:rPr>
          <w:rFonts w:asciiTheme="minorHAnsi" w:hAnsiTheme="minorHAnsi" w:cstheme="minorHAnsi"/>
        </w:rPr>
        <w:t>Šeit iekļauti tikai tie nosacījumi, kas attiecas uz Plānu</w:t>
      </w:r>
    </w:p>
  </w:footnote>
  <w:footnote w:id="5">
    <w:p w14:paraId="3D2F34F1" w14:textId="77777777" w:rsidR="0030119C" w:rsidRPr="00894F5A" w:rsidRDefault="0030119C" w:rsidP="0030119C">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ab/>
        <w:t>Kā novērtēts riska pārvaldības spēju izvērtējumā, kas prasīts Lēmuma Nr. 1313/2013 6. panta c) 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265099"/>
      <w:docPartObj>
        <w:docPartGallery w:val="Page Numbers (Top of Page)"/>
        <w:docPartUnique/>
      </w:docPartObj>
    </w:sdtPr>
    <w:sdtEndPr>
      <w:rPr>
        <w:noProof/>
      </w:rPr>
    </w:sdtEndPr>
    <w:sdtContent>
      <w:p w14:paraId="320435F1" w14:textId="77777777" w:rsidR="0030119C" w:rsidRDefault="003011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963E62" w14:textId="77777777" w:rsidR="0030119C" w:rsidRDefault="0030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26D"/>
    <w:multiLevelType w:val="hybridMultilevel"/>
    <w:tmpl w:val="3404C7C2"/>
    <w:lvl w:ilvl="0" w:tplc="0809000F">
      <w:start w:val="1"/>
      <w:numFmt w:val="decimal"/>
      <w:lvlText w:val="%1."/>
      <w:lvlJc w:val="left"/>
      <w:pPr>
        <w:ind w:left="816" w:hanging="360"/>
      </w:pPr>
    </w:lvl>
    <w:lvl w:ilvl="1" w:tplc="08090019">
      <w:start w:val="1"/>
      <w:numFmt w:val="lowerLetter"/>
      <w:lvlText w:val="%2."/>
      <w:lvlJc w:val="left"/>
      <w:pPr>
        <w:ind w:left="1536" w:hanging="360"/>
      </w:pPr>
    </w:lvl>
    <w:lvl w:ilvl="2" w:tplc="0809001B">
      <w:start w:val="1"/>
      <w:numFmt w:val="lowerRoman"/>
      <w:lvlText w:val="%3."/>
      <w:lvlJc w:val="right"/>
      <w:pPr>
        <w:ind w:left="2256" w:hanging="180"/>
      </w:pPr>
    </w:lvl>
    <w:lvl w:ilvl="3" w:tplc="0809000F">
      <w:start w:val="1"/>
      <w:numFmt w:val="decimal"/>
      <w:lvlText w:val="%4."/>
      <w:lvlJc w:val="left"/>
      <w:pPr>
        <w:ind w:left="2976" w:hanging="360"/>
      </w:pPr>
    </w:lvl>
    <w:lvl w:ilvl="4" w:tplc="08090019">
      <w:start w:val="1"/>
      <w:numFmt w:val="lowerLetter"/>
      <w:lvlText w:val="%5."/>
      <w:lvlJc w:val="left"/>
      <w:pPr>
        <w:ind w:left="3696" w:hanging="360"/>
      </w:pPr>
    </w:lvl>
    <w:lvl w:ilvl="5" w:tplc="0809001B">
      <w:start w:val="1"/>
      <w:numFmt w:val="lowerRoman"/>
      <w:lvlText w:val="%6."/>
      <w:lvlJc w:val="right"/>
      <w:pPr>
        <w:ind w:left="4416" w:hanging="180"/>
      </w:pPr>
    </w:lvl>
    <w:lvl w:ilvl="6" w:tplc="0809000F">
      <w:start w:val="1"/>
      <w:numFmt w:val="decimal"/>
      <w:lvlText w:val="%7."/>
      <w:lvlJc w:val="left"/>
      <w:pPr>
        <w:ind w:left="5136" w:hanging="360"/>
      </w:pPr>
    </w:lvl>
    <w:lvl w:ilvl="7" w:tplc="08090019">
      <w:start w:val="1"/>
      <w:numFmt w:val="lowerLetter"/>
      <w:lvlText w:val="%8."/>
      <w:lvlJc w:val="left"/>
      <w:pPr>
        <w:ind w:left="5856" w:hanging="360"/>
      </w:pPr>
    </w:lvl>
    <w:lvl w:ilvl="8" w:tplc="0809001B">
      <w:start w:val="1"/>
      <w:numFmt w:val="lowerRoman"/>
      <w:lvlText w:val="%9."/>
      <w:lvlJc w:val="right"/>
      <w:pPr>
        <w:ind w:left="6576" w:hanging="180"/>
      </w:pPr>
    </w:lvl>
  </w:abstractNum>
  <w:abstractNum w:abstractNumId="1" w15:restartNumberingAfterBreak="0">
    <w:nsid w:val="0C9E2AB3"/>
    <w:multiLevelType w:val="hybridMultilevel"/>
    <w:tmpl w:val="C54C770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E771D3"/>
    <w:multiLevelType w:val="hybridMultilevel"/>
    <w:tmpl w:val="F3A6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314C35"/>
    <w:multiLevelType w:val="hybridMultilevel"/>
    <w:tmpl w:val="BF42F0B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D0906"/>
    <w:multiLevelType w:val="hybridMultilevel"/>
    <w:tmpl w:val="A1B4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3A20A7"/>
    <w:multiLevelType w:val="hybridMultilevel"/>
    <w:tmpl w:val="E21CE0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B04906"/>
    <w:multiLevelType w:val="hybridMultilevel"/>
    <w:tmpl w:val="5914D6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31208A"/>
    <w:multiLevelType w:val="hybridMultilevel"/>
    <w:tmpl w:val="E180A6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E90ECC"/>
    <w:multiLevelType w:val="hybridMultilevel"/>
    <w:tmpl w:val="AC9082F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3" w15:restartNumberingAfterBreak="0">
    <w:nsid w:val="573A2723"/>
    <w:multiLevelType w:val="hybridMultilevel"/>
    <w:tmpl w:val="68C4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611FD6"/>
    <w:multiLevelType w:val="hybridMultilevel"/>
    <w:tmpl w:val="23A24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12042E6"/>
    <w:multiLevelType w:val="hybridMultilevel"/>
    <w:tmpl w:val="73DE6D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B351DD8"/>
    <w:multiLevelType w:val="hybridMultilevel"/>
    <w:tmpl w:val="518E0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5A6D18"/>
    <w:multiLevelType w:val="hybridMultilevel"/>
    <w:tmpl w:val="DC2E63D0"/>
    <w:lvl w:ilvl="0" w:tplc="0809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E712280"/>
    <w:multiLevelType w:val="hybridMultilevel"/>
    <w:tmpl w:val="7A68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B84B18"/>
    <w:multiLevelType w:val="hybridMultilevel"/>
    <w:tmpl w:val="17AEC9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643DD8"/>
    <w:multiLevelType w:val="hybridMultilevel"/>
    <w:tmpl w:val="74F2F21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461830"/>
    <w:multiLevelType w:val="hybridMultilevel"/>
    <w:tmpl w:val="1FAEB8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B244A1"/>
    <w:multiLevelType w:val="hybridMultilevel"/>
    <w:tmpl w:val="4BE2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575BDE"/>
    <w:multiLevelType w:val="hybridMultilevel"/>
    <w:tmpl w:val="3F8673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4C5FC9"/>
    <w:multiLevelType w:val="hybridMultilevel"/>
    <w:tmpl w:val="F24AB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8"/>
  </w:num>
  <w:num w:numId="6">
    <w:abstractNumId w:val="13"/>
  </w:num>
  <w:num w:numId="7">
    <w:abstractNumId w:val="3"/>
  </w:num>
  <w:num w:numId="8">
    <w:abstractNumId w:val="6"/>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9C"/>
    <w:rsid w:val="000165BF"/>
    <w:rsid w:val="00082A02"/>
    <w:rsid w:val="0030119C"/>
    <w:rsid w:val="00461EED"/>
    <w:rsid w:val="004F1052"/>
    <w:rsid w:val="0050401D"/>
    <w:rsid w:val="00532C12"/>
    <w:rsid w:val="00631A9D"/>
    <w:rsid w:val="0074294E"/>
    <w:rsid w:val="007C60F0"/>
    <w:rsid w:val="00873CDE"/>
    <w:rsid w:val="00894F5A"/>
    <w:rsid w:val="009D15DC"/>
    <w:rsid w:val="00A056F9"/>
    <w:rsid w:val="00A24279"/>
    <w:rsid w:val="00B573BB"/>
    <w:rsid w:val="00B66CC3"/>
    <w:rsid w:val="00B678AF"/>
    <w:rsid w:val="00B70EA9"/>
    <w:rsid w:val="00BC45C6"/>
    <w:rsid w:val="00DA4E9E"/>
    <w:rsid w:val="00DE1A2E"/>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5409"/>
  <w15:chartTrackingRefBased/>
  <w15:docId w15:val="{A296FD85-EC41-4AE4-A9C9-F624B63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9C"/>
    <w:rPr>
      <w:sz w:val="24"/>
    </w:rPr>
  </w:style>
  <w:style w:type="paragraph" w:styleId="Heading1">
    <w:name w:val="heading 1"/>
    <w:basedOn w:val="Normal"/>
    <w:next w:val="Normal"/>
    <w:link w:val="Heading1Char"/>
    <w:uiPriority w:val="9"/>
    <w:qFormat/>
    <w:rsid w:val="0030119C"/>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30119C"/>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30119C"/>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30119C"/>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9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30119C"/>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30119C"/>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30119C"/>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30119C"/>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30119C"/>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30119C"/>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30119C"/>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0119C"/>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30119C"/>
    <w:rPr>
      <w:sz w:val="24"/>
    </w:rPr>
  </w:style>
  <w:style w:type="character" w:customStyle="1" w:styleId="VirsrkastsOtraisRakstz">
    <w:name w:val="Virsrkasts Otrais Rakstz."/>
    <w:basedOn w:val="DefaultParagraphFont"/>
    <w:link w:val="VirsrkastsOtrais"/>
    <w:locked/>
    <w:rsid w:val="0030119C"/>
    <w:rPr>
      <w:rFonts w:ascii="Cambria" w:hAnsi="Cambria"/>
      <w:b/>
      <w:sz w:val="28"/>
      <w:szCs w:val="28"/>
      <w:lang w:val="x-none"/>
    </w:rPr>
  </w:style>
  <w:style w:type="paragraph" w:customStyle="1" w:styleId="VirsrkastsOtrais">
    <w:name w:val="Virsrkasts Otrais"/>
    <w:basedOn w:val="ListParagraph"/>
    <w:link w:val="VirsrkastsOtraisRakstz"/>
    <w:qFormat/>
    <w:rsid w:val="0030119C"/>
    <w:pPr>
      <w:numPr>
        <w:ilvl w:val="1"/>
        <w:numId w:val="2"/>
      </w:numPr>
      <w:spacing w:after="0" w:line="240" w:lineRule="auto"/>
    </w:pPr>
    <w:rPr>
      <w:rFonts w:ascii="Cambria" w:hAnsi="Cambria"/>
      <w:b/>
      <w:sz w:val="28"/>
      <w:szCs w:val="28"/>
      <w:lang w:val="x-none"/>
    </w:rPr>
  </w:style>
  <w:style w:type="table" w:customStyle="1" w:styleId="TableGrid2">
    <w:name w:val="Table Grid2"/>
    <w:basedOn w:val="TableNormal"/>
    <w:next w:val="TableGrid"/>
    <w:uiPriority w:val="59"/>
    <w:rsid w:val="0030119C"/>
    <w:pPr>
      <w:spacing w:after="0" w:line="240" w:lineRule="auto"/>
    </w:pPr>
    <w:rPr>
      <w:rFonts w:ascii="Calibri" w:eastAsia="Calibri" w:hAnsi="Calibri" w:cs="Times New Roman"/>
      <w:lang w:eastAsia="lv-LV" w:bidi="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9C"/>
    <w:rPr>
      <w:sz w:val="24"/>
    </w:rPr>
  </w:style>
  <w:style w:type="paragraph" w:styleId="Footer">
    <w:name w:val="footer"/>
    <w:basedOn w:val="Normal"/>
    <w:link w:val="FooterChar"/>
    <w:uiPriority w:val="99"/>
    <w:unhideWhenUsed/>
    <w:rsid w:val="00301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9C"/>
    <w:rPr>
      <w:sz w:val="24"/>
    </w:rPr>
  </w:style>
  <w:style w:type="character" w:styleId="CommentReference">
    <w:name w:val="annotation reference"/>
    <w:basedOn w:val="DefaultParagraphFont"/>
    <w:uiPriority w:val="99"/>
    <w:semiHidden/>
    <w:unhideWhenUsed/>
    <w:rsid w:val="0074294E"/>
    <w:rPr>
      <w:sz w:val="16"/>
      <w:szCs w:val="16"/>
    </w:rPr>
  </w:style>
  <w:style w:type="paragraph" w:styleId="CommentText">
    <w:name w:val="annotation text"/>
    <w:basedOn w:val="Normal"/>
    <w:link w:val="CommentTextChar"/>
    <w:uiPriority w:val="99"/>
    <w:semiHidden/>
    <w:unhideWhenUsed/>
    <w:rsid w:val="0074294E"/>
    <w:pPr>
      <w:spacing w:line="240" w:lineRule="auto"/>
    </w:pPr>
    <w:rPr>
      <w:sz w:val="20"/>
      <w:szCs w:val="20"/>
    </w:rPr>
  </w:style>
  <w:style w:type="character" w:customStyle="1" w:styleId="CommentTextChar">
    <w:name w:val="Comment Text Char"/>
    <w:basedOn w:val="DefaultParagraphFont"/>
    <w:link w:val="CommentText"/>
    <w:uiPriority w:val="99"/>
    <w:semiHidden/>
    <w:rsid w:val="0074294E"/>
    <w:rPr>
      <w:sz w:val="20"/>
      <w:szCs w:val="20"/>
    </w:rPr>
  </w:style>
  <w:style w:type="paragraph" w:styleId="CommentSubject">
    <w:name w:val="annotation subject"/>
    <w:basedOn w:val="CommentText"/>
    <w:next w:val="CommentText"/>
    <w:link w:val="CommentSubjectChar"/>
    <w:uiPriority w:val="99"/>
    <w:semiHidden/>
    <w:unhideWhenUsed/>
    <w:rsid w:val="0074294E"/>
    <w:rPr>
      <w:b/>
      <w:bCs/>
    </w:rPr>
  </w:style>
  <w:style w:type="character" w:customStyle="1" w:styleId="CommentSubjectChar">
    <w:name w:val="Comment Subject Char"/>
    <w:basedOn w:val="CommentTextChar"/>
    <w:link w:val="CommentSubject"/>
    <w:uiPriority w:val="99"/>
    <w:semiHidden/>
    <w:rsid w:val="0074294E"/>
    <w:rPr>
      <w:b/>
      <w:bCs/>
      <w:sz w:val="20"/>
      <w:szCs w:val="20"/>
    </w:rPr>
  </w:style>
  <w:style w:type="paragraph" w:styleId="BalloonText">
    <w:name w:val="Balloon Text"/>
    <w:basedOn w:val="Normal"/>
    <w:link w:val="BalloonTextChar"/>
    <w:uiPriority w:val="99"/>
    <w:semiHidden/>
    <w:unhideWhenUsed/>
    <w:rsid w:val="0074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4E"/>
    <w:rPr>
      <w:rFonts w:ascii="Segoe UI" w:hAnsi="Segoe UI" w:cs="Segoe UI"/>
      <w:sz w:val="18"/>
      <w:szCs w:val="18"/>
    </w:rPr>
  </w:style>
  <w:style w:type="paragraph" w:styleId="Revision">
    <w:name w:val="Revision"/>
    <w:hidden/>
    <w:uiPriority w:val="99"/>
    <w:semiHidden/>
    <w:rsid w:val="00A056F9"/>
    <w:pPr>
      <w:spacing w:after="0" w:line="240" w:lineRule="auto"/>
    </w:pPr>
    <w:rPr>
      <w:sz w:val="24"/>
    </w:rPr>
  </w:style>
  <w:style w:type="character" w:styleId="Hyperlink">
    <w:name w:val="Hyperlink"/>
    <w:basedOn w:val="DefaultParagraphFont"/>
    <w:uiPriority w:val="99"/>
    <w:semiHidden/>
    <w:unhideWhenUsed/>
    <w:rsid w:val="00A05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2220">
      <w:bodyDiv w:val="1"/>
      <w:marLeft w:val="0"/>
      <w:marRight w:val="0"/>
      <w:marTop w:val="0"/>
      <w:marBottom w:val="0"/>
      <w:divBdr>
        <w:top w:val="none" w:sz="0" w:space="0" w:color="auto"/>
        <w:left w:val="none" w:sz="0" w:space="0" w:color="auto"/>
        <w:bottom w:val="none" w:sz="0" w:space="0" w:color="auto"/>
        <w:right w:val="none" w:sz="0" w:space="0" w:color="auto"/>
      </w:divBdr>
    </w:div>
    <w:div w:id="13060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ONSIL:ST_11149_2019_ADD_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10456</Words>
  <Characters>5961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dc:title>
  <dc:subject/>
  <dc:creator>Helēna Rimša</dc:creator>
  <cp:keywords/>
  <dc:description>Helena.Rimsa@em.gov.lv, 67013244</dc:description>
  <cp:lastModifiedBy>Helēna Rimša</cp:lastModifiedBy>
  <cp:revision>4</cp:revision>
  <dcterms:created xsi:type="dcterms:W3CDTF">2019-12-12T21:20:00Z</dcterms:created>
  <dcterms:modified xsi:type="dcterms:W3CDTF">2020-01-22T10:34:00Z</dcterms:modified>
</cp:coreProperties>
</file>