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41D2" w14:textId="77777777" w:rsidR="009814AD" w:rsidRPr="009814AD" w:rsidRDefault="009814AD" w:rsidP="009814AD">
      <w:pPr>
        <w:spacing w:before="120" w:after="120" w:line="240" w:lineRule="auto"/>
        <w:rPr>
          <w:rFonts w:cstheme="minorHAnsi"/>
          <w:b/>
          <w:i/>
          <w:sz w:val="28"/>
          <w:szCs w:val="28"/>
          <w:u w:val="single"/>
        </w:rPr>
      </w:pPr>
      <w:bookmarkStart w:id="0" w:name="_Hlk14417825"/>
      <w:bookmarkStart w:id="1" w:name="_Hlk14423709"/>
      <w:r w:rsidRPr="009814AD">
        <w:rPr>
          <w:rFonts w:cstheme="minorHAnsi"/>
          <w:noProof/>
          <w:lang w:eastAsia="lv-LV"/>
        </w:rPr>
        <mc:AlternateContent>
          <mc:Choice Requires="wps">
            <w:drawing>
              <wp:anchor distT="0" distB="0" distL="114300" distR="114300" simplePos="0" relativeHeight="251659264" behindDoc="0" locked="0" layoutInCell="1" allowOverlap="1" wp14:anchorId="3F46D7E7" wp14:editId="1BD57EC1">
                <wp:simplePos x="0" y="0"/>
                <wp:positionH relativeFrom="margin">
                  <wp:align>left</wp:align>
                </wp:positionH>
                <wp:positionV relativeFrom="paragraph">
                  <wp:posOffset>70485</wp:posOffset>
                </wp:positionV>
                <wp:extent cx="5779135" cy="542925"/>
                <wp:effectExtent l="0" t="0" r="0" b="9525"/>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42925"/>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752E15A5" w14:textId="756E58A3" w:rsidR="009814AD" w:rsidRPr="000E5785" w:rsidRDefault="009814AD" w:rsidP="009814AD">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Atkritumu un notekūdeņu apsaimniekošana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6D7E7" id="Rectangle: Single Corner Snipped 39" o:spid="_x0000_s1026" style="position:absolute;margin-left:0;margin-top:5.55pt;width:455.0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" adj="-11796480,,5400" path="m,l5688646,r90489,90489l5779135,542925,,542925,,xe" fillcolor="#323e4f [2415]" stroked="f" strokeweight="1pt">
                <v:stroke joinstyle="miter"/>
                <v:formulas/>
                <v:path arrowok="t" o:connecttype="custom" o:connectlocs="0,0;5688646,0;5779135,90489;5779135,542925;0,542925;0,0" o:connectangles="0,0,0,0,0,0" textboxrect="0,0,5779135,542925"/>
                <v:textbox>
                  <w:txbxContent>
                    <w:p w14:paraId="752E15A5" w14:textId="756E58A3" w:rsidR="009814AD" w:rsidRPr="000E5785" w:rsidRDefault="009814AD" w:rsidP="009814AD">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Atkritumu un notekūdeņu apsaimniekošana</w:t>
                      </w:r>
                    </w:p>
                  </w:txbxContent>
                </v:textbox>
                <w10:wrap type="square" anchorx="margin"/>
              </v:shape>
            </w:pict>
          </mc:Fallback>
        </mc:AlternateContent>
      </w:r>
      <w:r w:rsidRPr="009814AD">
        <w:rPr>
          <w:rFonts w:cstheme="minorHAnsi"/>
          <w:b/>
          <w:i/>
          <w:sz w:val="28"/>
          <w:szCs w:val="28"/>
          <w:u w:val="single"/>
        </w:rPr>
        <w:t>Esošā situācija</w:t>
      </w:r>
    </w:p>
    <w:bookmarkEnd w:id="0"/>
    <w:p w14:paraId="51987124" w14:textId="3B88C984" w:rsidR="00EB7E0C" w:rsidRPr="009814AD" w:rsidRDefault="00EB7E0C" w:rsidP="005B6348">
      <w:pPr>
        <w:tabs>
          <w:tab w:val="left" w:pos="6833"/>
        </w:tabs>
        <w:spacing w:before="120" w:after="120" w:line="240" w:lineRule="auto"/>
        <w:jc w:val="both"/>
        <w:rPr>
          <w:rFonts w:cstheme="minorHAnsi"/>
          <w:sz w:val="24"/>
          <w:szCs w:val="24"/>
        </w:rPr>
      </w:pPr>
      <w:r w:rsidRPr="009814AD">
        <w:rPr>
          <w:rFonts w:cstheme="minorHAnsi"/>
          <w:sz w:val="24"/>
          <w:szCs w:val="24"/>
        </w:rPr>
        <w:t>2017. gadā Latvijā darbojās 11 sadzīves atkritumu poligoni, 1</w:t>
      </w:r>
      <w:r w:rsidR="005B6348" w:rsidRPr="009814AD">
        <w:rPr>
          <w:rFonts w:cstheme="minorHAnsi"/>
          <w:sz w:val="24"/>
          <w:szCs w:val="24"/>
        </w:rPr>
        <w:t xml:space="preserve"> bīstamo atkritumu poligons</w:t>
      </w:r>
      <w:r w:rsidRPr="009814AD">
        <w:rPr>
          <w:rFonts w:cstheme="minorHAnsi"/>
          <w:sz w:val="24"/>
          <w:szCs w:val="24"/>
        </w:rPr>
        <w:t xml:space="preserve"> kā arī 1 atkritumu poligons, kurā tiek apglabāti azbestu saturoši bīstamie atkritumi un būvniecības atkritumi.</w:t>
      </w:r>
      <w:r w:rsidRPr="009814AD">
        <w:rPr>
          <w:rStyle w:val="FootnoteReference"/>
          <w:rFonts w:cstheme="minorHAnsi"/>
          <w:sz w:val="24"/>
          <w:szCs w:val="24"/>
        </w:rPr>
        <w:footnoteReference w:id="1"/>
      </w:r>
    </w:p>
    <w:p w14:paraId="3FE62E42" w14:textId="7B82EF78" w:rsidR="006A4059" w:rsidRPr="009814AD" w:rsidRDefault="00EB7E0C" w:rsidP="005B6348">
      <w:pPr>
        <w:tabs>
          <w:tab w:val="left" w:pos="6833"/>
        </w:tabs>
        <w:spacing w:before="120" w:after="120" w:line="240" w:lineRule="auto"/>
        <w:jc w:val="both"/>
        <w:rPr>
          <w:rFonts w:cstheme="minorHAnsi"/>
          <w:sz w:val="24"/>
          <w:szCs w:val="24"/>
        </w:rPr>
      </w:pPr>
      <w:r w:rsidRPr="009814AD">
        <w:rPr>
          <w:rFonts w:cstheme="minorHAnsi"/>
          <w:sz w:val="24"/>
          <w:szCs w:val="24"/>
        </w:rPr>
        <w:t xml:space="preserve">Kopā </w:t>
      </w:r>
      <w:r w:rsidR="0082364F" w:rsidRPr="009814AD">
        <w:rPr>
          <w:rFonts w:cstheme="minorHAnsi"/>
          <w:color w:val="222222"/>
          <w:sz w:val="24"/>
          <w:szCs w:val="24"/>
        </w:rPr>
        <w:t>Latvijā 2017. gadā tika apglabātas</w:t>
      </w:r>
      <w:r w:rsidR="0082364F" w:rsidRPr="009814AD">
        <w:rPr>
          <w:rFonts w:cstheme="minorHAnsi"/>
          <w:color w:val="222222"/>
          <w:sz w:val="24"/>
          <w:szCs w:val="24"/>
          <w:shd w:val="clear" w:color="auto" w:fill="F8F9FA"/>
        </w:rPr>
        <w:t xml:space="preserve"> </w:t>
      </w:r>
      <w:r w:rsidR="003212EC" w:rsidRPr="009814AD">
        <w:rPr>
          <w:rFonts w:cstheme="minorHAnsi"/>
          <w:sz w:val="24"/>
          <w:szCs w:val="24"/>
        </w:rPr>
        <w:t>517 859</w:t>
      </w:r>
      <w:r w:rsidR="003212EC" w:rsidRPr="009814AD">
        <w:rPr>
          <w:rFonts w:cstheme="minorHAnsi"/>
        </w:rPr>
        <w:t xml:space="preserve"> </w:t>
      </w:r>
      <w:r w:rsidR="0082364F" w:rsidRPr="009814AD">
        <w:rPr>
          <w:rFonts w:cstheme="minorHAnsi"/>
          <w:color w:val="000000"/>
          <w:sz w:val="24"/>
          <w:szCs w:val="24"/>
          <w:shd w:val="clear" w:color="auto" w:fill="FFFFFF"/>
        </w:rPr>
        <w:t xml:space="preserve"> t sadzīves atkritumu un 4 692 t bīstam</w:t>
      </w:r>
      <w:r w:rsidR="00430815" w:rsidRPr="009814AD">
        <w:rPr>
          <w:rFonts w:cstheme="minorHAnsi"/>
          <w:color w:val="000000"/>
          <w:sz w:val="24"/>
          <w:szCs w:val="24"/>
          <w:shd w:val="clear" w:color="auto" w:fill="FFFFFF"/>
        </w:rPr>
        <w:t>ie</w:t>
      </w:r>
      <w:r w:rsidR="0082364F" w:rsidRPr="009814AD">
        <w:rPr>
          <w:rFonts w:cstheme="minorHAnsi"/>
          <w:color w:val="000000"/>
          <w:sz w:val="24"/>
          <w:szCs w:val="24"/>
          <w:shd w:val="clear" w:color="auto" w:fill="FFFFFF"/>
        </w:rPr>
        <w:t xml:space="preserve"> atkritum</w:t>
      </w:r>
      <w:r w:rsidR="00430815" w:rsidRPr="009814AD">
        <w:rPr>
          <w:rFonts w:cstheme="minorHAnsi"/>
          <w:color w:val="000000"/>
          <w:sz w:val="24"/>
          <w:szCs w:val="24"/>
          <w:shd w:val="clear" w:color="auto" w:fill="FFFFFF"/>
        </w:rPr>
        <w:t>i</w:t>
      </w:r>
      <w:r w:rsidR="0082364F" w:rsidRPr="009814AD">
        <w:rPr>
          <w:rFonts w:cstheme="minorHAnsi"/>
          <w:color w:val="000000"/>
          <w:sz w:val="24"/>
          <w:szCs w:val="24"/>
          <w:shd w:val="clear" w:color="auto" w:fill="FFFFFF"/>
        </w:rPr>
        <w:t>.</w:t>
      </w:r>
      <w:r w:rsidR="0082364F" w:rsidRPr="009814AD">
        <w:rPr>
          <w:rStyle w:val="FootnoteReference"/>
          <w:rFonts w:cstheme="minorHAnsi"/>
          <w:color w:val="000000"/>
          <w:sz w:val="24"/>
          <w:szCs w:val="24"/>
          <w:shd w:val="clear" w:color="auto" w:fill="FFFFFF"/>
        </w:rPr>
        <w:footnoteReference w:id="2"/>
      </w:r>
      <w:r w:rsidR="0082364F" w:rsidRPr="009814AD">
        <w:rPr>
          <w:rFonts w:cstheme="minorHAnsi"/>
          <w:color w:val="000000"/>
          <w:sz w:val="24"/>
          <w:szCs w:val="24"/>
          <w:shd w:val="clear" w:color="auto" w:fill="FFFFFF"/>
          <w:vertAlign w:val="superscript"/>
        </w:rPr>
        <w:t xml:space="preserve"> </w:t>
      </w:r>
      <w:r w:rsidRPr="009814AD">
        <w:rPr>
          <w:rFonts w:cstheme="minorHAnsi"/>
          <w:b/>
          <w:sz w:val="24"/>
          <w:szCs w:val="24"/>
        </w:rPr>
        <w:t xml:space="preserve">SEG emisijas </w:t>
      </w:r>
      <w:r w:rsidR="00705710" w:rsidRPr="009814AD">
        <w:rPr>
          <w:rFonts w:cstheme="minorHAnsi"/>
          <w:b/>
          <w:sz w:val="24"/>
          <w:szCs w:val="24"/>
        </w:rPr>
        <w:t xml:space="preserve">2017.gadā </w:t>
      </w:r>
      <w:r w:rsidRPr="009814AD">
        <w:rPr>
          <w:rFonts w:cstheme="minorHAnsi"/>
          <w:b/>
          <w:sz w:val="24"/>
          <w:szCs w:val="24"/>
        </w:rPr>
        <w:t>no atkritumu apsaimniekošanas veidoja 5.0%</w:t>
      </w:r>
      <w:r w:rsidRPr="009814AD">
        <w:rPr>
          <w:rFonts w:cstheme="minorHAnsi"/>
          <w:sz w:val="24"/>
          <w:szCs w:val="24"/>
        </w:rPr>
        <w:t xml:space="preserve"> no kopējām SEG emisijām</w:t>
      </w:r>
      <w:r w:rsidR="00705710" w:rsidRPr="009814AD">
        <w:rPr>
          <w:rFonts w:cstheme="minorHAnsi"/>
          <w:sz w:val="24"/>
          <w:szCs w:val="24"/>
        </w:rPr>
        <w:t>,</w:t>
      </w:r>
      <w:r w:rsidRPr="009814AD">
        <w:rPr>
          <w:rFonts w:cstheme="minorHAnsi"/>
          <w:sz w:val="24"/>
          <w:szCs w:val="24"/>
        </w:rPr>
        <w:t xml:space="preserve"> neskaitot ZIZIMM. Tās ietver CH</w:t>
      </w:r>
      <w:r w:rsidRPr="009814AD">
        <w:rPr>
          <w:rFonts w:cstheme="minorHAnsi"/>
          <w:sz w:val="24"/>
          <w:szCs w:val="24"/>
          <w:vertAlign w:val="subscript"/>
        </w:rPr>
        <w:t>4</w:t>
      </w:r>
      <w:r w:rsidRPr="009814AD">
        <w:rPr>
          <w:rFonts w:cstheme="minorHAnsi"/>
          <w:sz w:val="24"/>
          <w:szCs w:val="24"/>
        </w:rPr>
        <w:t xml:space="preserve"> emisijas no cieto atkritumu apglabāšanas , kas veido vairāk kā pusi (71.4%) no kopējām SEG emisijām atkritumu apsaimniekošanas sektorā, CH</w:t>
      </w:r>
      <w:r w:rsidRPr="009814AD">
        <w:rPr>
          <w:rFonts w:cstheme="minorHAnsi"/>
          <w:sz w:val="24"/>
          <w:szCs w:val="24"/>
          <w:vertAlign w:val="subscript"/>
        </w:rPr>
        <w:t>4</w:t>
      </w:r>
      <w:r w:rsidRPr="009814AD">
        <w:rPr>
          <w:rFonts w:cstheme="minorHAnsi"/>
          <w:sz w:val="24"/>
          <w:szCs w:val="24"/>
        </w:rPr>
        <w:t xml:space="preserve"> un N</w:t>
      </w:r>
      <w:r w:rsidRPr="009814AD">
        <w:rPr>
          <w:rFonts w:cstheme="minorHAnsi"/>
          <w:sz w:val="24"/>
          <w:szCs w:val="24"/>
          <w:vertAlign w:val="subscript"/>
        </w:rPr>
        <w:t>2</w:t>
      </w:r>
      <w:r w:rsidRPr="009814AD">
        <w:rPr>
          <w:rFonts w:cstheme="minorHAnsi"/>
          <w:sz w:val="24"/>
          <w:szCs w:val="24"/>
        </w:rPr>
        <w:t>O emisijas no cieto atkritumu bioloģiskās apstrādes  (8.6% no kopējām atkritumu apsaimniekošanas emisijām), CH</w:t>
      </w:r>
      <w:r w:rsidRPr="009814AD">
        <w:rPr>
          <w:rFonts w:cstheme="minorHAnsi"/>
          <w:sz w:val="24"/>
          <w:szCs w:val="24"/>
          <w:vertAlign w:val="subscript"/>
        </w:rPr>
        <w:t>4</w:t>
      </w:r>
      <w:r w:rsidRPr="009814AD">
        <w:rPr>
          <w:rFonts w:cstheme="minorHAnsi"/>
          <w:sz w:val="24"/>
          <w:szCs w:val="24"/>
        </w:rPr>
        <w:t xml:space="preserve"> un N</w:t>
      </w:r>
      <w:r w:rsidRPr="009814AD">
        <w:rPr>
          <w:rFonts w:cstheme="minorHAnsi"/>
          <w:sz w:val="24"/>
          <w:szCs w:val="24"/>
          <w:vertAlign w:val="subscript"/>
        </w:rPr>
        <w:t>2</w:t>
      </w:r>
      <w:r w:rsidRPr="009814AD">
        <w:rPr>
          <w:rFonts w:cstheme="minorHAnsi"/>
          <w:sz w:val="24"/>
          <w:szCs w:val="24"/>
        </w:rPr>
        <w:t>O emisijas notekūdeņu attīrīšanas un novadīšanas (20.0%), kā arī pavisam nelielu daļu (0.05%) veido CO</w:t>
      </w:r>
      <w:r w:rsidRPr="009814AD">
        <w:rPr>
          <w:rFonts w:cstheme="minorHAnsi"/>
          <w:sz w:val="24"/>
          <w:szCs w:val="24"/>
          <w:vertAlign w:val="subscript"/>
        </w:rPr>
        <w:t>2</w:t>
      </w:r>
      <w:r w:rsidRPr="009814AD">
        <w:rPr>
          <w:rFonts w:cstheme="minorHAnsi"/>
          <w:sz w:val="24"/>
          <w:szCs w:val="24"/>
        </w:rPr>
        <w:t xml:space="preserve"> un N</w:t>
      </w:r>
      <w:r w:rsidRPr="009814AD">
        <w:rPr>
          <w:rFonts w:cstheme="minorHAnsi"/>
          <w:sz w:val="24"/>
          <w:szCs w:val="24"/>
          <w:vertAlign w:val="subscript"/>
        </w:rPr>
        <w:t>2</w:t>
      </w:r>
      <w:r w:rsidRPr="009814AD">
        <w:rPr>
          <w:rFonts w:cstheme="minorHAnsi"/>
          <w:sz w:val="24"/>
          <w:szCs w:val="24"/>
        </w:rPr>
        <w:t xml:space="preserve">O emisijas no atkritumu sadedzināšanas. </w:t>
      </w:r>
      <w:bookmarkStart w:id="2" w:name="_Hlk14438205"/>
    </w:p>
    <w:p w14:paraId="103335E6" w14:textId="7EEF52CD" w:rsidR="007C2E51" w:rsidRPr="009814AD" w:rsidRDefault="00877226" w:rsidP="005B6348">
      <w:pPr>
        <w:tabs>
          <w:tab w:val="left" w:pos="6833"/>
        </w:tabs>
        <w:spacing w:before="120" w:after="120" w:line="240" w:lineRule="auto"/>
        <w:jc w:val="both"/>
        <w:rPr>
          <w:rFonts w:cstheme="minorHAnsi"/>
          <w:sz w:val="24"/>
          <w:szCs w:val="24"/>
        </w:rPr>
      </w:pPr>
      <w:r w:rsidRPr="009814AD">
        <w:rPr>
          <w:rFonts w:cstheme="minorHAnsi"/>
          <w:sz w:val="24"/>
          <w:szCs w:val="24"/>
        </w:rPr>
        <w:t xml:space="preserve">Tādu iedzīvotāju īpatsvars, kas izmanto centralizētu notekūdeņu savākšanu un attīrīšanu, ir palielinājies no 70 % 2005. gadā līdz gandrīz 82 % 2017. gadā. Lielākajā daļā gadījumu centralizēti savāktajiem notekūdeņiem ir nodrošināta otrējā vai trešējā attīrīšana. Iedzīvotāji, kuriem nav pieejama centralizētā kanalizācijas sistēma, izmanto dažādus decentralizētas kanalizācijas risinājumus. </w:t>
      </w:r>
      <w:r w:rsidR="00E2271D" w:rsidRPr="009814AD">
        <w:rPr>
          <w:rFonts w:cstheme="minorHAnsi"/>
          <w:sz w:val="24"/>
          <w:szCs w:val="24"/>
        </w:rPr>
        <w:t>Gadā tiek savākti un attīrīti vairāk nekā 200 miljoni m</w:t>
      </w:r>
      <w:r w:rsidR="00E2271D" w:rsidRPr="009814AD">
        <w:rPr>
          <w:rFonts w:cstheme="minorHAnsi"/>
          <w:sz w:val="24"/>
          <w:szCs w:val="24"/>
          <w:vertAlign w:val="superscript"/>
        </w:rPr>
        <w:t>3</w:t>
      </w:r>
      <w:r w:rsidR="00E2271D" w:rsidRPr="009814AD">
        <w:rPr>
          <w:rFonts w:cstheme="minorHAnsi"/>
          <w:sz w:val="24"/>
          <w:szCs w:val="24"/>
        </w:rPr>
        <w:t xml:space="preserve"> notekūdeņu (2017. gadā - 231 miljons m</w:t>
      </w:r>
      <w:r w:rsidR="00E2271D" w:rsidRPr="009814AD">
        <w:rPr>
          <w:rFonts w:cstheme="minorHAnsi"/>
          <w:sz w:val="24"/>
          <w:szCs w:val="24"/>
          <w:vertAlign w:val="superscript"/>
        </w:rPr>
        <w:t>3</w:t>
      </w:r>
      <w:r w:rsidR="00E2271D" w:rsidRPr="009814AD">
        <w:rPr>
          <w:rFonts w:cstheme="minorHAnsi"/>
          <w:sz w:val="24"/>
          <w:szCs w:val="24"/>
        </w:rPr>
        <w:t xml:space="preserve">). </w:t>
      </w:r>
      <w:r w:rsidRPr="009814AD">
        <w:rPr>
          <w:rFonts w:cstheme="minorHAnsi"/>
          <w:sz w:val="24"/>
          <w:szCs w:val="24"/>
        </w:rPr>
        <w:t>Pēdējo 10 gadu periodā novērojams, ka kopējais virszemes ūdeņos novadītais notekūdeņu apjoms ir svārstīgs pa gadiem, tomēr kopš 2008. gada ir vērojamas ar attīrītiem notekūdeņiem vidē novadītā piesārņojuma daudzuma samazināšanās tendences</w:t>
      </w:r>
      <w:r w:rsidR="00505255" w:rsidRPr="009814AD">
        <w:rPr>
          <w:rFonts w:cstheme="minorHAnsi"/>
          <w:sz w:val="24"/>
          <w:szCs w:val="24"/>
        </w:rPr>
        <w:t xml:space="preserve"> līdz ar to arī kopējā slāpekļa un fosfora piesārņojuma daudzums ir samazinājies</w:t>
      </w:r>
      <w:r w:rsidRPr="009814AD">
        <w:rPr>
          <w:rFonts w:cstheme="minorHAnsi"/>
          <w:sz w:val="24"/>
          <w:szCs w:val="24"/>
        </w:rPr>
        <w:t xml:space="preserve">. </w:t>
      </w:r>
      <w:r w:rsidR="008B66FB" w:rsidRPr="009814AD">
        <w:rPr>
          <w:rFonts w:cstheme="minorHAnsi"/>
          <w:sz w:val="24"/>
          <w:szCs w:val="24"/>
        </w:rPr>
        <w:t>Pieaug arī komunālajās attīrīšanas iekārtās radušos notekūdeņu dūņu apjoms, bet mežsaimniecībā un lauksaimniecībā tās izmanto nelielos apjomos. Aptuveni puse no radītajām dūņām tiek izvietota pagaidu uzglabāšanas vietās.</w:t>
      </w:r>
    </w:p>
    <w:p w14:paraId="5C2D2F12" w14:textId="77777777" w:rsidR="009814AD" w:rsidRPr="009814AD" w:rsidRDefault="009814AD" w:rsidP="009814AD">
      <w:pPr>
        <w:shd w:val="clear" w:color="auto" w:fill="E7E6E6" w:themeFill="background2"/>
        <w:spacing w:before="120" w:after="120" w:line="240" w:lineRule="auto"/>
        <w:rPr>
          <w:rFonts w:cstheme="minorHAnsi"/>
          <w:b/>
          <w:sz w:val="28"/>
          <w:szCs w:val="28"/>
          <w:u w:val="single"/>
        </w:rPr>
      </w:pPr>
      <w:bookmarkStart w:id="3" w:name="_Hlk19005731"/>
      <w:r w:rsidRPr="009814AD">
        <w:rPr>
          <w:rFonts w:cstheme="minorHAnsi"/>
          <w:b/>
          <w:sz w:val="28"/>
          <w:szCs w:val="28"/>
          <w:u w:val="single"/>
        </w:rPr>
        <w:t>Vēlamā situācija 2030.gadā:</w:t>
      </w:r>
    </w:p>
    <w:bookmarkEnd w:id="3"/>
    <w:p w14:paraId="5D358060" w14:textId="0AC06D6F" w:rsidR="009814AD" w:rsidRPr="009814AD" w:rsidRDefault="009814AD" w:rsidP="0023168E">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Samazināts radīto atkritumu daudzums (apjoms) un bīstamība, kas nonāk atkritumu poligonos</w:t>
      </w:r>
      <w:r w:rsidRPr="009814AD">
        <w:rPr>
          <w:rFonts w:cstheme="minorHAnsi"/>
          <w:i/>
          <w:sz w:val="24"/>
          <w:szCs w:val="24"/>
        </w:rPr>
        <w:t>, un u</w:t>
      </w:r>
      <w:r w:rsidRPr="009814AD">
        <w:rPr>
          <w:rFonts w:cstheme="minorHAnsi"/>
          <w:i/>
          <w:sz w:val="24"/>
          <w:szCs w:val="24"/>
        </w:rPr>
        <w:t>zlabota dažāda veida atkritumu atkārtota izmantošana, pārstrāde un reģenerācija</w:t>
      </w:r>
      <w:r w:rsidRPr="009814AD">
        <w:rPr>
          <w:rFonts w:cstheme="minorHAnsi"/>
          <w:i/>
          <w:sz w:val="24"/>
          <w:szCs w:val="24"/>
        </w:rPr>
        <w:t>, p</w:t>
      </w:r>
      <w:r w:rsidRPr="009814AD">
        <w:rPr>
          <w:rFonts w:cstheme="minorHAnsi"/>
          <w:i/>
          <w:sz w:val="24"/>
          <w:szCs w:val="24"/>
        </w:rPr>
        <w:t>anākta atkritumu dalītā savākšana;</w:t>
      </w:r>
    </w:p>
    <w:p w14:paraId="2F427576"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 xml:space="preserve">Iedzīvotāji pirms pirkuma iegādāšanās izvērtē tā nepieciešamību un pienesumu videi. </w:t>
      </w:r>
    </w:p>
    <w:p w14:paraId="23A10211" w14:textId="5CBA0A19"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Paplašināta gan centralizētās kanalizācijas pakalpojumu pieejamība, gan palielinājies to lietotāju īpatsvars, notiek infrastruktūras atjaunošana un modernizācija</w:t>
      </w:r>
      <w:r w:rsidRPr="009814AD">
        <w:rPr>
          <w:rFonts w:cstheme="minorHAnsi"/>
          <w:i/>
          <w:sz w:val="24"/>
          <w:szCs w:val="24"/>
        </w:rPr>
        <w:t>;</w:t>
      </w:r>
    </w:p>
    <w:p w14:paraId="72D9039D"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Ir izvērtēti un tiek ieviesti no vides un ekonomiskā viedokļa ilgtspējīgi risinājumi notekūdeņu dūņu apsaimniekošanai.</w:t>
      </w:r>
    </w:p>
    <w:p w14:paraId="178817AB" w14:textId="77777777" w:rsidR="009814AD" w:rsidRPr="009814AD" w:rsidRDefault="009814AD" w:rsidP="009814AD">
      <w:pPr>
        <w:shd w:val="clear" w:color="auto" w:fill="E7E6E6" w:themeFill="background2"/>
        <w:spacing w:before="120" w:after="120" w:line="240" w:lineRule="auto"/>
        <w:rPr>
          <w:rFonts w:cstheme="minorHAnsi"/>
          <w:b/>
          <w:sz w:val="28"/>
          <w:szCs w:val="28"/>
          <w:u w:val="single"/>
        </w:rPr>
      </w:pPr>
      <w:r w:rsidRPr="009814AD">
        <w:rPr>
          <w:rFonts w:cstheme="minorHAnsi"/>
          <w:b/>
          <w:sz w:val="28"/>
          <w:szCs w:val="28"/>
          <w:u w:val="single"/>
        </w:rPr>
        <w:t>Ieguvumi sabiedrībai un tautsaimniecībai:</w:t>
      </w:r>
    </w:p>
    <w:p w14:paraId="07F14605"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Attīstīta  atkritumu apsaimniekošanas sistēma, līdz ar to uzlabota dzīves vide;</w:t>
      </w:r>
    </w:p>
    <w:p w14:paraId="4E17ED6E"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lastRenderedPageBreak/>
        <w:t>Modernizēta un paplašināta notekūdeņu apsaimniekošanas infrastruktūra, līdz ar to samazināts vides piesārņojuma risks un palielināta kvalitatīva pakalpojuma pieejamība iedzīvotājiem;</w:t>
      </w:r>
    </w:p>
    <w:p w14:paraId="06FC76F9"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Izveidota notekūdeņu dūņu apsaimniekošanas sistēma, mazinot vides piesārņojuma risku un novēršot dūņu uzkrāšanos ūdenssaimniecības uzņēmumos;</w:t>
      </w:r>
    </w:p>
    <w:p w14:paraId="1E6CD20D"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Ieviesta aprites ekonomika, veicinot vienas nozares blakusproduktu izmantošanu kā citas nozares izejmateriālu;</w:t>
      </w:r>
    </w:p>
    <w:p w14:paraId="4FC2FAEA" w14:textId="77777777" w:rsidR="009814AD" w:rsidRPr="009814AD" w:rsidRDefault="009814AD" w:rsidP="009814AD">
      <w:pPr>
        <w:pStyle w:val="ListParagraph"/>
        <w:numPr>
          <w:ilvl w:val="0"/>
          <w:numId w:val="14"/>
        </w:numPr>
        <w:shd w:val="clear" w:color="auto" w:fill="E7E6E6" w:themeFill="background2"/>
        <w:spacing w:before="120" w:after="120" w:line="240" w:lineRule="auto"/>
        <w:ind w:left="357" w:hanging="357"/>
        <w:contextualSpacing w:val="0"/>
        <w:rPr>
          <w:rFonts w:cstheme="minorHAnsi"/>
          <w:i/>
          <w:sz w:val="24"/>
          <w:szCs w:val="24"/>
        </w:rPr>
      </w:pPr>
      <w:r w:rsidRPr="009814AD">
        <w:rPr>
          <w:rFonts w:cstheme="minorHAnsi"/>
          <w:i/>
          <w:sz w:val="24"/>
          <w:szCs w:val="24"/>
        </w:rPr>
        <w:t>Uzņēmumi ir ekonomiski stimulēti tirgū laist videi nekaitīgus ražojumus un atbalstīt reģenerācijas un pārstrādes shēmas.</w:t>
      </w:r>
    </w:p>
    <w:p w14:paraId="6F379B96" w14:textId="6B449481" w:rsidR="009814AD" w:rsidRPr="009814AD" w:rsidRDefault="009814AD" w:rsidP="009814AD">
      <w:pPr>
        <w:spacing w:before="120" w:after="120" w:line="240" w:lineRule="auto"/>
        <w:jc w:val="both"/>
        <w:rPr>
          <w:rFonts w:cstheme="minorHAnsi"/>
          <w:b/>
          <w:i/>
          <w:sz w:val="28"/>
          <w:szCs w:val="28"/>
          <w:u w:val="single"/>
        </w:rPr>
      </w:pPr>
      <w:bookmarkStart w:id="4" w:name="_Hlk20738949"/>
      <w:r w:rsidRPr="009814AD">
        <w:rPr>
          <w:rFonts w:cstheme="minorHAnsi"/>
          <w:b/>
          <w:i/>
          <w:sz w:val="28"/>
          <w:szCs w:val="28"/>
          <w:u w:val="single"/>
        </w:rPr>
        <w:t>Galvenie izaicinājumi</w:t>
      </w:r>
    </w:p>
    <w:bookmarkEnd w:id="2"/>
    <w:bookmarkEnd w:id="4"/>
    <w:p w14:paraId="69DDA3CA" w14:textId="0325F2FE" w:rsidR="005706CC" w:rsidRPr="009814AD" w:rsidRDefault="009814AD" w:rsidP="009814AD">
      <w:pPr>
        <w:autoSpaceDE w:val="0"/>
        <w:autoSpaceDN w:val="0"/>
        <w:adjustRightInd w:val="0"/>
        <w:spacing w:before="120" w:after="120" w:line="240" w:lineRule="auto"/>
        <w:jc w:val="both"/>
        <w:rPr>
          <w:rFonts w:cstheme="minorHAnsi"/>
          <w:sz w:val="24"/>
          <w:szCs w:val="24"/>
          <w:u w:val="single"/>
        </w:rPr>
      </w:pPr>
      <w:r w:rsidRPr="009814AD">
        <w:rPr>
          <w:rFonts w:cstheme="minorHAnsi"/>
          <w:b/>
          <w:sz w:val="24"/>
          <w:szCs w:val="24"/>
          <w:u w:val="single"/>
        </w:rPr>
        <w:t xml:space="preserve">1) </w:t>
      </w:r>
      <w:r w:rsidR="005706CC" w:rsidRPr="009814AD">
        <w:rPr>
          <w:rFonts w:cstheme="minorHAnsi"/>
          <w:b/>
          <w:sz w:val="24"/>
          <w:szCs w:val="24"/>
          <w:u w:val="single"/>
        </w:rPr>
        <w:t>Ne</w:t>
      </w:r>
      <w:r w:rsidR="00CB1A6B" w:rsidRPr="009814AD">
        <w:rPr>
          <w:rFonts w:cstheme="minorHAnsi"/>
          <w:b/>
          <w:sz w:val="24"/>
          <w:szCs w:val="24"/>
          <w:u w:val="single"/>
        </w:rPr>
        <w:t xml:space="preserve">pietiekami attīstīta </w:t>
      </w:r>
      <w:r w:rsidR="005706CC" w:rsidRPr="009814AD">
        <w:rPr>
          <w:rFonts w:cstheme="minorHAnsi"/>
          <w:sz w:val="24"/>
          <w:szCs w:val="24"/>
          <w:u w:val="single"/>
        </w:rPr>
        <w:t xml:space="preserve"> atkritumu </w:t>
      </w:r>
      <w:r w:rsidR="005706CC" w:rsidRPr="009814AD">
        <w:rPr>
          <w:rFonts w:cstheme="minorHAnsi"/>
          <w:b/>
          <w:sz w:val="24"/>
          <w:szCs w:val="24"/>
          <w:u w:val="single"/>
        </w:rPr>
        <w:t>apsaimniekošanas infrastruktūra</w:t>
      </w:r>
    </w:p>
    <w:p w14:paraId="38B44B80" w14:textId="07D2C952" w:rsidR="00EB7E0C" w:rsidRPr="009814AD" w:rsidRDefault="00C70711" w:rsidP="009814AD">
      <w:pPr>
        <w:autoSpaceDE w:val="0"/>
        <w:autoSpaceDN w:val="0"/>
        <w:adjustRightInd w:val="0"/>
        <w:spacing w:before="120" w:after="120" w:line="240" w:lineRule="auto"/>
        <w:jc w:val="both"/>
        <w:rPr>
          <w:rFonts w:cstheme="minorHAnsi"/>
          <w:sz w:val="24"/>
          <w:szCs w:val="24"/>
        </w:rPr>
      </w:pPr>
      <w:r w:rsidRPr="009814AD">
        <w:rPr>
          <w:rFonts w:cstheme="minorHAnsi"/>
          <w:sz w:val="24"/>
          <w:szCs w:val="24"/>
        </w:rPr>
        <w:t>Latvijas atkritumu apsaimniekošanas politikā ir</w:t>
      </w:r>
      <w:r w:rsidR="00EB7E0C" w:rsidRPr="009814AD">
        <w:rPr>
          <w:rFonts w:cstheme="minorHAnsi"/>
          <w:sz w:val="24"/>
          <w:szCs w:val="24"/>
        </w:rPr>
        <w:t xml:space="preserve"> </w:t>
      </w:r>
      <w:r w:rsidR="00CB1A6B" w:rsidRPr="009814AD">
        <w:rPr>
          <w:rFonts w:cstheme="minorHAnsi"/>
          <w:sz w:val="24"/>
          <w:szCs w:val="24"/>
        </w:rPr>
        <w:t xml:space="preserve">paredzētie stimuli (piemēram, dabas resursu nodoklis par atkritumu apglabāšanu poligonos) ir </w:t>
      </w:r>
      <w:r w:rsidR="00EB7E0C" w:rsidRPr="009814AD">
        <w:rPr>
          <w:rFonts w:cstheme="minorHAnsi"/>
          <w:sz w:val="24"/>
          <w:szCs w:val="24"/>
        </w:rPr>
        <w:t>nepietiekami</w:t>
      </w:r>
      <w:r w:rsidR="00CB1A6B" w:rsidRPr="009814AD">
        <w:rPr>
          <w:rFonts w:cstheme="minorHAnsi"/>
          <w:sz w:val="24"/>
          <w:szCs w:val="24"/>
        </w:rPr>
        <w:t xml:space="preserve">, lai samazinātu </w:t>
      </w:r>
      <w:r w:rsidR="00EB7E0C" w:rsidRPr="009814AD">
        <w:rPr>
          <w:rFonts w:cstheme="minorHAnsi"/>
          <w:sz w:val="24"/>
          <w:szCs w:val="24"/>
        </w:rPr>
        <w:t xml:space="preserve"> </w:t>
      </w:r>
      <w:r w:rsidR="00CB1A6B" w:rsidRPr="009814AD">
        <w:rPr>
          <w:rFonts w:cstheme="minorHAnsi"/>
          <w:sz w:val="24"/>
          <w:szCs w:val="24"/>
        </w:rPr>
        <w:t xml:space="preserve">atkritumu apglabāšanu </w:t>
      </w:r>
      <w:r w:rsidR="00EB7E0C" w:rsidRPr="009814AD">
        <w:rPr>
          <w:rFonts w:cstheme="minorHAnsi"/>
          <w:sz w:val="24"/>
          <w:szCs w:val="24"/>
        </w:rPr>
        <w:t>poligon</w:t>
      </w:r>
      <w:r w:rsidR="00CB1A6B" w:rsidRPr="009814AD">
        <w:rPr>
          <w:rFonts w:cstheme="minorHAnsi"/>
          <w:sz w:val="24"/>
          <w:szCs w:val="24"/>
        </w:rPr>
        <w:t>os</w:t>
      </w:r>
      <w:r w:rsidR="00226DDB" w:rsidRPr="009814AD">
        <w:rPr>
          <w:rFonts w:cstheme="minorHAnsi"/>
          <w:sz w:val="24"/>
          <w:szCs w:val="24"/>
        </w:rPr>
        <w:t>.</w:t>
      </w:r>
      <w:r w:rsidRPr="009814AD">
        <w:rPr>
          <w:rFonts w:cstheme="minorHAnsi"/>
          <w:sz w:val="24"/>
          <w:szCs w:val="24"/>
        </w:rPr>
        <w:t xml:space="preserve"> Tā kā pārlieku daudz atkritumu tiek apglabāts poligonos</w:t>
      </w:r>
      <w:r w:rsidR="00CB1A6B" w:rsidRPr="009814AD">
        <w:rPr>
          <w:rFonts w:cstheme="minorHAnsi"/>
          <w:sz w:val="24"/>
          <w:szCs w:val="24"/>
        </w:rPr>
        <w:t xml:space="preserve"> un ir nepietiekamas atkritumu pārstrādes un reģenerācijas iespējas</w:t>
      </w:r>
      <w:r w:rsidRPr="009814AD">
        <w:rPr>
          <w:rFonts w:cstheme="minorHAnsi"/>
          <w:sz w:val="24"/>
          <w:szCs w:val="24"/>
        </w:rPr>
        <w:t xml:space="preserve">, labāki atkritumu apsaimniekošanas paņēmieni (piemēram, atkārtota izmantošana un pārstrāde) tiek izmantoti nepietiekami. </w:t>
      </w:r>
      <w:r w:rsidR="0099437B" w:rsidRPr="009814AD">
        <w:rPr>
          <w:rFonts w:cstheme="minorHAnsi"/>
          <w:sz w:val="24"/>
          <w:szCs w:val="24"/>
        </w:rPr>
        <w:t>Lai palielinātu augstas kvalitātes pārstrādes apjomu, ir vajadzīgi uzlabojumi atkritumu</w:t>
      </w:r>
      <w:r w:rsidR="00CB1A6B" w:rsidRPr="009814AD">
        <w:rPr>
          <w:rFonts w:cstheme="minorHAnsi"/>
          <w:sz w:val="24"/>
          <w:szCs w:val="24"/>
        </w:rPr>
        <w:t xml:space="preserve"> dalītajā</w:t>
      </w:r>
      <w:r w:rsidR="0099437B" w:rsidRPr="009814AD">
        <w:rPr>
          <w:rFonts w:cstheme="minorHAnsi"/>
          <w:sz w:val="24"/>
          <w:szCs w:val="24"/>
        </w:rPr>
        <w:t xml:space="preserve"> savākšanā</w:t>
      </w:r>
      <w:r w:rsidR="00CB1A6B" w:rsidRPr="009814AD">
        <w:rPr>
          <w:rFonts w:cstheme="minorHAnsi"/>
          <w:sz w:val="24"/>
          <w:szCs w:val="24"/>
        </w:rPr>
        <w:t xml:space="preserve"> un</w:t>
      </w:r>
      <w:r w:rsidR="00CC1468" w:rsidRPr="009814AD">
        <w:rPr>
          <w:rFonts w:cstheme="minorHAnsi"/>
          <w:sz w:val="24"/>
          <w:szCs w:val="24"/>
        </w:rPr>
        <w:t xml:space="preserve"> </w:t>
      </w:r>
      <w:r w:rsidR="0099437B" w:rsidRPr="009814AD">
        <w:rPr>
          <w:rFonts w:cstheme="minorHAnsi"/>
          <w:sz w:val="24"/>
          <w:szCs w:val="24"/>
        </w:rPr>
        <w:t>šķirošanā</w:t>
      </w:r>
      <w:r w:rsidR="00CB1A6B" w:rsidRPr="009814AD">
        <w:rPr>
          <w:rFonts w:cstheme="minorHAnsi"/>
          <w:sz w:val="24"/>
          <w:szCs w:val="24"/>
        </w:rPr>
        <w:t>, kā arī atkritumu pārstrādes un reģenerācijas jaudu palielināšana</w:t>
      </w:r>
      <w:r w:rsidR="0099437B" w:rsidRPr="009814AD">
        <w:rPr>
          <w:rFonts w:cstheme="minorHAnsi"/>
          <w:sz w:val="24"/>
          <w:szCs w:val="24"/>
        </w:rPr>
        <w:t>.</w:t>
      </w:r>
    </w:p>
    <w:p w14:paraId="5017E59C" w14:textId="2259AD6E" w:rsidR="001D0696" w:rsidRPr="009814AD" w:rsidRDefault="009814AD" w:rsidP="009814AD">
      <w:pPr>
        <w:spacing w:before="120" w:after="120" w:line="240" w:lineRule="auto"/>
        <w:jc w:val="both"/>
        <w:rPr>
          <w:rFonts w:cstheme="minorHAnsi"/>
          <w:sz w:val="24"/>
          <w:szCs w:val="24"/>
          <w:u w:val="single"/>
        </w:rPr>
      </w:pPr>
      <w:r w:rsidRPr="009814AD">
        <w:rPr>
          <w:rFonts w:cstheme="minorHAnsi"/>
          <w:sz w:val="24"/>
          <w:szCs w:val="24"/>
          <w:u w:val="single"/>
        </w:rPr>
        <w:t xml:space="preserve">2) </w:t>
      </w:r>
      <w:r w:rsidR="001D0696" w:rsidRPr="009814AD">
        <w:rPr>
          <w:rFonts w:cstheme="minorHAnsi"/>
          <w:sz w:val="24"/>
          <w:szCs w:val="24"/>
          <w:u w:val="single"/>
        </w:rPr>
        <w:t>Atkritumu</w:t>
      </w:r>
      <w:r w:rsidR="004E554D" w:rsidRPr="009814AD">
        <w:rPr>
          <w:rFonts w:cstheme="minorHAnsi"/>
          <w:sz w:val="24"/>
          <w:szCs w:val="24"/>
          <w:u w:val="single"/>
        </w:rPr>
        <w:t xml:space="preserve"> dalītās savākšanas un </w:t>
      </w:r>
      <w:r w:rsidR="001D0696" w:rsidRPr="009814AD">
        <w:rPr>
          <w:rFonts w:cstheme="minorHAnsi"/>
          <w:sz w:val="24"/>
          <w:szCs w:val="24"/>
          <w:u w:val="single"/>
        </w:rPr>
        <w:t xml:space="preserve"> </w:t>
      </w:r>
      <w:r w:rsidR="001D0696" w:rsidRPr="009814AD">
        <w:rPr>
          <w:rFonts w:cstheme="minorHAnsi"/>
          <w:b/>
          <w:sz w:val="24"/>
          <w:szCs w:val="24"/>
          <w:u w:val="single"/>
        </w:rPr>
        <w:t xml:space="preserve">šķirošanas </w:t>
      </w:r>
      <w:r w:rsidR="004E554D" w:rsidRPr="009814AD">
        <w:rPr>
          <w:rFonts w:cstheme="minorHAnsi"/>
          <w:b/>
          <w:sz w:val="24"/>
          <w:szCs w:val="24"/>
          <w:u w:val="single"/>
        </w:rPr>
        <w:t xml:space="preserve">pakalpojumu </w:t>
      </w:r>
      <w:r w:rsidR="002F2EC0" w:rsidRPr="009814AD">
        <w:rPr>
          <w:rFonts w:cstheme="minorHAnsi"/>
          <w:b/>
          <w:sz w:val="24"/>
          <w:szCs w:val="24"/>
          <w:u w:val="single"/>
        </w:rPr>
        <w:t>ne</w:t>
      </w:r>
      <w:r w:rsidR="004E554D" w:rsidRPr="009814AD">
        <w:rPr>
          <w:rFonts w:cstheme="minorHAnsi"/>
          <w:b/>
          <w:sz w:val="24"/>
          <w:szCs w:val="24"/>
          <w:u w:val="single"/>
        </w:rPr>
        <w:t>pieejamība</w:t>
      </w:r>
    </w:p>
    <w:p w14:paraId="3E60391A" w14:textId="1D7FE9E4" w:rsidR="008C5805" w:rsidRPr="009814AD" w:rsidRDefault="004E554D" w:rsidP="009814AD">
      <w:pPr>
        <w:spacing w:before="120" w:after="120" w:line="240" w:lineRule="auto"/>
        <w:jc w:val="both"/>
        <w:rPr>
          <w:rFonts w:cstheme="minorHAnsi"/>
          <w:sz w:val="24"/>
          <w:szCs w:val="24"/>
          <w:shd w:val="clear" w:color="auto" w:fill="FFFFFF"/>
        </w:rPr>
      </w:pPr>
      <w:r w:rsidRPr="009814AD">
        <w:rPr>
          <w:rFonts w:cstheme="minorHAnsi"/>
          <w:sz w:val="24"/>
          <w:szCs w:val="24"/>
          <w:shd w:val="clear" w:color="auto" w:fill="FFFFFF"/>
        </w:rPr>
        <w:t xml:space="preserve">Sadzīves </w:t>
      </w:r>
      <w:r w:rsidR="002F2EC0" w:rsidRPr="009814AD">
        <w:rPr>
          <w:rFonts w:cstheme="minorHAnsi"/>
          <w:sz w:val="24"/>
          <w:szCs w:val="24"/>
          <w:shd w:val="clear" w:color="auto" w:fill="FFFFFF"/>
        </w:rPr>
        <w:t>a</w:t>
      </w:r>
      <w:r w:rsidR="00BB6CD1" w:rsidRPr="009814AD">
        <w:rPr>
          <w:rFonts w:cstheme="minorHAnsi"/>
          <w:sz w:val="24"/>
          <w:szCs w:val="24"/>
          <w:shd w:val="clear" w:color="auto" w:fill="FFFFFF"/>
        </w:rPr>
        <w:t xml:space="preserve">tkritumu </w:t>
      </w:r>
      <w:r w:rsidRPr="009814AD">
        <w:rPr>
          <w:rFonts w:cstheme="minorHAnsi"/>
          <w:sz w:val="24"/>
          <w:szCs w:val="24"/>
          <w:shd w:val="clear" w:color="auto" w:fill="FFFFFF"/>
        </w:rPr>
        <w:t xml:space="preserve">dalītā vākšana un </w:t>
      </w:r>
      <w:r w:rsidR="00BB6CD1" w:rsidRPr="009814AD">
        <w:rPr>
          <w:rFonts w:cstheme="minorHAnsi"/>
          <w:sz w:val="24"/>
          <w:szCs w:val="24"/>
          <w:shd w:val="clear" w:color="auto" w:fill="FFFFFF"/>
        </w:rPr>
        <w:t xml:space="preserve">šķirošana tiek ieviesta pakāpeniski, </w:t>
      </w:r>
      <w:r w:rsidRPr="009814AD">
        <w:rPr>
          <w:rFonts w:cstheme="minorHAnsi"/>
          <w:sz w:val="24"/>
          <w:szCs w:val="24"/>
          <w:shd w:val="clear" w:color="auto" w:fill="FFFFFF"/>
        </w:rPr>
        <w:t xml:space="preserve">tomēr šis atkritumu apsaimniekošanas pakalpojums vēl nav pieejams visiem atkritumu radītājiem visās pašvaldībās. Tāpēc atkritumu dalītā savākšana </w:t>
      </w:r>
      <w:r w:rsidR="00B87139" w:rsidRPr="009814AD">
        <w:rPr>
          <w:rFonts w:cstheme="minorHAnsi"/>
          <w:sz w:val="24"/>
          <w:szCs w:val="24"/>
          <w:shd w:val="clear" w:color="auto" w:fill="FFFFFF"/>
        </w:rPr>
        <w:t xml:space="preserve"> nav </w:t>
      </w:r>
      <w:r w:rsidRPr="009814AD">
        <w:rPr>
          <w:rFonts w:cstheme="minorHAnsi"/>
          <w:sz w:val="24"/>
          <w:szCs w:val="24"/>
          <w:shd w:val="clear" w:color="auto" w:fill="FFFFFF"/>
        </w:rPr>
        <w:t>pietiekami</w:t>
      </w:r>
      <w:r w:rsidR="003212EC" w:rsidRPr="009814AD">
        <w:rPr>
          <w:rFonts w:cstheme="minorHAnsi"/>
          <w:sz w:val="24"/>
          <w:szCs w:val="24"/>
          <w:shd w:val="clear" w:color="auto" w:fill="FFFFFF"/>
        </w:rPr>
        <w:t xml:space="preserve"> </w:t>
      </w:r>
      <w:r w:rsidR="00B87139" w:rsidRPr="009814AD">
        <w:rPr>
          <w:rFonts w:cstheme="minorHAnsi"/>
          <w:sz w:val="24"/>
          <w:szCs w:val="24"/>
          <w:shd w:val="clear" w:color="auto" w:fill="FFFFFF"/>
        </w:rPr>
        <w:t>efektīva un daļa a</w:t>
      </w:r>
      <w:r w:rsidR="001D0696" w:rsidRPr="009814AD">
        <w:rPr>
          <w:rFonts w:cstheme="minorHAnsi"/>
          <w:sz w:val="24"/>
          <w:szCs w:val="24"/>
          <w:shd w:val="clear" w:color="auto" w:fill="FFFFFF"/>
        </w:rPr>
        <w:t>tkritumu</w:t>
      </w:r>
      <w:r w:rsidR="00B87139" w:rsidRPr="009814AD">
        <w:rPr>
          <w:rFonts w:cstheme="minorHAnsi"/>
          <w:sz w:val="24"/>
          <w:szCs w:val="24"/>
          <w:shd w:val="clear" w:color="auto" w:fill="FFFFFF"/>
        </w:rPr>
        <w:t xml:space="preserve">, kas varētu tikt pārstrādāti </w:t>
      </w:r>
      <w:r w:rsidR="00BB6CD1" w:rsidRPr="009814AD">
        <w:rPr>
          <w:rFonts w:cstheme="minorHAnsi"/>
          <w:sz w:val="24"/>
          <w:szCs w:val="24"/>
          <w:shd w:val="clear" w:color="auto" w:fill="FFFFFF"/>
        </w:rPr>
        <w:t xml:space="preserve">vai reģenerēti </w:t>
      </w:r>
      <w:r w:rsidR="00B87139" w:rsidRPr="009814AD">
        <w:rPr>
          <w:rFonts w:cstheme="minorHAnsi"/>
          <w:sz w:val="24"/>
          <w:szCs w:val="24"/>
          <w:shd w:val="clear" w:color="auto" w:fill="FFFFFF"/>
        </w:rPr>
        <w:t>nonāk atkritumu poligonos.</w:t>
      </w:r>
    </w:p>
    <w:p w14:paraId="2895B451" w14:textId="1EA51449" w:rsidR="00317654" w:rsidRPr="009814AD" w:rsidRDefault="009814AD" w:rsidP="009814AD">
      <w:pPr>
        <w:spacing w:before="120" w:after="120" w:line="240" w:lineRule="auto"/>
        <w:jc w:val="both"/>
        <w:rPr>
          <w:rFonts w:cstheme="minorHAnsi"/>
          <w:sz w:val="24"/>
          <w:szCs w:val="24"/>
        </w:rPr>
      </w:pPr>
      <w:r w:rsidRPr="009814AD">
        <w:rPr>
          <w:rFonts w:cstheme="minorHAnsi"/>
          <w:sz w:val="24"/>
          <w:szCs w:val="24"/>
          <w:u w:val="single"/>
        </w:rPr>
        <w:t xml:space="preserve">3) </w:t>
      </w:r>
      <w:r w:rsidR="000D1055" w:rsidRPr="009814AD">
        <w:rPr>
          <w:rFonts w:cstheme="minorHAnsi"/>
          <w:sz w:val="24"/>
          <w:szCs w:val="24"/>
          <w:u w:val="single"/>
        </w:rPr>
        <w:t xml:space="preserve">Ūdenssaimniecības (ūdensapgādes un kanalizācijas) pakalpojumu </w:t>
      </w:r>
      <w:r w:rsidR="000D1055" w:rsidRPr="009814AD">
        <w:rPr>
          <w:rFonts w:cstheme="minorHAnsi"/>
          <w:b/>
          <w:sz w:val="24"/>
          <w:szCs w:val="24"/>
          <w:u w:val="single"/>
        </w:rPr>
        <w:t>infrastruktūra noveco</w:t>
      </w:r>
      <w:r w:rsidR="000D1055" w:rsidRPr="009814AD">
        <w:rPr>
          <w:rFonts w:cstheme="minorHAnsi"/>
          <w:sz w:val="24"/>
          <w:szCs w:val="24"/>
          <w:u w:val="single"/>
        </w:rPr>
        <w:t xml:space="preserve"> un ir liela </w:t>
      </w:r>
      <w:r w:rsidR="000D1055" w:rsidRPr="009814AD">
        <w:rPr>
          <w:rFonts w:cstheme="minorHAnsi"/>
          <w:b/>
          <w:sz w:val="24"/>
          <w:szCs w:val="24"/>
          <w:u w:val="single"/>
        </w:rPr>
        <w:t>vajadzība pēc investīcijām</w:t>
      </w:r>
      <w:r w:rsidR="000D1055" w:rsidRPr="009814AD">
        <w:rPr>
          <w:rFonts w:cstheme="minorHAnsi"/>
          <w:sz w:val="24"/>
          <w:szCs w:val="24"/>
          <w:u w:val="single"/>
        </w:rPr>
        <w:t xml:space="preserve"> </w:t>
      </w:r>
      <w:r w:rsidR="00C45D83" w:rsidRPr="009814AD">
        <w:rPr>
          <w:rFonts w:cstheme="minorHAnsi"/>
          <w:sz w:val="24"/>
          <w:szCs w:val="24"/>
          <w:u w:val="single"/>
        </w:rPr>
        <w:t>tās rekonstrukcijā un attīstībā</w:t>
      </w:r>
      <w:r w:rsidR="000D1055" w:rsidRPr="009814AD">
        <w:rPr>
          <w:rFonts w:cstheme="minorHAnsi"/>
          <w:sz w:val="24"/>
          <w:szCs w:val="24"/>
          <w:u w:val="single"/>
        </w:rPr>
        <w:t>.</w:t>
      </w:r>
      <w:r w:rsidR="009F06C3" w:rsidRPr="009814AD">
        <w:rPr>
          <w:rFonts w:cstheme="minorHAnsi"/>
          <w:sz w:val="24"/>
          <w:szCs w:val="24"/>
        </w:rPr>
        <w:t xml:space="preserve"> </w:t>
      </w:r>
    </w:p>
    <w:p w14:paraId="039EF108" w14:textId="77777777" w:rsidR="006452ED" w:rsidRPr="009814AD" w:rsidRDefault="000D1055" w:rsidP="009814AD">
      <w:pPr>
        <w:spacing w:before="120" w:after="120" w:line="240" w:lineRule="auto"/>
        <w:jc w:val="both"/>
        <w:rPr>
          <w:rFonts w:cstheme="minorHAnsi"/>
          <w:sz w:val="24"/>
          <w:szCs w:val="24"/>
        </w:rPr>
      </w:pPr>
      <w:r w:rsidRPr="009814AD">
        <w:rPr>
          <w:rFonts w:cstheme="minorHAnsi"/>
          <w:sz w:val="24"/>
          <w:szCs w:val="24"/>
        </w:rPr>
        <w:t>Pēdējo 20 gadu laikā ūdenssaimniecības infrastruktūras attīstībā ieguldīti vairāk nekā 848 miljoni eiro, kas atbilst 71% no visām vides investīcijām. Lielāko daļu no šiem ieguldījumiem veido ES fondu un citu ārvalstu donoru finansējums. Tādējādi ilgu laika posmu ūdenssaimniecības nozares attīstību ir ļoti tieši ietekmējusi ES fondu finansējuma pieejamība, kas tuvākajā nākotnē varētu samazināties.</w:t>
      </w:r>
      <w:r w:rsidR="00C45D83" w:rsidRPr="009814AD">
        <w:rPr>
          <w:rFonts w:cstheme="minorHAnsi"/>
          <w:sz w:val="24"/>
          <w:szCs w:val="24"/>
        </w:rPr>
        <w:t xml:space="preserve"> Ne vien līdz pagājušā gadsimta astoņdesmitajiem gadiem ierīkotajai infrastruktūrai, bet arī</w:t>
      </w:r>
      <w:r w:rsidR="009F06C3" w:rsidRPr="009814AD">
        <w:rPr>
          <w:rFonts w:cstheme="minorHAnsi"/>
          <w:sz w:val="24"/>
          <w:szCs w:val="24"/>
        </w:rPr>
        <w:t xml:space="preserve"> </w:t>
      </w:r>
      <w:r w:rsidR="00C45D83" w:rsidRPr="009814AD">
        <w:rPr>
          <w:rFonts w:cstheme="minorHAnsi"/>
          <w:sz w:val="24"/>
          <w:szCs w:val="24"/>
        </w:rPr>
        <w:t xml:space="preserve">atsevišķiem pēdējo 20 gadu perioda </w:t>
      </w:r>
      <w:r w:rsidR="009F06C3" w:rsidRPr="009814AD">
        <w:rPr>
          <w:rFonts w:cstheme="minorHAnsi"/>
          <w:sz w:val="24"/>
          <w:szCs w:val="24"/>
        </w:rPr>
        <w:t xml:space="preserve">sākumā izbūvētiem infrastruktūras elementiem kalpošanas laiks tuvojas </w:t>
      </w:r>
      <w:r w:rsidR="00C45D83" w:rsidRPr="009814AD">
        <w:rPr>
          <w:rFonts w:cstheme="minorHAnsi"/>
          <w:sz w:val="24"/>
          <w:szCs w:val="24"/>
        </w:rPr>
        <w:t xml:space="preserve">beigām. Kanalizācijas sistēmās bieži vien rodas noplūdes, infiltrācija un avārijas. No ūdenssaimniecības tarifiem gūtie ienākumi nav pietiekami, lai segtu investīciju izmaksas un nodrošinātu ūdenssaimniecības sistēmu kvalitatīvu un ilgtspējīgu darbību ilgtermiņā. Nepieciešamība nodrošināt pakalpojuma pieejamību, ierobežo iespēju paaugstināt tarifus. </w:t>
      </w:r>
    </w:p>
    <w:p w14:paraId="50A1FFC6" w14:textId="568224D8" w:rsidR="00C45D83" w:rsidRPr="009814AD" w:rsidRDefault="009814AD" w:rsidP="009814AD">
      <w:pPr>
        <w:spacing w:before="120" w:after="120" w:line="240" w:lineRule="auto"/>
        <w:jc w:val="both"/>
        <w:rPr>
          <w:rFonts w:cstheme="minorHAnsi"/>
          <w:sz w:val="24"/>
          <w:szCs w:val="24"/>
          <w:shd w:val="clear" w:color="auto" w:fill="FFFFFF"/>
        </w:rPr>
      </w:pPr>
      <w:r w:rsidRPr="009814AD">
        <w:rPr>
          <w:rFonts w:cstheme="minorHAnsi"/>
          <w:sz w:val="24"/>
          <w:szCs w:val="24"/>
        </w:rPr>
        <w:t xml:space="preserve">4) </w:t>
      </w:r>
      <w:r w:rsidR="00C45D83" w:rsidRPr="009814AD">
        <w:rPr>
          <w:rFonts w:cstheme="minorHAnsi"/>
          <w:sz w:val="24"/>
          <w:szCs w:val="24"/>
          <w:u w:val="single"/>
        </w:rPr>
        <w:t xml:space="preserve">Valstī </w:t>
      </w:r>
      <w:r w:rsidR="00C45D83" w:rsidRPr="009814AD">
        <w:rPr>
          <w:rFonts w:cstheme="minorHAnsi"/>
          <w:b/>
          <w:sz w:val="24"/>
          <w:szCs w:val="24"/>
          <w:u w:val="single"/>
        </w:rPr>
        <w:t>nav stratēģijas</w:t>
      </w:r>
      <w:r w:rsidR="00C45D83" w:rsidRPr="009814AD">
        <w:rPr>
          <w:rFonts w:cstheme="minorHAnsi"/>
          <w:sz w:val="24"/>
          <w:szCs w:val="24"/>
          <w:u w:val="single"/>
        </w:rPr>
        <w:t xml:space="preserve"> notekūdeņu </w:t>
      </w:r>
      <w:r w:rsidR="00C45D83" w:rsidRPr="009814AD">
        <w:rPr>
          <w:rFonts w:cstheme="minorHAnsi"/>
          <w:b/>
          <w:sz w:val="24"/>
          <w:szCs w:val="24"/>
          <w:u w:val="single"/>
        </w:rPr>
        <w:t>dūņu apsaimniekošanai</w:t>
      </w:r>
    </w:p>
    <w:p w14:paraId="6C55FE6F" w14:textId="5260C57F" w:rsidR="007C2E51" w:rsidRPr="009814AD" w:rsidRDefault="008339CB" w:rsidP="009814AD">
      <w:pPr>
        <w:spacing w:before="120" w:after="120" w:line="240" w:lineRule="auto"/>
        <w:jc w:val="both"/>
        <w:rPr>
          <w:rFonts w:cstheme="minorHAnsi"/>
          <w:sz w:val="24"/>
          <w:szCs w:val="24"/>
          <w:shd w:val="clear" w:color="auto" w:fill="FFFFFF"/>
        </w:rPr>
      </w:pPr>
      <w:r w:rsidRPr="009814AD">
        <w:rPr>
          <w:rFonts w:cstheme="minorHAnsi"/>
          <w:sz w:val="24"/>
          <w:szCs w:val="24"/>
          <w:shd w:val="clear" w:color="auto" w:fill="FFFFFF"/>
        </w:rPr>
        <w:t xml:space="preserve">Katru gadu Latvijā tiek saražotas vairāk nekā 20 000 tonnas (sausā svara) notekūdeņu dūņu (2017. gadā - 24 939 t). Galvenie dūņu radītāji ir komunālās notekūdeņu attīrīšanas iekārtas. Tikai 30-35% no šī daudzuma tiek izmantoti kā mēslojums lauksaimniecības zemēs, komposta ražošanai vai teritoriju apzaļumošanai, turklāt kopš 2013. gada notekūdeņu dūņu izmantošana lauksaimniecībā ir ievērojami samazinājusies. Vairums notekūdeņu dūņu uzkrājas tā saucamajās pagaidu uzglabāšanas vietās. Pašlaik neviens politikas dokuments nenosaka notekūdeņu dūņu </w:t>
      </w:r>
      <w:r w:rsidRPr="009814AD">
        <w:rPr>
          <w:rFonts w:cstheme="minorHAnsi"/>
          <w:sz w:val="24"/>
          <w:szCs w:val="24"/>
          <w:shd w:val="clear" w:color="auto" w:fill="FFFFFF"/>
        </w:rPr>
        <w:lastRenderedPageBreak/>
        <w:t xml:space="preserve">apsaimniekošanu. Ir arvien vairāk zinātnisku pierādījumu, ka notekūdeņu dūņas var būt nozīmīgs </w:t>
      </w:r>
      <w:proofErr w:type="spellStart"/>
      <w:r w:rsidRPr="009814AD">
        <w:rPr>
          <w:rFonts w:cstheme="minorHAnsi"/>
          <w:sz w:val="24"/>
          <w:szCs w:val="24"/>
          <w:shd w:val="clear" w:color="auto" w:fill="FFFFFF"/>
        </w:rPr>
        <w:t>mikroplastmasu</w:t>
      </w:r>
      <w:proofErr w:type="spellEnd"/>
      <w:r w:rsidRPr="009814AD">
        <w:rPr>
          <w:rFonts w:cstheme="minorHAnsi"/>
          <w:sz w:val="24"/>
          <w:szCs w:val="24"/>
          <w:shd w:val="clear" w:color="auto" w:fill="FFFFFF"/>
        </w:rPr>
        <w:t xml:space="preserve"> un cita veida piesārņojuma avots. Tāpēc ir nepieciešama valsts līmeņa stratēģija, kas izvērtētu notekūdeņu dūņu potenciālo ietekmi uz vidi un norādītu to apsaimniekošanas risinājumus, kas līdz mini</w:t>
      </w:r>
      <w:r w:rsidR="00D05015" w:rsidRPr="009814AD">
        <w:rPr>
          <w:rFonts w:cstheme="minorHAnsi"/>
          <w:sz w:val="24"/>
          <w:szCs w:val="24"/>
          <w:shd w:val="clear" w:color="auto" w:fill="FFFFFF"/>
        </w:rPr>
        <w:t>mumam samazina saistītos riskus, un vienlaikus ir e</w:t>
      </w:r>
      <w:r w:rsidRPr="009814AD">
        <w:rPr>
          <w:rFonts w:cstheme="minorHAnsi"/>
          <w:sz w:val="24"/>
          <w:szCs w:val="24"/>
          <w:shd w:val="clear" w:color="auto" w:fill="FFFFFF"/>
        </w:rPr>
        <w:t>konomiski ilgtspējīgi.</w:t>
      </w:r>
    </w:p>
    <w:p w14:paraId="658572D3" w14:textId="09112A15" w:rsidR="009814AD" w:rsidRPr="009814AD" w:rsidRDefault="009814AD" w:rsidP="009814AD">
      <w:pPr>
        <w:spacing w:before="120" w:after="120" w:line="240" w:lineRule="auto"/>
        <w:jc w:val="both"/>
        <w:rPr>
          <w:rFonts w:cstheme="minorHAnsi"/>
          <w:sz w:val="4"/>
          <w:szCs w:val="4"/>
          <w:shd w:val="clear" w:color="auto" w:fill="FFFFFF"/>
        </w:rPr>
      </w:pPr>
    </w:p>
    <w:p w14:paraId="4D3E6811" w14:textId="72AB9052" w:rsidR="009814AD" w:rsidRPr="009814AD" w:rsidRDefault="009814AD" w:rsidP="009814AD">
      <w:pPr>
        <w:shd w:val="clear" w:color="auto" w:fill="E7E6E6" w:themeFill="background2"/>
        <w:spacing w:before="120" w:after="120" w:line="240" w:lineRule="auto"/>
        <w:rPr>
          <w:rFonts w:cstheme="minorHAnsi"/>
          <w:b/>
          <w:i/>
          <w:szCs w:val="24"/>
        </w:rPr>
      </w:pPr>
      <w:bookmarkStart w:id="5" w:name="_Hlk17725091"/>
      <w:r w:rsidRPr="009814AD">
        <w:rPr>
          <w:rFonts w:cstheme="minorHAnsi"/>
          <w:b/>
          <w:i/>
          <w:sz w:val="28"/>
          <w:szCs w:val="28"/>
        </w:rPr>
        <w:t>Galvenais rīcības virziens</w:t>
      </w:r>
      <w:r w:rsidRPr="009814AD">
        <w:rPr>
          <w:rFonts w:cstheme="minorHAnsi"/>
          <w:b/>
          <w:i/>
          <w:szCs w:val="24"/>
        </w:rPr>
        <w:t xml:space="preserve"> </w:t>
      </w:r>
      <w:bookmarkStart w:id="6" w:name="_Hlk19005975"/>
      <w:r w:rsidRPr="009814AD">
        <w:rPr>
          <w:rFonts w:cstheme="minorHAnsi"/>
          <w:b/>
          <w:i/>
          <w:sz w:val="24"/>
          <w:szCs w:val="24"/>
        </w:rPr>
        <w:t>(</w:t>
      </w:r>
      <w:r w:rsidRPr="009814AD">
        <w:rPr>
          <w:rFonts w:cstheme="minorHAnsi"/>
          <w:b/>
          <w:i/>
          <w:sz w:val="24"/>
          <w:szCs w:val="24"/>
        </w:rPr>
        <w:t>7</w:t>
      </w:r>
      <w:r w:rsidRPr="009814AD">
        <w:rPr>
          <w:rFonts w:cstheme="minorHAnsi"/>
          <w:b/>
          <w:i/>
          <w:sz w:val="24"/>
          <w:szCs w:val="24"/>
        </w:rPr>
        <w:t>. rīcības virziens)</w:t>
      </w:r>
      <w:bookmarkEnd w:id="6"/>
    </w:p>
    <w:p w14:paraId="6E2B380E" w14:textId="650441BC" w:rsidR="009814AD" w:rsidRPr="009814AD" w:rsidRDefault="009814AD" w:rsidP="009814AD">
      <w:pPr>
        <w:shd w:val="clear" w:color="auto" w:fill="E7E6E6" w:themeFill="background2"/>
        <w:spacing w:before="120" w:after="120" w:line="240" w:lineRule="auto"/>
        <w:jc w:val="both"/>
        <w:rPr>
          <w:rFonts w:cstheme="minorHAnsi"/>
          <w:b/>
          <w:sz w:val="24"/>
          <w:szCs w:val="24"/>
          <w:u w:val="single"/>
        </w:rPr>
      </w:pPr>
      <w:bookmarkStart w:id="7" w:name="_Hlk17733064"/>
      <w:bookmarkEnd w:id="5"/>
      <w:r w:rsidRPr="009814AD">
        <w:rPr>
          <w:rFonts w:cstheme="minorHAnsi"/>
          <w:b/>
          <w:sz w:val="24"/>
          <w:szCs w:val="24"/>
          <w:u w:val="single"/>
        </w:rPr>
        <w:t>Atkritumu un notekūdeņu apsaimniekošanas efektivitātes uzlabošana un SEG emisiju samazināšana</w:t>
      </w:r>
      <w:bookmarkEnd w:id="7"/>
    </w:p>
    <w:p w14:paraId="62AFACCF" w14:textId="77777777" w:rsidR="009814AD" w:rsidRPr="009814AD" w:rsidRDefault="009814AD" w:rsidP="009814AD">
      <w:pPr>
        <w:spacing w:before="120" w:after="120" w:line="240" w:lineRule="auto"/>
        <w:jc w:val="both"/>
        <w:rPr>
          <w:rFonts w:cstheme="minorHAnsi"/>
          <w:b/>
          <w:i/>
          <w:sz w:val="4"/>
          <w:szCs w:val="4"/>
          <w:u w:val="single"/>
        </w:rPr>
      </w:pPr>
      <w:bookmarkStart w:id="8" w:name="_Hlk14438212"/>
    </w:p>
    <w:p w14:paraId="48CBAC27" w14:textId="45A193CB" w:rsidR="009814AD" w:rsidRPr="009814AD" w:rsidRDefault="009814AD" w:rsidP="009814AD">
      <w:pPr>
        <w:spacing w:before="120" w:after="120" w:line="240" w:lineRule="auto"/>
        <w:jc w:val="both"/>
        <w:rPr>
          <w:rFonts w:cstheme="minorHAnsi"/>
          <w:b/>
          <w:i/>
          <w:sz w:val="28"/>
          <w:szCs w:val="28"/>
          <w:u w:val="single"/>
        </w:rPr>
      </w:pPr>
      <w:bookmarkStart w:id="9" w:name="_Hlk20739029"/>
      <w:r w:rsidRPr="009814AD">
        <w:rPr>
          <w:rFonts w:cstheme="minorHAnsi"/>
          <w:b/>
          <w:i/>
          <w:sz w:val="28"/>
          <w:szCs w:val="28"/>
          <w:u w:val="single"/>
        </w:rPr>
        <w:t>Galvenās rīcības un pasākumi</w:t>
      </w:r>
    </w:p>
    <w:bookmarkEnd w:id="8"/>
    <w:bookmarkEnd w:id="9"/>
    <w:p w14:paraId="5F70CA07" w14:textId="7E1CFE6F" w:rsidR="00FE4E07" w:rsidRPr="009814AD" w:rsidRDefault="009814AD" w:rsidP="009814AD">
      <w:pPr>
        <w:spacing w:before="120" w:after="120" w:line="240" w:lineRule="auto"/>
        <w:jc w:val="both"/>
        <w:rPr>
          <w:rFonts w:cstheme="minorHAnsi"/>
          <w:sz w:val="24"/>
          <w:szCs w:val="24"/>
          <w:u w:val="single"/>
        </w:rPr>
      </w:pPr>
      <w:r w:rsidRPr="009814AD">
        <w:rPr>
          <w:rFonts w:cstheme="minorHAnsi"/>
          <w:sz w:val="24"/>
          <w:szCs w:val="24"/>
          <w:u w:val="single"/>
        </w:rPr>
        <w:t xml:space="preserve">1) </w:t>
      </w:r>
      <w:r w:rsidR="00FE4E07" w:rsidRPr="009814AD">
        <w:rPr>
          <w:rFonts w:cstheme="minorHAnsi"/>
          <w:sz w:val="24"/>
          <w:szCs w:val="24"/>
          <w:u w:val="single"/>
        </w:rPr>
        <w:t xml:space="preserve">Nodrošināt apglabāto </w:t>
      </w:r>
      <w:r w:rsidR="00FE4E07" w:rsidRPr="009814AD">
        <w:rPr>
          <w:rFonts w:cstheme="minorHAnsi"/>
          <w:b/>
          <w:sz w:val="24"/>
          <w:szCs w:val="24"/>
          <w:u w:val="single"/>
        </w:rPr>
        <w:t>atkritumu apjoma samazināšanu</w:t>
      </w:r>
      <w:r w:rsidR="00FE4E07" w:rsidRPr="009814AD">
        <w:rPr>
          <w:rFonts w:cstheme="minorHAnsi"/>
          <w:sz w:val="24"/>
          <w:szCs w:val="24"/>
          <w:u w:val="single"/>
        </w:rPr>
        <w:t xml:space="preserve">, veicināt dažāda veida atkritumu sagatavošanu </w:t>
      </w:r>
      <w:r w:rsidR="00FE4E07" w:rsidRPr="009814AD">
        <w:rPr>
          <w:rFonts w:cstheme="minorHAnsi"/>
          <w:b/>
          <w:sz w:val="24"/>
          <w:szCs w:val="24"/>
          <w:u w:val="single"/>
        </w:rPr>
        <w:t>atkārtotai izmantošanai, pārstrādi un reģenerāciju</w:t>
      </w:r>
      <w:r w:rsidR="006B083C" w:rsidRPr="006B083C">
        <w:rPr>
          <w:rFonts w:cstheme="minorHAnsi"/>
          <w:bCs/>
          <w:sz w:val="24"/>
          <w:szCs w:val="24"/>
          <w:u w:val="single"/>
        </w:rPr>
        <w:t xml:space="preserve"> (7.1.pasākums)</w:t>
      </w:r>
    </w:p>
    <w:p w14:paraId="3457E7D8" w14:textId="62A73CFD" w:rsidR="00DE5A4E" w:rsidRPr="009814AD" w:rsidRDefault="00DE5A4E" w:rsidP="009814AD">
      <w:pPr>
        <w:spacing w:before="120" w:after="120" w:line="240" w:lineRule="auto"/>
        <w:jc w:val="both"/>
        <w:rPr>
          <w:rFonts w:cstheme="minorHAnsi"/>
          <w:sz w:val="24"/>
          <w:szCs w:val="24"/>
        </w:rPr>
      </w:pPr>
      <w:r w:rsidRPr="009814AD">
        <w:rPr>
          <w:rFonts w:cstheme="minorHAnsi"/>
          <w:sz w:val="24"/>
          <w:szCs w:val="24"/>
        </w:rPr>
        <w:t>Lai izpildītu izvirzīto mērķi samazināt atkritumu poligonos apglabāto atkritumu daudzumu, ir plānots uzlabot atkritumu dalīto savākšanu</w:t>
      </w:r>
      <w:r w:rsidR="004E554D" w:rsidRPr="009814AD">
        <w:rPr>
          <w:rFonts w:cstheme="minorHAnsi"/>
          <w:sz w:val="24"/>
          <w:szCs w:val="24"/>
        </w:rPr>
        <w:t>, sagatavošanu atkārtotai izmantošanai, pārstrādi un reģenerāciju,</w:t>
      </w:r>
      <w:r w:rsidRPr="009814AD">
        <w:rPr>
          <w:rFonts w:cstheme="minorHAnsi"/>
          <w:sz w:val="24"/>
          <w:szCs w:val="24"/>
        </w:rPr>
        <w:t xml:space="preserve"> līdz ar to uzlabojot atkritumu šķirošanu un pārstrādes iespējas. </w:t>
      </w:r>
    </w:p>
    <w:p w14:paraId="098BEB00" w14:textId="44BC8D5A" w:rsidR="004D0002" w:rsidRPr="009814AD" w:rsidRDefault="00F1609F" w:rsidP="009814AD">
      <w:pPr>
        <w:spacing w:before="120" w:after="120" w:line="240" w:lineRule="auto"/>
        <w:jc w:val="both"/>
        <w:rPr>
          <w:rFonts w:cstheme="minorHAnsi"/>
          <w:sz w:val="24"/>
          <w:szCs w:val="24"/>
          <w:shd w:val="clear" w:color="auto" w:fill="F8F9FA"/>
        </w:rPr>
      </w:pPr>
      <w:r w:rsidRPr="009814AD">
        <w:rPr>
          <w:rFonts w:cstheme="minorHAnsi"/>
          <w:sz w:val="24"/>
          <w:szCs w:val="24"/>
          <w:shd w:val="clear" w:color="auto" w:fill="FFFFFF"/>
        </w:rPr>
        <w:t>A</w:t>
      </w:r>
      <w:r w:rsidR="00E22402" w:rsidRPr="009814AD">
        <w:rPr>
          <w:rFonts w:cstheme="minorHAnsi"/>
          <w:sz w:val="24"/>
          <w:szCs w:val="24"/>
          <w:shd w:val="clear" w:color="auto" w:fill="FFFFFF"/>
        </w:rPr>
        <w:t>tkritumu kopējais apjoms ir saistīts ar iedzīvotāju skaitu un valsts ekonomikas lielumu.</w:t>
      </w:r>
      <w:r w:rsidR="00E22402" w:rsidRPr="009814AD">
        <w:rPr>
          <w:rStyle w:val="FootnoteReference"/>
          <w:rFonts w:cstheme="minorHAnsi"/>
          <w:sz w:val="24"/>
          <w:szCs w:val="24"/>
          <w:shd w:val="clear" w:color="auto" w:fill="FFFFFF"/>
        </w:rPr>
        <w:footnoteReference w:id="3"/>
      </w:r>
      <w:r w:rsidR="00E22402" w:rsidRPr="009814AD">
        <w:rPr>
          <w:rFonts w:cstheme="minorHAnsi"/>
          <w:sz w:val="24"/>
          <w:szCs w:val="24"/>
          <w:shd w:val="clear" w:color="auto" w:fill="FFFFFF"/>
        </w:rPr>
        <w:t xml:space="preserve"> </w:t>
      </w:r>
      <w:r w:rsidR="002124A2" w:rsidRPr="009814AD">
        <w:rPr>
          <w:rFonts w:cstheme="minorHAnsi"/>
          <w:sz w:val="24"/>
          <w:szCs w:val="24"/>
        </w:rPr>
        <w:t>CSP dati liecina, ka mājsaimniecību atkritumos dominē pārtikas un citi bioloģiski sadalāmie atkritumi, kas veido 41% no radītajiem sadzīves atkritumiem</w:t>
      </w:r>
      <w:r w:rsidR="00E22402" w:rsidRPr="009814AD">
        <w:rPr>
          <w:rFonts w:cstheme="minorHAnsi"/>
          <w:sz w:val="24"/>
          <w:szCs w:val="24"/>
        </w:rPr>
        <w:t>.</w:t>
      </w:r>
      <w:r w:rsidR="008C3530" w:rsidRPr="009814AD">
        <w:rPr>
          <w:rFonts w:cstheme="minorHAnsi"/>
          <w:sz w:val="24"/>
          <w:szCs w:val="24"/>
        </w:rPr>
        <w:t xml:space="preserve"> Tā kā b</w:t>
      </w:r>
      <w:r w:rsidR="004D0002" w:rsidRPr="009814AD">
        <w:rPr>
          <w:rFonts w:cstheme="minorHAnsi"/>
          <w:sz w:val="24"/>
          <w:szCs w:val="24"/>
        </w:rPr>
        <w:t>iogāzes savākšana un izmantošana enerģijas ražošanai no bioloģiski noārdāmiem atkritumiem un dūņām ir noteikta par vienu no atkritumu apsai</w:t>
      </w:r>
      <w:r w:rsidR="008C3530" w:rsidRPr="009814AD">
        <w:rPr>
          <w:rFonts w:cstheme="minorHAnsi"/>
          <w:sz w:val="24"/>
          <w:szCs w:val="24"/>
        </w:rPr>
        <w:t>mniekošanas prioritātēm, tiek plānoti pasākumi tā atbalstam.</w:t>
      </w:r>
      <w:r w:rsidR="004D0002" w:rsidRPr="009814AD">
        <w:rPr>
          <w:rStyle w:val="FootnoteReference"/>
          <w:rFonts w:cstheme="minorHAnsi"/>
          <w:sz w:val="24"/>
          <w:szCs w:val="24"/>
        </w:rPr>
        <w:footnoteReference w:id="4"/>
      </w:r>
      <w:r w:rsidR="008C3530" w:rsidRPr="009814AD">
        <w:rPr>
          <w:rFonts w:cstheme="minorHAnsi"/>
          <w:sz w:val="24"/>
          <w:szCs w:val="24"/>
          <w:shd w:val="clear" w:color="auto" w:fill="F8F9FA"/>
        </w:rPr>
        <w:t xml:space="preserve">  </w:t>
      </w:r>
    </w:p>
    <w:p w14:paraId="31A41FEC" w14:textId="38995AB7" w:rsidR="002F5191" w:rsidRPr="006B083C" w:rsidRDefault="009814AD" w:rsidP="009814AD">
      <w:pPr>
        <w:spacing w:before="120" w:after="120" w:line="240" w:lineRule="auto"/>
        <w:jc w:val="both"/>
        <w:rPr>
          <w:rFonts w:cstheme="minorHAnsi"/>
          <w:bCs/>
          <w:sz w:val="24"/>
          <w:szCs w:val="24"/>
          <w:u w:val="single"/>
        </w:rPr>
      </w:pPr>
      <w:r w:rsidRPr="009814AD">
        <w:rPr>
          <w:rFonts w:cstheme="minorHAnsi"/>
          <w:sz w:val="24"/>
          <w:szCs w:val="24"/>
          <w:u w:val="single"/>
        </w:rPr>
        <w:t xml:space="preserve">2) </w:t>
      </w:r>
      <w:r w:rsidR="00FE4E07" w:rsidRPr="009814AD">
        <w:rPr>
          <w:rFonts w:cstheme="minorHAnsi"/>
          <w:sz w:val="24"/>
          <w:szCs w:val="24"/>
          <w:u w:val="single"/>
        </w:rPr>
        <w:t xml:space="preserve">Īstenot </w:t>
      </w:r>
      <w:r w:rsidR="00FE4E07" w:rsidRPr="009814AD">
        <w:rPr>
          <w:rFonts w:cstheme="minorHAnsi"/>
          <w:b/>
          <w:sz w:val="24"/>
          <w:szCs w:val="24"/>
          <w:u w:val="single"/>
        </w:rPr>
        <w:t>atkritumu</w:t>
      </w:r>
      <w:r w:rsidR="00FE4E07" w:rsidRPr="009814AD">
        <w:rPr>
          <w:rFonts w:cstheme="minorHAnsi"/>
          <w:sz w:val="24"/>
          <w:szCs w:val="24"/>
          <w:u w:val="single"/>
        </w:rPr>
        <w:t xml:space="preserve"> </w:t>
      </w:r>
      <w:r w:rsidR="00FE4E07" w:rsidRPr="009814AD">
        <w:rPr>
          <w:rFonts w:cstheme="minorHAnsi"/>
          <w:b/>
          <w:sz w:val="24"/>
          <w:szCs w:val="24"/>
          <w:u w:val="single"/>
        </w:rPr>
        <w:t>rašanās novēršanas pasākumus</w:t>
      </w:r>
      <w:r w:rsidR="00FE4E07" w:rsidRPr="009814AD">
        <w:rPr>
          <w:rFonts w:cstheme="minorHAnsi"/>
          <w:sz w:val="24"/>
          <w:szCs w:val="24"/>
          <w:u w:val="single"/>
        </w:rPr>
        <w:t xml:space="preserve"> un pasākumus, kuri veicina </w:t>
      </w:r>
      <w:r w:rsidR="00FE4E07" w:rsidRPr="009814AD">
        <w:rPr>
          <w:rFonts w:cstheme="minorHAnsi"/>
          <w:b/>
          <w:sz w:val="24"/>
          <w:szCs w:val="24"/>
          <w:u w:val="single"/>
        </w:rPr>
        <w:t>pāreju uz aprites ekonomiku</w:t>
      </w:r>
      <w:r w:rsidR="006B083C">
        <w:rPr>
          <w:rFonts w:cstheme="minorHAnsi"/>
          <w:bCs/>
          <w:sz w:val="24"/>
          <w:szCs w:val="24"/>
          <w:u w:val="single"/>
        </w:rPr>
        <w:t xml:space="preserve"> (7.2.pasākums)</w:t>
      </w:r>
    </w:p>
    <w:p w14:paraId="0BAA6633" w14:textId="01EA2FAA" w:rsidR="00704C63" w:rsidRPr="009814AD" w:rsidRDefault="002F5191" w:rsidP="009814AD">
      <w:pPr>
        <w:spacing w:before="120" w:after="120" w:line="240" w:lineRule="auto"/>
        <w:jc w:val="both"/>
        <w:rPr>
          <w:rFonts w:cstheme="minorHAnsi"/>
          <w:sz w:val="24"/>
          <w:szCs w:val="24"/>
        </w:rPr>
      </w:pPr>
      <w:r w:rsidRPr="009814AD">
        <w:rPr>
          <w:rFonts w:cstheme="minorHAnsi"/>
          <w:sz w:val="24"/>
          <w:szCs w:val="24"/>
        </w:rPr>
        <w:t xml:space="preserve">Saskaņā ar </w:t>
      </w:r>
      <w:proofErr w:type="spellStart"/>
      <w:r w:rsidRPr="009814AD">
        <w:rPr>
          <w:rFonts w:cstheme="minorHAnsi"/>
          <w:i/>
          <w:iCs/>
          <w:sz w:val="24"/>
          <w:szCs w:val="24"/>
        </w:rPr>
        <w:t>Eurostat</w:t>
      </w:r>
      <w:proofErr w:type="spellEnd"/>
      <w:r w:rsidRPr="009814AD">
        <w:rPr>
          <w:rFonts w:cstheme="minorHAnsi"/>
          <w:sz w:val="24"/>
          <w:szCs w:val="24"/>
        </w:rPr>
        <w:t xml:space="preserve"> informāciju 2016. gadā  Latvijā tika pārstrādāti nepilni 30% </w:t>
      </w:r>
      <w:r w:rsidR="007C2E51" w:rsidRPr="009814AD">
        <w:rPr>
          <w:rFonts w:cstheme="minorHAnsi"/>
          <w:sz w:val="24"/>
          <w:szCs w:val="24"/>
        </w:rPr>
        <w:t xml:space="preserve">sadzīves </w:t>
      </w:r>
      <w:r w:rsidRPr="009814AD">
        <w:rPr>
          <w:rFonts w:cstheme="minorHAnsi"/>
          <w:sz w:val="24"/>
          <w:szCs w:val="24"/>
        </w:rPr>
        <w:t>atkritumu, bet vairāk nekā 70% nonāca atkritumu poligonos.</w:t>
      </w:r>
      <w:r w:rsidRPr="009814AD">
        <w:rPr>
          <w:rStyle w:val="FootnoteReference"/>
          <w:rFonts w:cstheme="minorHAnsi"/>
          <w:sz w:val="24"/>
          <w:szCs w:val="24"/>
        </w:rPr>
        <w:footnoteReference w:id="5"/>
      </w:r>
      <w:r w:rsidRPr="009814AD">
        <w:rPr>
          <w:rFonts w:cstheme="minorHAnsi"/>
          <w:sz w:val="24"/>
          <w:szCs w:val="24"/>
        </w:rPr>
        <w:t xml:space="preserve"> </w:t>
      </w:r>
      <w:r w:rsidR="008C4619" w:rsidRPr="009814AD">
        <w:rPr>
          <w:rFonts w:cstheme="minorHAnsi"/>
          <w:sz w:val="24"/>
          <w:szCs w:val="24"/>
        </w:rPr>
        <w:t>Aprites ekonomika p</w:t>
      </w:r>
      <w:r w:rsidR="00704C63" w:rsidRPr="009814AD">
        <w:rPr>
          <w:rFonts w:cstheme="minorHAnsi"/>
          <w:sz w:val="24"/>
          <w:szCs w:val="24"/>
        </w:rPr>
        <w:t>alīdz sasniegt ilgtspējīgas attīstības mērķus</w:t>
      </w:r>
      <w:r w:rsidR="008C4619" w:rsidRPr="009814AD">
        <w:rPr>
          <w:rFonts w:cstheme="minorHAnsi"/>
          <w:sz w:val="24"/>
          <w:szCs w:val="24"/>
        </w:rPr>
        <w:t>, saglabājot produktu, materiālu un resursu vērtību pēc iespējas ilgāk.</w:t>
      </w:r>
    </w:p>
    <w:p w14:paraId="6B9362CD" w14:textId="49A38AE8" w:rsidR="008C5805" w:rsidRPr="009814AD" w:rsidRDefault="00764E01" w:rsidP="009814AD">
      <w:pPr>
        <w:spacing w:before="120" w:after="120" w:line="240" w:lineRule="auto"/>
        <w:jc w:val="both"/>
        <w:rPr>
          <w:rFonts w:cstheme="minorHAnsi"/>
          <w:sz w:val="24"/>
          <w:szCs w:val="24"/>
        </w:rPr>
      </w:pPr>
      <w:r w:rsidRPr="009814AD">
        <w:rPr>
          <w:rFonts w:cstheme="minorHAnsi"/>
          <w:sz w:val="24"/>
          <w:szCs w:val="24"/>
        </w:rPr>
        <w:t>Pasākums mērķis ir resursu atkārotas un racionālas izmantošanas, atkārtoti izmantojamu un izturīgu produktu ražošanas un ekodizaina attīstības veicināšana. Šāds atkritumu apsaimniekošanas attīstības virziens palīdz samazināt atkritumu rašanos un izglīto iedzīvotājus par produkta ietekmi uz vidi.</w:t>
      </w:r>
    </w:p>
    <w:p w14:paraId="6BF69282" w14:textId="531ED388" w:rsidR="00FE4E07" w:rsidRPr="009814AD" w:rsidRDefault="009814AD" w:rsidP="009814AD">
      <w:pPr>
        <w:spacing w:before="120" w:after="120" w:line="240" w:lineRule="auto"/>
        <w:jc w:val="both"/>
        <w:rPr>
          <w:rFonts w:cstheme="minorHAnsi"/>
          <w:sz w:val="24"/>
          <w:szCs w:val="24"/>
          <w:u w:val="single"/>
        </w:rPr>
      </w:pPr>
      <w:r w:rsidRPr="009814AD">
        <w:rPr>
          <w:rFonts w:cstheme="minorHAnsi"/>
          <w:sz w:val="24"/>
          <w:szCs w:val="24"/>
          <w:u w:val="single"/>
        </w:rPr>
        <w:t xml:space="preserve">3) </w:t>
      </w:r>
      <w:r w:rsidR="00C43D36" w:rsidRPr="009814AD">
        <w:rPr>
          <w:rFonts w:cstheme="minorHAnsi"/>
          <w:sz w:val="24"/>
          <w:szCs w:val="24"/>
          <w:u w:val="single"/>
        </w:rPr>
        <w:t xml:space="preserve">Nodrošināt </w:t>
      </w:r>
      <w:r w:rsidR="003E6398" w:rsidRPr="009814AD">
        <w:rPr>
          <w:rFonts w:cstheme="minorHAnsi"/>
          <w:sz w:val="24"/>
          <w:szCs w:val="24"/>
          <w:u w:val="single"/>
        </w:rPr>
        <w:t xml:space="preserve">visu </w:t>
      </w:r>
      <w:r w:rsidR="003E6398" w:rsidRPr="009814AD">
        <w:rPr>
          <w:rFonts w:cstheme="minorHAnsi"/>
          <w:b/>
          <w:sz w:val="24"/>
          <w:szCs w:val="24"/>
          <w:u w:val="single"/>
        </w:rPr>
        <w:t>notekūdeņu atbilstošu savākšanu un attīrīšanu</w:t>
      </w:r>
      <w:r w:rsidR="003E6398" w:rsidRPr="009814AD">
        <w:rPr>
          <w:rFonts w:cstheme="minorHAnsi"/>
          <w:sz w:val="24"/>
          <w:szCs w:val="24"/>
          <w:u w:val="single"/>
        </w:rPr>
        <w:t>, atjaunojot un tālāk</w:t>
      </w:r>
      <w:r w:rsidR="003E6398" w:rsidRPr="009814AD">
        <w:rPr>
          <w:rFonts w:cstheme="minorHAnsi"/>
          <w:b/>
          <w:sz w:val="24"/>
          <w:szCs w:val="24"/>
          <w:u w:val="single"/>
        </w:rPr>
        <w:t xml:space="preserve"> attīstot </w:t>
      </w:r>
      <w:r w:rsidR="00C43D36" w:rsidRPr="009814AD">
        <w:rPr>
          <w:rFonts w:cstheme="minorHAnsi"/>
          <w:b/>
          <w:sz w:val="24"/>
          <w:szCs w:val="24"/>
          <w:u w:val="single"/>
        </w:rPr>
        <w:t>ūdenssaimniecības infrastruktūr</w:t>
      </w:r>
      <w:r w:rsidR="003E6398" w:rsidRPr="009814AD">
        <w:rPr>
          <w:rFonts w:cstheme="minorHAnsi"/>
          <w:b/>
          <w:sz w:val="24"/>
          <w:szCs w:val="24"/>
          <w:u w:val="single"/>
        </w:rPr>
        <w:t>u</w:t>
      </w:r>
      <w:r w:rsidR="00C43D36" w:rsidRPr="009814AD">
        <w:rPr>
          <w:rFonts w:cstheme="minorHAnsi"/>
          <w:sz w:val="24"/>
          <w:szCs w:val="24"/>
          <w:u w:val="single"/>
        </w:rPr>
        <w:t>, kā ar</w:t>
      </w:r>
      <w:r w:rsidR="002B0BB9" w:rsidRPr="009814AD">
        <w:rPr>
          <w:rFonts w:cstheme="minorHAnsi"/>
          <w:sz w:val="24"/>
          <w:szCs w:val="24"/>
          <w:u w:val="single"/>
        </w:rPr>
        <w:t>ī</w:t>
      </w:r>
      <w:r w:rsidR="00C43D36" w:rsidRPr="009814AD">
        <w:rPr>
          <w:rFonts w:cstheme="minorHAnsi"/>
          <w:sz w:val="24"/>
          <w:szCs w:val="24"/>
          <w:u w:val="single"/>
        </w:rPr>
        <w:t xml:space="preserve"> </w:t>
      </w:r>
      <w:r w:rsidR="003E6398" w:rsidRPr="009814AD">
        <w:rPr>
          <w:rFonts w:cstheme="minorHAnsi"/>
          <w:sz w:val="24"/>
          <w:szCs w:val="24"/>
          <w:u w:val="single"/>
        </w:rPr>
        <w:t xml:space="preserve">nodrošināt </w:t>
      </w:r>
      <w:r w:rsidR="00C43D36" w:rsidRPr="009814AD">
        <w:rPr>
          <w:rFonts w:cstheme="minorHAnsi"/>
          <w:sz w:val="24"/>
          <w:szCs w:val="24"/>
          <w:u w:val="single"/>
        </w:rPr>
        <w:t xml:space="preserve">notekūdeņu </w:t>
      </w:r>
      <w:r w:rsidR="00C43D36" w:rsidRPr="009814AD">
        <w:rPr>
          <w:rFonts w:cstheme="minorHAnsi"/>
          <w:b/>
          <w:sz w:val="24"/>
          <w:szCs w:val="24"/>
          <w:u w:val="single"/>
        </w:rPr>
        <w:t>dūņu apsaimniekošanas</w:t>
      </w:r>
      <w:r w:rsidR="00C43D36" w:rsidRPr="009814AD">
        <w:rPr>
          <w:rFonts w:cstheme="minorHAnsi"/>
          <w:sz w:val="24"/>
          <w:szCs w:val="24"/>
          <w:u w:val="single"/>
        </w:rPr>
        <w:t xml:space="preserve"> infrastruktūras izveidi</w:t>
      </w:r>
      <w:r w:rsidR="006B083C">
        <w:rPr>
          <w:rFonts w:cstheme="minorHAnsi"/>
          <w:sz w:val="24"/>
          <w:szCs w:val="24"/>
          <w:u w:val="single"/>
        </w:rPr>
        <w:t xml:space="preserve"> (7.3.pasākums)</w:t>
      </w:r>
    </w:p>
    <w:p w14:paraId="01D7CCCE" w14:textId="1B3031DB" w:rsidR="006A4059" w:rsidRPr="009814AD" w:rsidRDefault="002B0BB9" w:rsidP="009814AD">
      <w:pPr>
        <w:spacing w:before="120" w:after="120" w:line="240" w:lineRule="auto"/>
        <w:jc w:val="both"/>
        <w:rPr>
          <w:rFonts w:cstheme="minorHAnsi"/>
          <w:sz w:val="24"/>
          <w:szCs w:val="24"/>
          <w:shd w:val="clear" w:color="auto" w:fill="FFFFFF"/>
        </w:rPr>
      </w:pPr>
      <w:r w:rsidRPr="009814AD">
        <w:rPr>
          <w:rFonts w:cstheme="minorHAnsi"/>
          <w:sz w:val="24"/>
          <w:szCs w:val="24"/>
          <w:shd w:val="clear" w:color="auto" w:fill="FFFFFF"/>
        </w:rPr>
        <w:t>Pasākuma mēr</w:t>
      </w:r>
      <w:r w:rsidR="003E6398" w:rsidRPr="009814AD">
        <w:rPr>
          <w:rFonts w:cstheme="minorHAnsi"/>
          <w:sz w:val="24"/>
          <w:szCs w:val="24"/>
          <w:shd w:val="clear" w:color="auto" w:fill="FFFFFF"/>
        </w:rPr>
        <w:t>ķi</w:t>
      </w:r>
      <w:r w:rsidRPr="009814AD">
        <w:rPr>
          <w:rFonts w:cstheme="minorHAnsi"/>
          <w:sz w:val="24"/>
          <w:szCs w:val="24"/>
          <w:shd w:val="clear" w:color="auto" w:fill="FFFFFF"/>
        </w:rPr>
        <w:t xml:space="preserve"> ir</w:t>
      </w:r>
      <w:r w:rsidR="006452ED" w:rsidRPr="009814AD">
        <w:rPr>
          <w:rFonts w:cstheme="minorHAnsi"/>
          <w:sz w:val="24"/>
          <w:szCs w:val="24"/>
          <w:shd w:val="clear" w:color="auto" w:fill="FFFFFF"/>
        </w:rPr>
        <w:t xml:space="preserve"> </w:t>
      </w:r>
      <w:r w:rsidRPr="009814AD">
        <w:rPr>
          <w:rFonts w:cstheme="minorHAnsi"/>
          <w:sz w:val="24"/>
          <w:szCs w:val="24"/>
          <w:shd w:val="clear" w:color="auto" w:fill="FFFFFF"/>
        </w:rPr>
        <w:t>modernizēt un atjaunot notekūdeņu savākšanas un attīrīšanas infrastruktūru</w:t>
      </w:r>
      <w:r w:rsidR="003E6398" w:rsidRPr="009814AD">
        <w:rPr>
          <w:rFonts w:cstheme="minorHAnsi"/>
          <w:sz w:val="24"/>
          <w:szCs w:val="24"/>
          <w:shd w:val="clear" w:color="auto" w:fill="FFFFFF"/>
        </w:rPr>
        <w:t>, lai samazinātu notekūdeņu radīto vides piesārņojumu un palielinātu pakalpojuma pieejamību iedzīvotājiem</w:t>
      </w:r>
      <w:r w:rsidR="006452ED" w:rsidRPr="009814AD">
        <w:rPr>
          <w:rFonts w:cstheme="minorHAnsi"/>
          <w:sz w:val="24"/>
          <w:szCs w:val="24"/>
          <w:shd w:val="clear" w:color="auto" w:fill="FFFFFF"/>
        </w:rPr>
        <w:t xml:space="preserve"> kā arī </w:t>
      </w:r>
      <w:r w:rsidR="003E6398" w:rsidRPr="009814AD">
        <w:rPr>
          <w:rFonts w:cstheme="minorHAnsi"/>
          <w:sz w:val="24"/>
          <w:szCs w:val="24"/>
          <w:shd w:val="clear" w:color="auto" w:fill="FFFFFF"/>
        </w:rPr>
        <w:t>veikt izvērtējumu</w:t>
      </w:r>
      <w:r w:rsidRPr="009814AD">
        <w:rPr>
          <w:rFonts w:cstheme="minorHAnsi"/>
          <w:sz w:val="24"/>
          <w:szCs w:val="24"/>
          <w:shd w:val="clear" w:color="auto" w:fill="FFFFFF"/>
        </w:rPr>
        <w:t xml:space="preserve">, lai novērtētu </w:t>
      </w:r>
      <w:r w:rsidR="003E6398" w:rsidRPr="009814AD">
        <w:rPr>
          <w:rFonts w:cstheme="minorHAnsi"/>
          <w:sz w:val="24"/>
          <w:szCs w:val="24"/>
          <w:shd w:val="clear" w:color="auto" w:fill="FFFFFF"/>
        </w:rPr>
        <w:t xml:space="preserve">notekūdeņu </w:t>
      </w:r>
      <w:r w:rsidRPr="009814AD">
        <w:rPr>
          <w:rFonts w:cstheme="minorHAnsi"/>
          <w:sz w:val="24"/>
          <w:szCs w:val="24"/>
          <w:shd w:val="clear" w:color="auto" w:fill="FFFFFF"/>
        </w:rPr>
        <w:t xml:space="preserve">dūņu </w:t>
      </w:r>
      <w:r w:rsidR="003E6398" w:rsidRPr="009814AD">
        <w:rPr>
          <w:rFonts w:cstheme="minorHAnsi"/>
          <w:sz w:val="24"/>
          <w:szCs w:val="24"/>
          <w:shd w:val="clear" w:color="auto" w:fill="FFFFFF"/>
        </w:rPr>
        <w:t xml:space="preserve">apsaimniekošanas risinājumu </w:t>
      </w:r>
      <w:r w:rsidRPr="009814AD">
        <w:rPr>
          <w:rFonts w:cstheme="minorHAnsi"/>
          <w:sz w:val="24"/>
          <w:szCs w:val="24"/>
          <w:shd w:val="clear" w:color="auto" w:fill="FFFFFF"/>
        </w:rPr>
        <w:t xml:space="preserve">rentabilitāti un </w:t>
      </w:r>
      <w:r w:rsidR="003E6398" w:rsidRPr="009814AD">
        <w:rPr>
          <w:rFonts w:cstheme="minorHAnsi"/>
          <w:sz w:val="24"/>
          <w:szCs w:val="24"/>
          <w:shd w:val="clear" w:color="auto" w:fill="FFFFFF"/>
        </w:rPr>
        <w:t xml:space="preserve">devumu vides risku samazināšanā, kā arī </w:t>
      </w:r>
      <w:r w:rsidRPr="009814AD">
        <w:rPr>
          <w:rFonts w:cstheme="minorHAnsi"/>
          <w:sz w:val="24"/>
          <w:szCs w:val="24"/>
          <w:shd w:val="clear" w:color="auto" w:fill="FFFFFF"/>
        </w:rPr>
        <w:t>s</w:t>
      </w:r>
      <w:r w:rsidR="003E6398" w:rsidRPr="009814AD">
        <w:rPr>
          <w:rFonts w:cstheme="minorHAnsi"/>
          <w:sz w:val="24"/>
          <w:szCs w:val="24"/>
          <w:shd w:val="clear" w:color="auto" w:fill="FFFFFF"/>
        </w:rPr>
        <w:t xml:space="preserve">ākt </w:t>
      </w:r>
      <w:r w:rsidRPr="009814AD">
        <w:rPr>
          <w:rFonts w:cstheme="minorHAnsi"/>
          <w:sz w:val="24"/>
          <w:szCs w:val="24"/>
          <w:shd w:val="clear" w:color="auto" w:fill="FFFFFF"/>
        </w:rPr>
        <w:t>īstenot labāko risinājumu.</w:t>
      </w:r>
    </w:p>
    <w:p w14:paraId="2D83A03A" w14:textId="77777777" w:rsidR="009814AD" w:rsidRPr="009814AD" w:rsidRDefault="009814AD" w:rsidP="009814AD">
      <w:pPr>
        <w:shd w:val="clear" w:color="auto" w:fill="E7E6E6" w:themeFill="background2"/>
        <w:spacing w:before="120" w:after="120" w:line="240" w:lineRule="auto"/>
        <w:jc w:val="both"/>
        <w:rPr>
          <w:rFonts w:cstheme="minorHAnsi"/>
          <w:b/>
          <w:i/>
          <w:sz w:val="28"/>
          <w:szCs w:val="28"/>
        </w:rPr>
      </w:pPr>
      <w:bookmarkStart w:id="10" w:name="_Hlk14438222"/>
      <w:bookmarkStart w:id="11" w:name="_Hlk20739103"/>
      <w:r w:rsidRPr="009814AD">
        <w:rPr>
          <w:rFonts w:cstheme="minorHAnsi"/>
          <w:b/>
          <w:i/>
          <w:sz w:val="28"/>
          <w:szCs w:val="28"/>
        </w:rPr>
        <w:t>Saistītie rīcības virzien</w:t>
      </w:r>
      <w:r w:rsidRPr="009814AD">
        <w:rPr>
          <w:rFonts w:cstheme="minorHAnsi"/>
          <w:b/>
          <w:i/>
          <w:sz w:val="28"/>
          <w:szCs w:val="28"/>
        </w:rPr>
        <w:t>i</w:t>
      </w:r>
    </w:p>
    <w:bookmarkEnd w:id="11"/>
    <w:p w14:paraId="54958E74" w14:textId="77777777" w:rsidR="009814AD" w:rsidRPr="009814AD" w:rsidRDefault="009814AD" w:rsidP="009814AD">
      <w:pPr>
        <w:shd w:val="clear" w:color="auto" w:fill="E7E6E6" w:themeFill="background2"/>
        <w:spacing w:before="120" w:after="120" w:line="240" w:lineRule="auto"/>
        <w:jc w:val="both"/>
        <w:rPr>
          <w:rFonts w:cstheme="minorHAnsi"/>
          <w:sz w:val="24"/>
          <w:szCs w:val="24"/>
        </w:rPr>
      </w:pPr>
      <w:r w:rsidRPr="009814AD">
        <w:rPr>
          <w:rFonts w:cstheme="minorHAnsi"/>
          <w:bCs/>
          <w:iCs/>
          <w:sz w:val="24"/>
          <w:szCs w:val="24"/>
        </w:rPr>
        <w:t>1</w:t>
      </w:r>
      <w:r w:rsidRPr="009814AD">
        <w:rPr>
          <w:rFonts w:cstheme="minorHAnsi"/>
          <w:bCs/>
          <w:iCs/>
          <w:sz w:val="24"/>
          <w:szCs w:val="24"/>
        </w:rPr>
        <w:t xml:space="preserve">) </w:t>
      </w:r>
      <w:bookmarkStart w:id="12" w:name="_Hlk17732962"/>
      <w:bookmarkStart w:id="13" w:name="_Hlk20739116"/>
      <w:r w:rsidRPr="009814AD">
        <w:rPr>
          <w:rFonts w:cstheme="minorHAnsi"/>
          <w:bCs/>
          <w:iCs/>
          <w:sz w:val="24"/>
          <w:szCs w:val="24"/>
        </w:rPr>
        <w:t xml:space="preserve">Energoefektivitātes uzlabošana un AER tehnoloģiju izmantošanas veicināšana siltumapgādē un </w:t>
      </w:r>
      <w:proofErr w:type="spellStart"/>
      <w:r w:rsidRPr="009814AD">
        <w:rPr>
          <w:rFonts w:cstheme="minorHAnsi"/>
          <w:bCs/>
          <w:iCs/>
          <w:sz w:val="24"/>
          <w:szCs w:val="24"/>
        </w:rPr>
        <w:t>aukstumapgādē</w:t>
      </w:r>
      <w:proofErr w:type="spellEnd"/>
      <w:r w:rsidRPr="009814AD">
        <w:rPr>
          <w:rFonts w:cstheme="minorHAnsi"/>
          <w:bCs/>
          <w:iCs/>
          <w:sz w:val="24"/>
          <w:szCs w:val="24"/>
        </w:rPr>
        <w:t xml:space="preserve">, un rūpniecībā (2.rīcības virziens), </w:t>
      </w:r>
      <w:bookmarkEnd w:id="12"/>
      <w:r w:rsidRPr="009814AD">
        <w:rPr>
          <w:rFonts w:cstheme="minorHAnsi"/>
          <w:bCs/>
          <w:iCs/>
          <w:sz w:val="24"/>
          <w:szCs w:val="24"/>
        </w:rPr>
        <w:t>jo</w:t>
      </w:r>
      <w:bookmarkEnd w:id="13"/>
      <w:r w:rsidRPr="009814AD">
        <w:rPr>
          <w:rFonts w:cstheme="minorHAnsi"/>
          <w:bCs/>
          <w:iCs/>
          <w:sz w:val="24"/>
          <w:szCs w:val="24"/>
        </w:rPr>
        <w:t xml:space="preserve"> </w:t>
      </w:r>
      <w:proofErr w:type="spellStart"/>
      <w:r w:rsidRPr="009814AD">
        <w:rPr>
          <w:rFonts w:cstheme="minorHAnsi"/>
          <w:sz w:val="24"/>
          <w:szCs w:val="24"/>
        </w:rPr>
        <w:t>ekodizaina</w:t>
      </w:r>
      <w:proofErr w:type="spellEnd"/>
      <w:r w:rsidRPr="009814AD">
        <w:rPr>
          <w:rFonts w:cstheme="minorHAnsi"/>
          <w:sz w:val="24"/>
          <w:szCs w:val="24"/>
        </w:rPr>
        <w:t xml:space="preserve"> veidošanas procesā tiek izvērtēta energoefektivitāte, tādējādi samazinot patērēto elektroenerģiju un nepieciešamās izejvielas produkta radīšanas procesā.</w:t>
      </w:r>
      <w:r w:rsidRPr="009814AD">
        <w:rPr>
          <w:rStyle w:val="FootnoteReference"/>
          <w:rFonts w:cstheme="minorHAnsi"/>
          <w:sz w:val="24"/>
          <w:szCs w:val="24"/>
        </w:rPr>
        <w:footnoteReference w:id="6"/>
      </w:r>
    </w:p>
    <w:p w14:paraId="13C6F096" w14:textId="6DCC6041" w:rsidR="00FE4E07" w:rsidRPr="009814AD" w:rsidRDefault="009814AD" w:rsidP="009814AD">
      <w:pPr>
        <w:shd w:val="clear" w:color="auto" w:fill="E7E6E6" w:themeFill="background2"/>
        <w:spacing w:before="120" w:after="120" w:line="240" w:lineRule="auto"/>
        <w:jc w:val="both"/>
        <w:rPr>
          <w:rFonts w:cstheme="minorHAnsi"/>
          <w:sz w:val="24"/>
          <w:szCs w:val="24"/>
        </w:rPr>
      </w:pPr>
      <w:r w:rsidRPr="009814AD">
        <w:rPr>
          <w:rFonts w:cstheme="minorHAnsi"/>
          <w:bCs/>
          <w:iCs/>
          <w:sz w:val="24"/>
          <w:szCs w:val="24"/>
        </w:rPr>
        <w:t xml:space="preserve">2) </w:t>
      </w:r>
      <w:r w:rsidRPr="009814AD">
        <w:rPr>
          <w:rFonts w:cstheme="minorHAnsi"/>
          <w:bCs/>
          <w:iCs/>
          <w:sz w:val="24"/>
          <w:szCs w:val="24"/>
        </w:rPr>
        <w:t>Enerģētiskā drošība un neatkarība, pilnīga enerģijas tirgu integrācija, infrastruktūras modernizācija (6. rīcības virziens),</w:t>
      </w:r>
      <w:r w:rsidRPr="009814AD">
        <w:rPr>
          <w:rFonts w:cstheme="minorHAnsi"/>
          <w:bCs/>
          <w:iCs/>
          <w:sz w:val="24"/>
          <w:szCs w:val="24"/>
        </w:rPr>
        <w:t xml:space="preserve"> jo </w:t>
      </w:r>
      <w:r w:rsidR="005D203F" w:rsidRPr="009814AD">
        <w:rPr>
          <w:rFonts w:cstheme="minorHAnsi"/>
          <w:sz w:val="24"/>
          <w:szCs w:val="24"/>
        </w:rPr>
        <w:t xml:space="preserve"> </w:t>
      </w:r>
      <w:r w:rsidR="006A4059" w:rsidRPr="009814AD">
        <w:rPr>
          <w:rFonts w:cstheme="minorHAnsi"/>
          <w:sz w:val="24"/>
          <w:szCs w:val="24"/>
        </w:rPr>
        <w:t xml:space="preserve">veicot </w:t>
      </w:r>
      <w:r w:rsidR="005D203F" w:rsidRPr="009814AD">
        <w:rPr>
          <w:rFonts w:cstheme="minorHAnsi"/>
          <w:sz w:val="24"/>
          <w:szCs w:val="24"/>
        </w:rPr>
        <w:t>biogāzes ražošan</w:t>
      </w:r>
      <w:r w:rsidR="006A4059" w:rsidRPr="009814AD">
        <w:rPr>
          <w:rFonts w:cstheme="minorHAnsi"/>
          <w:sz w:val="24"/>
          <w:szCs w:val="24"/>
        </w:rPr>
        <w:t>u</w:t>
      </w:r>
      <w:r w:rsidR="005D203F" w:rsidRPr="009814AD">
        <w:rPr>
          <w:rFonts w:cstheme="minorHAnsi"/>
          <w:sz w:val="24"/>
          <w:szCs w:val="24"/>
        </w:rPr>
        <w:t xml:space="preserve"> </w:t>
      </w:r>
      <w:r w:rsidR="006A4059" w:rsidRPr="009814AD">
        <w:rPr>
          <w:rFonts w:cstheme="minorHAnsi"/>
          <w:sz w:val="24"/>
          <w:szCs w:val="24"/>
        </w:rPr>
        <w:t>no atkritumiem un dūņām tiek nodrošināta iespēja</w:t>
      </w:r>
      <w:r w:rsidR="005D203F" w:rsidRPr="009814AD">
        <w:rPr>
          <w:rFonts w:cstheme="minorHAnsi"/>
          <w:sz w:val="24"/>
          <w:szCs w:val="24"/>
        </w:rPr>
        <w:t xml:space="preserve"> veikt koģenerāciju.</w:t>
      </w:r>
    </w:p>
    <w:p w14:paraId="2DBCCCDE" w14:textId="359A99E9" w:rsidR="009814AD" w:rsidRPr="009814AD" w:rsidRDefault="009814AD" w:rsidP="009814AD">
      <w:pPr>
        <w:shd w:val="clear" w:color="auto" w:fill="E7E6E6" w:themeFill="background2"/>
        <w:spacing w:before="120" w:after="120" w:line="240" w:lineRule="auto"/>
        <w:rPr>
          <w:rFonts w:cstheme="minorHAnsi"/>
          <w:sz w:val="24"/>
          <w:szCs w:val="24"/>
        </w:rPr>
      </w:pPr>
      <w:r w:rsidRPr="009814AD">
        <w:rPr>
          <w:rFonts w:cstheme="minorHAnsi"/>
          <w:bCs/>
          <w:iCs/>
          <w:sz w:val="24"/>
          <w:szCs w:val="24"/>
        </w:rPr>
        <w:t xml:space="preserve">3) </w:t>
      </w:r>
      <w:bookmarkStart w:id="14" w:name="_Hlk19099735"/>
      <w:bookmarkStart w:id="15" w:name="_GoBack"/>
      <w:r w:rsidRPr="009814AD">
        <w:rPr>
          <w:rFonts w:cstheme="minorHAnsi"/>
          <w:bCs/>
          <w:iCs/>
          <w:sz w:val="24"/>
          <w:szCs w:val="24"/>
        </w:rPr>
        <w:t>Sabiedrības informēšana, izglītošana un izpratnes veicināšana (12. rīcības virziens).</w:t>
      </w:r>
      <w:bookmarkEnd w:id="14"/>
      <w:bookmarkEnd w:id="15"/>
    </w:p>
    <w:bookmarkEnd w:id="1"/>
    <w:bookmarkEnd w:id="10"/>
    <w:sectPr w:rsidR="009814AD" w:rsidRPr="009814AD" w:rsidSect="0071660D">
      <w:headerReference w:type="default" r:id="rId8"/>
      <w:pgSz w:w="11906" w:h="16838"/>
      <w:pgMar w:top="1418"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CB35" w14:textId="77777777" w:rsidR="004E2D86" w:rsidRDefault="004E2D86" w:rsidP="00DE5B89">
      <w:pPr>
        <w:spacing w:after="0" w:line="240" w:lineRule="auto"/>
      </w:pPr>
      <w:r>
        <w:separator/>
      </w:r>
    </w:p>
  </w:endnote>
  <w:endnote w:type="continuationSeparator" w:id="0">
    <w:p w14:paraId="63833659" w14:textId="77777777" w:rsidR="004E2D86" w:rsidRDefault="004E2D86" w:rsidP="00DE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AA02" w14:textId="77777777" w:rsidR="004E2D86" w:rsidRDefault="004E2D86" w:rsidP="00DE5B89">
      <w:pPr>
        <w:spacing w:after="0" w:line="240" w:lineRule="auto"/>
      </w:pPr>
      <w:r>
        <w:separator/>
      </w:r>
    </w:p>
  </w:footnote>
  <w:footnote w:type="continuationSeparator" w:id="0">
    <w:p w14:paraId="57D8EC33" w14:textId="77777777" w:rsidR="004E2D86" w:rsidRDefault="004E2D86" w:rsidP="00DE5B89">
      <w:pPr>
        <w:spacing w:after="0" w:line="240" w:lineRule="auto"/>
      </w:pPr>
      <w:r>
        <w:continuationSeparator/>
      </w:r>
    </w:p>
  </w:footnote>
  <w:footnote w:id="1">
    <w:p w14:paraId="148C20BB" w14:textId="4640A320" w:rsidR="00EB7E0C" w:rsidRPr="009814AD" w:rsidRDefault="00EB7E0C" w:rsidP="00EB7E0C">
      <w:pPr>
        <w:pStyle w:val="FootnoteText"/>
        <w:rPr>
          <w:rFonts w:asciiTheme="minorHAnsi" w:hAnsiTheme="minorHAnsi" w:cstheme="minorHAnsi"/>
        </w:rPr>
      </w:pPr>
      <w:r w:rsidRPr="009814AD">
        <w:rPr>
          <w:rStyle w:val="FootnoteReference"/>
          <w:rFonts w:asciiTheme="minorHAnsi" w:hAnsiTheme="minorHAnsi" w:cstheme="minorHAnsi"/>
        </w:rPr>
        <w:footnoteRef/>
      </w:r>
      <w:r w:rsidRPr="009814AD">
        <w:rPr>
          <w:rFonts w:asciiTheme="minorHAnsi" w:hAnsiTheme="minorHAnsi" w:cstheme="minorHAnsi"/>
        </w:rPr>
        <w:t xml:space="preserve"> </w:t>
      </w:r>
      <w:r w:rsidR="00DE5A4E" w:rsidRPr="009814AD">
        <w:rPr>
          <w:rFonts w:asciiTheme="minorHAnsi" w:hAnsiTheme="minorHAnsi" w:cstheme="minorHAnsi"/>
        </w:rPr>
        <w:t xml:space="preserve">Latvijas </w:t>
      </w:r>
      <w:r w:rsidR="00430815" w:rsidRPr="009814AD">
        <w:rPr>
          <w:rFonts w:asciiTheme="minorHAnsi" w:hAnsiTheme="minorHAnsi" w:cstheme="minorHAnsi"/>
        </w:rPr>
        <w:t xml:space="preserve">SEG </w:t>
      </w:r>
      <w:r w:rsidR="00DE5A4E" w:rsidRPr="009814AD">
        <w:rPr>
          <w:rFonts w:asciiTheme="minorHAnsi" w:hAnsiTheme="minorHAnsi" w:cstheme="minorHAnsi"/>
        </w:rPr>
        <w:t xml:space="preserve">inventarizācijas ziņojums par </w:t>
      </w:r>
      <w:r w:rsidR="008C5805" w:rsidRPr="009814AD">
        <w:rPr>
          <w:rFonts w:asciiTheme="minorHAnsi" w:hAnsiTheme="minorHAnsi" w:cstheme="minorHAnsi"/>
        </w:rPr>
        <w:t xml:space="preserve">1990.-2017. gadu </w:t>
      </w:r>
      <w:hyperlink r:id="rId1" w:history="1">
        <w:r w:rsidR="00874047" w:rsidRPr="009814AD">
          <w:rPr>
            <w:rStyle w:val="Hyperlink"/>
            <w:rFonts w:asciiTheme="minorHAnsi" w:hAnsiTheme="minorHAnsi" w:cstheme="minorHAnsi"/>
          </w:rPr>
          <w:t>https://unfccc.int/documents/194812</w:t>
        </w:r>
      </w:hyperlink>
      <w:r w:rsidR="00874047" w:rsidRPr="009814AD">
        <w:rPr>
          <w:rFonts w:asciiTheme="minorHAnsi" w:hAnsiTheme="minorHAnsi" w:cstheme="minorHAnsi"/>
        </w:rPr>
        <w:t xml:space="preserve"> </w:t>
      </w:r>
    </w:p>
  </w:footnote>
  <w:footnote w:id="2">
    <w:p w14:paraId="21551C80" w14:textId="4172BBEF" w:rsidR="0082364F" w:rsidRPr="009814AD" w:rsidRDefault="0082364F" w:rsidP="0082364F">
      <w:pPr>
        <w:pStyle w:val="FootnoteText"/>
        <w:rPr>
          <w:rFonts w:asciiTheme="minorHAnsi" w:hAnsiTheme="minorHAnsi" w:cstheme="minorHAnsi"/>
        </w:rPr>
      </w:pPr>
      <w:r w:rsidRPr="009814AD">
        <w:rPr>
          <w:rStyle w:val="FootnoteReference"/>
          <w:rFonts w:asciiTheme="minorHAnsi" w:hAnsiTheme="minorHAnsi" w:cstheme="minorHAnsi"/>
        </w:rPr>
        <w:footnoteRef/>
      </w:r>
      <w:r w:rsidRPr="009814AD">
        <w:rPr>
          <w:rFonts w:asciiTheme="minorHAnsi" w:hAnsiTheme="minorHAnsi" w:cstheme="minorHAnsi"/>
        </w:rPr>
        <w:t xml:space="preserve"> </w:t>
      </w:r>
      <w:r w:rsidR="008C5805" w:rsidRPr="009814AD">
        <w:rPr>
          <w:rFonts w:asciiTheme="minorHAnsi" w:hAnsiTheme="minorHAnsi" w:cstheme="minorHAnsi"/>
          <w:color w:val="333333"/>
          <w:shd w:val="clear" w:color="auto" w:fill="FFFFFF"/>
        </w:rPr>
        <w:t xml:space="preserve">Sadzīves un bīstamie atkritumi, to savākšana un pārstrāde </w:t>
      </w:r>
      <w:hyperlink r:id="rId2" w:history="1">
        <w:r w:rsidR="00DE5A4E" w:rsidRPr="009814AD">
          <w:rPr>
            <w:rStyle w:val="Hyperlink"/>
            <w:rFonts w:asciiTheme="minorHAnsi" w:hAnsiTheme="minorHAnsi" w:cstheme="minorHAnsi"/>
          </w:rPr>
          <w:t>https://data1.csb.gov.lv/pxweb/lv/vide/vide__vide__ikgad/VIG040.px/table/tableViewLayout1/</w:t>
        </w:r>
      </w:hyperlink>
      <w:r w:rsidR="00DE5A4E" w:rsidRPr="009814AD">
        <w:rPr>
          <w:rFonts w:asciiTheme="minorHAnsi" w:hAnsiTheme="minorHAnsi" w:cstheme="minorHAnsi"/>
        </w:rPr>
        <w:t xml:space="preserve"> </w:t>
      </w:r>
    </w:p>
  </w:footnote>
  <w:footnote w:id="3">
    <w:p w14:paraId="4EAA1E70" w14:textId="0B652C19" w:rsidR="00E22402" w:rsidRPr="009814AD" w:rsidRDefault="00E22402">
      <w:pPr>
        <w:pStyle w:val="FootnoteText"/>
        <w:rPr>
          <w:rFonts w:asciiTheme="minorHAnsi" w:hAnsiTheme="minorHAnsi" w:cstheme="minorHAnsi"/>
        </w:rPr>
      </w:pPr>
      <w:r w:rsidRPr="009814AD">
        <w:rPr>
          <w:rStyle w:val="FootnoteReference"/>
          <w:rFonts w:asciiTheme="minorHAnsi" w:hAnsiTheme="minorHAnsi" w:cstheme="minorHAnsi"/>
        </w:rPr>
        <w:footnoteRef/>
      </w:r>
      <w:r w:rsidRPr="009814AD">
        <w:rPr>
          <w:rFonts w:asciiTheme="minorHAnsi" w:hAnsiTheme="minorHAnsi" w:cstheme="minorHAnsi"/>
        </w:rPr>
        <w:t xml:space="preserve"> </w:t>
      </w:r>
      <w:r w:rsidRPr="009814AD">
        <w:rPr>
          <w:rFonts w:asciiTheme="minorHAnsi" w:hAnsiTheme="minorHAnsi" w:cstheme="minorHAnsi"/>
        </w:rPr>
        <w:t>https://ec.europa.eu/eurostat/statistics-explained/index.php?title=Waste_statistics/lv</w:t>
      </w:r>
    </w:p>
  </w:footnote>
  <w:footnote w:id="4">
    <w:p w14:paraId="03EE8631" w14:textId="41B70B03" w:rsidR="004D0002" w:rsidRPr="009814AD" w:rsidRDefault="004D0002" w:rsidP="004D0002">
      <w:pPr>
        <w:pStyle w:val="FootnoteText"/>
        <w:rPr>
          <w:rFonts w:asciiTheme="minorHAnsi" w:hAnsiTheme="minorHAnsi" w:cstheme="minorHAnsi"/>
        </w:rPr>
      </w:pPr>
      <w:r w:rsidRPr="009814AD">
        <w:rPr>
          <w:rStyle w:val="FootnoteReference"/>
          <w:rFonts w:asciiTheme="minorHAnsi" w:hAnsiTheme="minorHAnsi" w:cstheme="minorHAnsi"/>
        </w:rPr>
        <w:footnoteRef/>
      </w:r>
      <w:r w:rsidRPr="009814AD">
        <w:rPr>
          <w:rFonts w:asciiTheme="minorHAnsi" w:hAnsiTheme="minorHAnsi" w:cstheme="minorHAnsi"/>
        </w:rPr>
        <w:t xml:space="preserve"> </w:t>
      </w:r>
      <w:hyperlink r:id="rId3" w:history="1">
        <w:r w:rsidR="00874047" w:rsidRPr="009814AD">
          <w:rPr>
            <w:rStyle w:val="Hyperlink"/>
            <w:rFonts w:asciiTheme="minorHAnsi" w:hAnsiTheme="minorHAnsi" w:cstheme="minorHAnsi"/>
          </w:rPr>
          <w:t>https://unfccc.int/documents/194812</w:t>
        </w:r>
      </w:hyperlink>
      <w:r w:rsidR="00874047" w:rsidRPr="009814AD">
        <w:rPr>
          <w:rFonts w:asciiTheme="minorHAnsi" w:hAnsiTheme="minorHAnsi" w:cstheme="minorHAnsi"/>
        </w:rPr>
        <w:t xml:space="preserve"> </w:t>
      </w:r>
    </w:p>
  </w:footnote>
  <w:footnote w:id="5">
    <w:p w14:paraId="1FA6FBF1" w14:textId="60A5F92C" w:rsidR="002F5191" w:rsidRPr="009814AD" w:rsidRDefault="002F5191" w:rsidP="002F5191">
      <w:pPr>
        <w:pStyle w:val="FootnoteText"/>
        <w:rPr>
          <w:rFonts w:asciiTheme="minorHAnsi" w:hAnsiTheme="minorHAnsi" w:cstheme="minorHAnsi"/>
        </w:rPr>
      </w:pPr>
      <w:r w:rsidRPr="009814AD">
        <w:rPr>
          <w:rStyle w:val="FootnoteReference"/>
          <w:rFonts w:asciiTheme="minorHAnsi" w:hAnsiTheme="minorHAnsi" w:cstheme="minorHAnsi"/>
        </w:rPr>
        <w:footnoteRef/>
      </w:r>
      <w:r w:rsidR="006B083C">
        <w:rPr>
          <w:rFonts w:asciiTheme="minorHAnsi" w:hAnsiTheme="minorHAnsi" w:cstheme="minorHAnsi"/>
        </w:rPr>
        <w:t xml:space="preserve"> </w:t>
      </w:r>
      <w:r w:rsidRPr="009814AD">
        <w:rPr>
          <w:rFonts w:asciiTheme="minorHAnsi" w:hAnsiTheme="minorHAnsi" w:cstheme="minorHAnsi"/>
        </w:rPr>
        <w:t xml:space="preserve">Aprites ekonomika: vairāk pārstrādes, mazāk atkritumu poligonos </w:t>
      </w:r>
      <w:hyperlink r:id="rId4" w:history="1">
        <w:r w:rsidRPr="009814AD">
          <w:rPr>
            <w:rStyle w:val="Hyperlink"/>
            <w:rFonts w:asciiTheme="minorHAnsi" w:hAnsiTheme="minorHAnsi" w:cstheme="minorHAnsi"/>
          </w:rPr>
          <w:t>http://www.europarl.europa.eu/latvia/lv/jaunumi/2018/aprila_jaunumi_2018/atkritumu_skirosana.html</w:t>
        </w:r>
      </w:hyperlink>
      <w:r w:rsidRPr="009814AD">
        <w:rPr>
          <w:rFonts w:asciiTheme="minorHAnsi" w:hAnsiTheme="minorHAnsi" w:cstheme="minorHAnsi"/>
        </w:rPr>
        <w:t xml:space="preserve"> </w:t>
      </w:r>
    </w:p>
  </w:footnote>
  <w:footnote w:id="6">
    <w:p w14:paraId="09AD17C7" w14:textId="77777777" w:rsidR="009814AD" w:rsidRPr="009814AD" w:rsidRDefault="009814AD" w:rsidP="009814AD">
      <w:pPr>
        <w:pStyle w:val="FootnoteText"/>
        <w:rPr>
          <w:rFonts w:asciiTheme="minorHAnsi" w:hAnsiTheme="minorHAnsi" w:cstheme="minorHAnsi"/>
        </w:rPr>
      </w:pPr>
      <w:r w:rsidRPr="009814AD">
        <w:rPr>
          <w:rStyle w:val="FootnoteReference"/>
          <w:rFonts w:asciiTheme="minorHAnsi" w:hAnsiTheme="minorHAnsi" w:cstheme="minorHAnsi"/>
        </w:rPr>
        <w:footnoteRef/>
      </w:r>
      <w:r w:rsidRPr="009814AD">
        <w:rPr>
          <w:rFonts w:asciiTheme="minorHAnsi" w:hAnsiTheme="minorHAnsi" w:cstheme="minorHAnsi"/>
        </w:rPr>
        <w:t xml:space="preserve"> </w:t>
      </w:r>
      <w:r w:rsidRPr="009814AD">
        <w:rPr>
          <w:rFonts w:asciiTheme="minorHAnsi" w:hAnsiTheme="minorHAnsi" w:cstheme="minorHAnsi"/>
        </w:rPr>
        <w:t xml:space="preserve">N. </w:t>
      </w:r>
      <w:proofErr w:type="spellStart"/>
      <w:r w:rsidRPr="009814AD">
        <w:rPr>
          <w:rFonts w:asciiTheme="minorHAnsi" w:hAnsiTheme="minorHAnsi" w:cstheme="minorHAnsi"/>
        </w:rPr>
        <w:t>Belmane</w:t>
      </w:r>
      <w:proofErr w:type="spellEnd"/>
      <w:r w:rsidRPr="009814AD">
        <w:rPr>
          <w:rFonts w:asciiTheme="minorHAnsi" w:hAnsiTheme="minorHAnsi" w:cstheme="minorHAnsi"/>
        </w:rPr>
        <w:t xml:space="preserve"> (2013) Ievads </w:t>
      </w:r>
      <w:proofErr w:type="spellStart"/>
      <w:r w:rsidRPr="009814AD">
        <w:rPr>
          <w:rFonts w:asciiTheme="minorHAnsi" w:hAnsiTheme="minorHAnsi" w:cstheme="minorHAnsi"/>
        </w:rPr>
        <w:t>ekodizainā</w:t>
      </w:r>
      <w:proofErr w:type="spellEnd"/>
      <w:r w:rsidRPr="009814AD">
        <w:rPr>
          <w:rFonts w:asciiTheme="minorHAnsi" w:hAnsiTheme="minorHAnsi" w:cstheme="minorHAnsi"/>
        </w:rPr>
        <w:t xml:space="preserve"> </w:t>
      </w:r>
      <w:hyperlink r:id="rId5" w:history="1">
        <w:r w:rsidRPr="009814AD">
          <w:rPr>
            <w:rStyle w:val="Hyperlink"/>
            <w:rFonts w:asciiTheme="minorHAnsi" w:hAnsiTheme="minorHAnsi" w:cstheme="minorHAnsi"/>
          </w:rPr>
          <w:t>https://www.liaa.gov.lv/files/liaa/attachments/01_namedabelmane_ievads-ekodizains.pdf</w:t>
        </w:r>
      </w:hyperlink>
      <w:r w:rsidRPr="009814A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423031140"/>
      <w:docPartObj>
        <w:docPartGallery w:val="Page Numbers (Top of Page)"/>
        <w:docPartUnique/>
      </w:docPartObj>
    </w:sdtPr>
    <w:sdtEndPr>
      <w:rPr>
        <w:noProof/>
      </w:rPr>
    </w:sdtEndPr>
    <w:sdtContent>
      <w:p w14:paraId="375B6D93" w14:textId="6A950EC8" w:rsidR="0071660D" w:rsidRPr="009814AD" w:rsidRDefault="0071660D">
        <w:pPr>
          <w:pStyle w:val="Header"/>
          <w:jc w:val="center"/>
          <w:rPr>
            <w:rFonts w:cstheme="minorHAnsi"/>
          </w:rPr>
        </w:pPr>
        <w:r w:rsidRPr="009814AD">
          <w:rPr>
            <w:rFonts w:cstheme="minorHAnsi"/>
          </w:rPr>
          <w:fldChar w:fldCharType="begin"/>
        </w:r>
        <w:r w:rsidRPr="009814AD">
          <w:rPr>
            <w:rFonts w:cstheme="minorHAnsi"/>
          </w:rPr>
          <w:instrText xml:space="preserve"> PAGE   \* MERGEFORMAT </w:instrText>
        </w:r>
        <w:r w:rsidRPr="009814AD">
          <w:rPr>
            <w:rFonts w:cstheme="minorHAnsi"/>
          </w:rPr>
          <w:fldChar w:fldCharType="separate"/>
        </w:r>
        <w:r w:rsidR="006452ED" w:rsidRPr="009814AD">
          <w:rPr>
            <w:rFonts w:cstheme="minorHAnsi"/>
            <w:noProof/>
          </w:rPr>
          <w:t>2</w:t>
        </w:r>
        <w:r w:rsidRPr="009814AD">
          <w:rPr>
            <w:rFonts w:cstheme="minorHAnsi"/>
            <w:noProof/>
          </w:rPr>
          <w:fldChar w:fldCharType="end"/>
        </w:r>
      </w:p>
    </w:sdtContent>
  </w:sdt>
  <w:p w14:paraId="6FC32298" w14:textId="77777777" w:rsidR="0071660D" w:rsidRPr="009814AD" w:rsidRDefault="0071660D">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E45563"/>
    <w:multiLevelType w:val="hybridMultilevel"/>
    <w:tmpl w:val="0FB046C2"/>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6C03AE"/>
    <w:multiLevelType w:val="hybridMultilevel"/>
    <w:tmpl w:val="CD8280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12A7F7C"/>
    <w:multiLevelType w:val="hybridMultilevel"/>
    <w:tmpl w:val="94D2B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80379A"/>
    <w:multiLevelType w:val="hybridMultilevel"/>
    <w:tmpl w:val="33386430"/>
    <w:lvl w:ilvl="0" w:tplc="827C60B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282314"/>
    <w:multiLevelType w:val="hybridMultilevel"/>
    <w:tmpl w:val="C9F08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1FB767F"/>
    <w:multiLevelType w:val="hybridMultilevel"/>
    <w:tmpl w:val="147A00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302F38"/>
    <w:multiLevelType w:val="hybridMultilevel"/>
    <w:tmpl w:val="45902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6ECC4E19"/>
    <w:multiLevelType w:val="hybridMultilevel"/>
    <w:tmpl w:val="AD088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00318F"/>
    <w:multiLevelType w:val="hybridMultilevel"/>
    <w:tmpl w:val="1218957A"/>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BF06A4"/>
    <w:multiLevelType w:val="hybridMultilevel"/>
    <w:tmpl w:val="86A60CF4"/>
    <w:lvl w:ilvl="0" w:tplc="2E46B71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
  </w:num>
  <w:num w:numId="5">
    <w:abstractNumId w:val="12"/>
  </w:num>
  <w:num w:numId="6">
    <w:abstractNumId w:val="4"/>
  </w:num>
  <w:num w:numId="7">
    <w:abstractNumId w:val="7"/>
  </w:num>
  <w:num w:numId="8">
    <w:abstractNumId w:val="10"/>
  </w:num>
  <w:num w:numId="9">
    <w:abstractNumId w:val="8"/>
  </w:num>
  <w:num w:numId="10">
    <w:abstractNumId w:val="13"/>
  </w:num>
  <w:num w:numId="11">
    <w:abstractNumId w:val="6"/>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CB"/>
    <w:rsid w:val="00037CDB"/>
    <w:rsid w:val="000427B6"/>
    <w:rsid w:val="00043D80"/>
    <w:rsid w:val="00051247"/>
    <w:rsid w:val="00057003"/>
    <w:rsid w:val="000651AF"/>
    <w:rsid w:val="000A3CF8"/>
    <w:rsid w:val="000B30F8"/>
    <w:rsid w:val="000D1055"/>
    <w:rsid w:val="000F4311"/>
    <w:rsid w:val="001019BB"/>
    <w:rsid w:val="00106A07"/>
    <w:rsid w:val="00116A30"/>
    <w:rsid w:val="00121847"/>
    <w:rsid w:val="00125740"/>
    <w:rsid w:val="00142625"/>
    <w:rsid w:val="0019076A"/>
    <w:rsid w:val="00195D0C"/>
    <w:rsid w:val="001A1732"/>
    <w:rsid w:val="001A1C66"/>
    <w:rsid w:val="001A273E"/>
    <w:rsid w:val="001D0696"/>
    <w:rsid w:val="00201FAF"/>
    <w:rsid w:val="002124A2"/>
    <w:rsid w:val="002202AF"/>
    <w:rsid w:val="00220751"/>
    <w:rsid w:val="002260CE"/>
    <w:rsid w:val="00226DDB"/>
    <w:rsid w:val="002429E0"/>
    <w:rsid w:val="00245DC5"/>
    <w:rsid w:val="00267F81"/>
    <w:rsid w:val="0029044C"/>
    <w:rsid w:val="002975A5"/>
    <w:rsid w:val="002A06AC"/>
    <w:rsid w:val="002B0BB9"/>
    <w:rsid w:val="002E33A3"/>
    <w:rsid w:val="002F2EC0"/>
    <w:rsid w:val="002F5191"/>
    <w:rsid w:val="0030301E"/>
    <w:rsid w:val="00303E4D"/>
    <w:rsid w:val="00317654"/>
    <w:rsid w:val="003212EC"/>
    <w:rsid w:val="00333AF2"/>
    <w:rsid w:val="00356816"/>
    <w:rsid w:val="00387EC0"/>
    <w:rsid w:val="003913E7"/>
    <w:rsid w:val="003A7207"/>
    <w:rsid w:val="003B7E0D"/>
    <w:rsid w:val="003C24D9"/>
    <w:rsid w:val="003E4298"/>
    <w:rsid w:val="003E5D17"/>
    <w:rsid w:val="003E6398"/>
    <w:rsid w:val="003E76F5"/>
    <w:rsid w:val="003F2FA8"/>
    <w:rsid w:val="003F644F"/>
    <w:rsid w:val="003F71F7"/>
    <w:rsid w:val="00415690"/>
    <w:rsid w:val="00420A1A"/>
    <w:rsid w:val="004221D2"/>
    <w:rsid w:val="00426BD2"/>
    <w:rsid w:val="00430815"/>
    <w:rsid w:val="00430C57"/>
    <w:rsid w:val="00470FA4"/>
    <w:rsid w:val="0047729C"/>
    <w:rsid w:val="00482BF4"/>
    <w:rsid w:val="004A3CBF"/>
    <w:rsid w:val="004C4D6B"/>
    <w:rsid w:val="004C6702"/>
    <w:rsid w:val="004D0002"/>
    <w:rsid w:val="004E2D86"/>
    <w:rsid w:val="004E554D"/>
    <w:rsid w:val="0050111D"/>
    <w:rsid w:val="00505255"/>
    <w:rsid w:val="00522673"/>
    <w:rsid w:val="00532DAB"/>
    <w:rsid w:val="00537FF8"/>
    <w:rsid w:val="00553E56"/>
    <w:rsid w:val="00565457"/>
    <w:rsid w:val="005706CC"/>
    <w:rsid w:val="00577008"/>
    <w:rsid w:val="005A122D"/>
    <w:rsid w:val="005B6348"/>
    <w:rsid w:val="005D203F"/>
    <w:rsid w:val="005E3C8C"/>
    <w:rsid w:val="005F5367"/>
    <w:rsid w:val="00627DA5"/>
    <w:rsid w:val="00640F68"/>
    <w:rsid w:val="006452ED"/>
    <w:rsid w:val="006836C1"/>
    <w:rsid w:val="00685888"/>
    <w:rsid w:val="006967A3"/>
    <w:rsid w:val="006A4059"/>
    <w:rsid w:val="006B083C"/>
    <w:rsid w:val="006E177C"/>
    <w:rsid w:val="00704C63"/>
    <w:rsid w:val="00705710"/>
    <w:rsid w:val="00706669"/>
    <w:rsid w:val="0071660D"/>
    <w:rsid w:val="00723AAB"/>
    <w:rsid w:val="007347FD"/>
    <w:rsid w:val="00764DB5"/>
    <w:rsid w:val="00764E01"/>
    <w:rsid w:val="0079232D"/>
    <w:rsid w:val="007B3719"/>
    <w:rsid w:val="007B514A"/>
    <w:rsid w:val="007C2E51"/>
    <w:rsid w:val="007E7AD8"/>
    <w:rsid w:val="00811943"/>
    <w:rsid w:val="0082364F"/>
    <w:rsid w:val="008339CB"/>
    <w:rsid w:val="008511F0"/>
    <w:rsid w:val="0085134C"/>
    <w:rsid w:val="00863BEB"/>
    <w:rsid w:val="00874047"/>
    <w:rsid w:val="00877226"/>
    <w:rsid w:val="00880FEC"/>
    <w:rsid w:val="008B66FB"/>
    <w:rsid w:val="008C21C3"/>
    <w:rsid w:val="008C3530"/>
    <w:rsid w:val="008C4619"/>
    <w:rsid w:val="008C5805"/>
    <w:rsid w:val="008D1E93"/>
    <w:rsid w:val="008E5C9A"/>
    <w:rsid w:val="00920BEA"/>
    <w:rsid w:val="0093296E"/>
    <w:rsid w:val="00942E45"/>
    <w:rsid w:val="009453A3"/>
    <w:rsid w:val="009565EC"/>
    <w:rsid w:val="00977823"/>
    <w:rsid w:val="009814AD"/>
    <w:rsid w:val="009818A2"/>
    <w:rsid w:val="00983EE7"/>
    <w:rsid w:val="0099437B"/>
    <w:rsid w:val="00994BC1"/>
    <w:rsid w:val="009B6124"/>
    <w:rsid w:val="009D3C49"/>
    <w:rsid w:val="009F06C3"/>
    <w:rsid w:val="00A13760"/>
    <w:rsid w:val="00A1418F"/>
    <w:rsid w:val="00A14950"/>
    <w:rsid w:val="00A255AF"/>
    <w:rsid w:val="00A402F3"/>
    <w:rsid w:val="00A64598"/>
    <w:rsid w:val="00A76D28"/>
    <w:rsid w:val="00A94D6D"/>
    <w:rsid w:val="00A97E39"/>
    <w:rsid w:val="00AA23DB"/>
    <w:rsid w:val="00AA28EA"/>
    <w:rsid w:val="00AC2514"/>
    <w:rsid w:val="00AE1B26"/>
    <w:rsid w:val="00AE52D3"/>
    <w:rsid w:val="00AE661D"/>
    <w:rsid w:val="00AF0AF4"/>
    <w:rsid w:val="00AF4803"/>
    <w:rsid w:val="00B07F50"/>
    <w:rsid w:val="00B258F9"/>
    <w:rsid w:val="00B27119"/>
    <w:rsid w:val="00B31CC9"/>
    <w:rsid w:val="00B36ABB"/>
    <w:rsid w:val="00B522B9"/>
    <w:rsid w:val="00B573BB"/>
    <w:rsid w:val="00B87139"/>
    <w:rsid w:val="00B925C9"/>
    <w:rsid w:val="00B94F62"/>
    <w:rsid w:val="00BA7961"/>
    <w:rsid w:val="00BB6CD1"/>
    <w:rsid w:val="00BB6FDF"/>
    <w:rsid w:val="00BE3DCB"/>
    <w:rsid w:val="00BF1437"/>
    <w:rsid w:val="00BF76F5"/>
    <w:rsid w:val="00C22ABA"/>
    <w:rsid w:val="00C2417D"/>
    <w:rsid w:val="00C241EB"/>
    <w:rsid w:val="00C34B93"/>
    <w:rsid w:val="00C36BF8"/>
    <w:rsid w:val="00C43D36"/>
    <w:rsid w:val="00C45D83"/>
    <w:rsid w:val="00C669FB"/>
    <w:rsid w:val="00C70711"/>
    <w:rsid w:val="00CA506B"/>
    <w:rsid w:val="00CB1A6B"/>
    <w:rsid w:val="00CC1468"/>
    <w:rsid w:val="00CE4D02"/>
    <w:rsid w:val="00CF2E45"/>
    <w:rsid w:val="00D05015"/>
    <w:rsid w:val="00D2106F"/>
    <w:rsid w:val="00D24013"/>
    <w:rsid w:val="00D26E7A"/>
    <w:rsid w:val="00D66C8E"/>
    <w:rsid w:val="00D7012A"/>
    <w:rsid w:val="00D75106"/>
    <w:rsid w:val="00D908B5"/>
    <w:rsid w:val="00D94234"/>
    <w:rsid w:val="00D9478D"/>
    <w:rsid w:val="00D95BEF"/>
    <w:rsid w:val="00DB5FD4"/>
    <w:rsid w:val="00DE5248"/>
    <w:rsid w:val="00DE5A4E"/>
    <w:rsid w:val="00DE5B89"/>
    <w:rsid w:val="00E12F98"/>
    <w:rsid w:val="00E22402"/>
    <w:rsid w:val="00E2271D"/>
    <w:rsid w:val="00E33B88"/>
    <w:rsid w:val="00E4224E"/>
    <w:rsid w:val="00E46704"/>
    <w:rsid w:val="00E729F2"/>
    <w:rsid w:val="00E816BF"/>
    <w:rsid w:val="00E95F8D"/>
    <w:rsid w:val="00EA6187"/>
    <w:rsid w:val="00EB0208"/>
    <w:rsid w:val="00EB7E0C"/>
    <w:rsid w:val="00EC482B"/>
    <w:rsid w:val="00EC7055"/>
    <w:rsid w:val="00ED6CBA"/>
    <w:rsid w:val="00EF7B77"/>
    <w:rsid w:val="00F01129"/>
    <w:rsid w:val="00F1209E"/>
    <w:rsid w:val="00F1609F"/>
    <w:rsid w:val="00F2521B"/>
    <w:rsid w:val="00F25D21"/>
    <w:rsid w:val="00F35589"/>
    <w:rsid w:val="00F51DDC"/>
    <w:rsid w:val="00F77270"/>
    <w:rsid w:val="00F802DC"/>
    <w:rsid w:val="00F817CD"/>
    <w:rsid w:val="00F91347"/>
    <w:rsid w:val="00FB04AC"/>
    <w:rsid w:val="00FD514E"/>
    <w:rsid w:val="00FE0FCB"/>
    <w:rsid w:val="00FE4E07"/>
    <w:rsid w:val="00FF20CA"/>
    <w:rsid w:val="00FF3E8A"/>
    <w:rsid w:val="00FF7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8492"/>
  <w15:chartTrackingRefBased/>
  <w15:docId w15:val="{AE4B2D81-E02D-4728-89E2-EFD3C58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DE5B89"/>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DE5B8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DE5B8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DE5B89"/>
    <w:pPr>
      <w:spacing w:line="240" w:lineRule="exact"/>
      <w:jc w:val="both"/>
    </w:pPr>
    <w:rPr>
      <w:vertAlign w:val="superscript"/>
    </w:rPr>
  </w:style>
  <w:style w:type="paragraph" w:styleId="Caption">
    <w:name w:val="caption"/>
    <w:aliases w:val="Beschriftung Char"/>
    <w:basedOn w:val="Normal"/>
    <w:next w:val="Normal"/>
    <w:link w:val="CaptionChar"/>
    <w:uiPriority w:val="35"/>
    <w:unhideWhenUsed/>
    <w:qFormat/>
    <w:rsid w:val="00DE5B89"/>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A11">
    <w:name w:val="A1+1"/>
    <w:uiPriority w:val="99"/>
    <w:rsid w:val="00DE5B89"/>
    <w:rPr>
      <w:color w:val="000000"/>
      <w:sz w:val="16"/>
      <w:szCs w:val="16"/>
    </w:rPr>
  </w:style>
  <w:style w:type="character" w:customStyle="1" w:styleId="CaptionChar">
    <w:name w:val="Caption Char"/>
    <w:aliases w:val="Beschriftung Char Char"/>
    <w:link w:val="Caption"/>
    <w:uiPriority w:val="35"/>
    <w:rsid w:val="00DE5B89"/>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DE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9"/>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A28EA"/>
    <w:pPr>
      <w:ind w:left="720"/>
      <w:contextualSpacing/>
    </w:pPr>
  </w:style>
  <w:style w:type="character" w:styleId="CommentReference">
    <w:name w:val="annotation reference"/>
    <w:basedOn w:val="DefaultParagraphFont"/>
    <w:uiPriority w:val="99"/>
    <w:semiHidden/>
    <w:unhideWhenUsed/>
    <w:rsid w:val="00057003"/>
    <w:rPr>
      <w:sz w:val="16"/>
      <w:szCs w:val="16"/>
    </w:rPr>
  </w:style>
  <w:style w:type="paragraph" w:styleId="CommentText">
    <w:name w:val="annotation text"/>
    <w:basedOn w:val="Normal"/>
    <w:link w:val="CommentTextChar"/>
    <w:uiPriority w:val="99"/>
    <w:unhideWhenUsed/>
    <w:rsid w:val="00057003"/>
    <w:pPr>
      <w:spacing w:line="240" w:lineRule="auto"/>
    </w:pPr>
    <w:rPr>
      <w:sz w:val="20"/>
      <w:szCs w:val="20"/>
    </w:rPr>
  </w:style>
  <w:style w:type="character" w:customStyle="1" w:styleId="CommentTextChar">
    <w:name w:val="Comment Text Char"/>
    <w:basedOn w:val="DefaultParagraphFont"/>
    <w:link w:val="CommentText"/>
    <w:uiPriority w:val="99"/>
    <w:rsid w:val="00057003"/>
    <w:rPr>
      <w:sz w:val="20"/>
      <w:szCs w:val="20"/>
    </w:rPr>
  </w:style>
  <w:style w:type="paragraph" w:styleId="CommentSubject">
    <w:name w:val="annotation subject"/>
    <w:basedOn w:val="CommentText"/>
    <w:next w:val="CommentText"/>
    <w:link w:val="CommentSubjectChar"/>
    <w:uiPriority w:val="99"/>
    <w:semiHidden/>
    <w:unhideWhenUsed/>
    <w:rsid w:val="00057003"/>
    <w:rPr>
      <w:b/>
      <w:bCs/>
    </w:rPr>
  </w:style>
  <w:style w:type="character" w:customStyle="1" w:styleId="CommentSubjectChar">
    <w:name w:val="Comment Subject Char"/>
    <w:basedOn w:val="CommentTextChar"/>
    <w:link w:val="CommentSubject"/>
    <w:uiPriority w:val="99"/>
    <w:semiHidden/>
    <w:rsid w:val="00057003"/>
    <w:rPr>
      <w:b/>
      <w:bCs/>
      <w:sz w:val="20"/>
      <w:szCs w:val="20"/>
    </w:rPr>
  </w:style>
  <w:style w:type="paragraph" w:styleId="Revision">
    <w:name w:val="Revision"/>
    <w:hidden/>
    <w:uiPriority w:val="99"/>
    <w:semiHidden/>
    <w:rsid w:val="009D3C49"/>
    <w:pPr>
      <w:spacing w:after="0" w:line="240" w:lineRule="auto"/>
    </w:pPr>
  </w:style>
  <w:style w:type="paragraph" w:styleId="Header">
    <w:name w:val="header"/>
    <w:basedOn w:val="Normal"/>
    <w:link w:val="HeaderChar"/>
    <w:uiPriority w:val="99"/>
    <w:unhideWhenUsed/>
    <w:rsid w:val="00D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B5"/>
  </w:style>
  <w:style w:type="paragraph" w:styleId="Footer">
    <w:name w:val="footer"/>
    <w:basedOn w:val="Normal"/>
    <w:link w:val="FooterChar"/>
    <w:uiPriority w:val="99"/>
    <w:unhideWhenUsed/>
    <w:rsid w:val="00D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B5"/>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E5C9A"/>
  </w:style>
  <w:style w:type="character" w:styleId="Hyperlink">
    <w:name w:val="Hyperlink"/>
    <w:basedOn w:val="DefaultParagraphFont"/>
    <w:uiPriority w:val="99"/>
    <w:unhideWhenUsed/>
    <w:rsid w:val="00874047"/>
    <w:rPr>
      <w:color w:val="0563C1" w:themeColor="hyperlink"/>
      <w:u w:val="single"/>
    </w:rPr>
  </w:style>
  <w:style w:type="character" w:styleId="Strong">
    <w:name w:val="Strong"/>
    <w:basedOn w:val="DefaultParagraphFont"/>
    <w:uiPriority w:val="22"/>
    <w:qFormat/>
    <w:rsid w:val="00F802DC"/>
    <w:rPr>
      <w:b/>
      <w:bCs/>
    </w:rPr>
  </w:style>
  <w:style w:type="character" w:styleId="FollowedHyperlink">
    <w:name w:val="FollowedHyperlink"/>
    <w:basedOn w:val="DefaultParagraphFont"/>
    <w:uiPriority w:val="99"/>
    <w:semiHidden/>
    <w:unhideWhenUsed/>
    <w:rsid w:val="008C5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documents/194812" TargetMode="External"/><Relationship Id="rId2" Type="http://schemas.openxmlformats.org/officeDocument/2006/relationships/hyperlink" Target="https://data1.csb.gov.lv/pxweb/lv/vide/vide__vide__ikgad/VIG040.px/table/tableViewLayout1/" TargetMode="External"/><Relationship Id="rId1" Type="http://schemas.openxmlformats.org/officeDocument/2006/relationships/hyperlink" Target="https://unfccc.int/documents/194812" TargetMode="External"/><Relationship Id="rId5" Type="http://schemas.openxmlformats.org/officeDocument/2006/relationships/hyperlink" Target="https://www.liaa.gov.lv/files/liaa/attachments/01_namedabelmane_ievads-ekodizains.pdf" TargetMode="External"/><Relationship Id="rId4" Type="http://schemas.openxmlformats.org/officeDocument/2006/relationships/hyperlink" Target="http://www.europarl.europa.eu/latvia/lv/jaunumi/2018/aprila_jaunumi_2018/atkritumu_skiros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ADAA-70AD-41BE-AFFB-BBA8BB69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5996</Words>
  <Characters>3418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4</cp:revision>
  <dcterms:created xsi:type="dcterms:W3CDTF">2019-09-30T09:06:00Z</dcterms:created>
  <dcterms:modified xsi:type="dcterms:W3CDTF">2019-09-30T10:18:00Z</dcterms:modified>
</cp:coreProperties>
</file>