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91" w:rsidRPr="005A322C" w:rsidRDefault="00E94C91" w:rsidP="005A322C">
      <w:pPr>
        <w:spacing w:before="120" w:after="120" w:line="240" w:lineRule="auto"/>
        <w:jc w:val="both"/>
        <w:rPr>
          <w:rFonts w:ascii="Calibri" w:hAnsi="Calibri" w:cs="Times New Roman"/>
          <w:b/>
          <w:i/>
          <w:sz w:val="28"/>
          <w:szCs w:val="28"/>
          <w:u w:val="single"/>
        </w:rPr>
      </w:pPr>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2796F8DB" wp14:editId="65D5A9B2">
                <wp:simplePos x="0" y="0"/>
                <wp:positionH relativeFrom="margin">
                  <wp:posOffset>-32385</wp:posOffset>
                </wp:positionH>
                <wp:positionV relativeFrom="paragraph">
                  <wp:posOffset>137795</wp:posOffset>
                </wp:positionV>
                <wp:extent cx="5779135" cy="55245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52450"/>
                        </a:xfrm>
                        <a:prstGeom prst="snip1Rect">
                          <a:avLst/>
                        </a:prstGeom>
                        <a:solidFill>
                          <a:schemeClr val="accent6">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rsidR="00E94C91" w:rsidRPr="00652FF2" w:rsidRDefault="00E94C91" w:rsidP="00E94C91">
                            <w:pPr>
                              <w:spacing w:before="120" w:after="120" w:line="240" w:lineRule="auto"/>
                              <w:jc w:val="center"/>
                              <w:rPr>
                                <w:rFonts w:ascii="Arial" w:hAnsi="Arial" w:cs="Arial"/>
                                <w:b/>
                                <w:bCs/>
                                <w:color w:val="FFFFFF" w:themeColor="background1"/>
                                <w:sz w:val="36"/>
                                <w:szCs w:val="36"/>
                              </w:rPr>
                            </w:pPr>
                            <w:r w:rsidRPr="00652FF2">
                              <w:rPr>
                                <w:rFonts w:ascii="Arial" w:hAnsi="Arial" w:cs="Arial"/>
                                <w:b/>
                                <w:bCs/>
                                <w:color w:val="FFFFFF" w:themeColor="background1"/>
                                <w:sz w:val="36"/>
                                <w:szCs w:val="36"/>
                              </w:rPr>
                              <w:t>Nodokļu zaļināšana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F8DB" id="Rectangle: Single Corner Snipped 39" o:spid="_x0000_s1026" style="position:absolute;left:0;text-align:left;margin-left:-2.55pt;margin-top:10.85pt;width:455.0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7913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" adj="-11796480,,5400" path="m,l5687058,r92077,92077l5779135,552450,,552450,,xe" fillcolor="#538135 [2409]" stroked="f" strokeweight="1pt">
                <v:stroke joinstyle="miter"/>
                <v:formulas/>
                <v:path arrowok="t" o:connecttype="custom" o:connectlocs="0,0;5687058,0;5779135,92077;5779135,552450;0,552450;0,0" o:connectangles="0,0,0,0,0,0" textboxrect="0,0,5779135,552450"/>
                <v:textbox>
                  <w:txbxContent>
                    <w:p w:rsidR="00E94C91" w:rsidRPr="00652FF2" w:rsidRDefault="00E94C91" w:rsidP="00E94C91">
                      <w:pPr>
                        <w:spacing w:before="120" w:after="120" w:line="240" w:lineRule="auto"/>
                        <w:jc w:val="center"/>
                        <w:rPr>
                          <w:rFonts w:ascii="Arial" w:hAnsi="Arial" w:cs="Arial"/>
                          <w:b/>
                          <w:bCs/>
                          <w:color w:val="FFFFFF" w:themeColor="background1"/>
                          <w:sz w:val="36"/>
                          <w:szCs w:val="36"/>
                        </w:rPr>
                      </w:pPr>
                      <w:r w:rsidRPr="00652FF2">
                        <w:rPr>
                          <w:rFonts w:ascii="Arial" w:hAnsi="Arial" w:cs="Arial"/>
                          <w:b/>
                          <w:bCs/>
                          <w:color w:val="FFFFFF" w:themeColor="background1"/>
                          <w:sz w:val="36"/>
                          <w:szCs w:val="36"/>
                        </w:rPr>
                        <w:t>Nodokļu zaļināšana</w:t>
                      </w:r>
                    </w:p>
                  </w:txbxContent>
                </v:textbox>
                <w10:wrap type="square" anchorx="margin"/>
              </v:shape>
            </w:pict>
          </mc:Fallback>
        </mc:AlternateContent>
      </w:r>
      <w:r w:rsidRPr="005A322C">
        <w:rPr>
          <w:rFonts w:ascii="Calibri" w:hAnsi="Calibri" w:cs="Times New Roman"/>
          <w:b/>
          <w:i/>
          <w:sz w:val="28"/>
          <w:szCs w:val="28"/>
          <w:u w:val="single"/>
        </w:rPr>
        <w:t>Esošā situācija</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Latvijas nodokļu sistēmu uz 2019.gadu veido 14 nodokļi, no kuriem 7 iekļaujas vides vai enerģētikas nodokļu grupā: akcīzes nodoklis, PVN, elektroenerģijas nodoklis, TEN, DRN, muitas nodoklis, subsidētās elektroenerģijas nodoklis.</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2018.gadā no akcīzes nodokļa par naftas produktiem kopējie ieņēmumi Latvijā bija 539,6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bet par dabasgāzi – 22,0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ieņēmumi no elektroenerģijas nodokļa 2018.gadā bija 5,0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no TEN – 94,3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no uzņēmumu vieglo transportlīdzekļu nodokļa – 21,5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no subsidētās elektroenerģijas nodokļa – 5,3 </w:t>
      </w:r>
      <w:proofErr w:type="spellStart"/>
      <w:r w:rsidRPr="00E2491C">
        <w:rPr>
          <w:rFonts w:ascii="Calibri" w:hAnsi="Calibri" w:cs="Times New Roman"/>
          <w:szCs w:val="24"/>
        </w:rPr>
        <w:t>milj.EUR</w:t>
      </w:r>
      <w:proofErr w:type="spellEnd"/>
      <w:r w:rsidRPr="00E2491C">
        <w:rPr>
          <w:rFonts w:ascii="Calibri" w:hAnsi="Calibri" w:cs="Times New Roman"/>
          <w:szCs w:val="24"/>
        </w:rPr>
        <w:t xml:space="preserve">, un no DRN – 30,1 </w:t>
      </w:r>
      <w:proofErr w:type="spellStart"/>
      <w:r w:rsidRPr="00E2491C">
        <w:rPr>
          <w:rFonts w:ascii="Calibri" w:hAnsi="Calibri" w:cs="Times New Roman"/>
          <w:szCs w:val="24"/>
        </w:rPr>
        <w:t>milj.EUR</w:t>
      </w:r>
      <w:proofErr w:type="spellEnd"/>
      <w:r w:rsidRPr="00E2491C">
        <w:rPr>
          <w:rStyle w:val="FootnoteReference"/>
          <w:rFonts w:ascii="Calibri" w:hAnsi="Calibri" w:cs="Times New Roman"/>
          <w:szCs w:val="24"/>
        </w:rPr>
        <w:footnoteReference w:id="1"/>
      </w:r>
      <w:r w:rsidRPr="00E2491C">
        <w:rPr>
          <w:rFonts w:ascii="Calibri" w:hAnsi="Calibri" w:cs="Times New Roman"/>
          <w:szCs w:val="24"/>
        </w:rPr>
        <w:t xml:space="preserve">. Tātad kopumā ar enerģijas patēriņu un SEG emisiju radīšanu tiešā veidā saistīto nodokļu ieņēmumu 2018.gadā bija 717,8 </w:t>
      </w:r>
      <w:proofErr w:type="spellStart"/>
      <w:r w:rsidRPr="00E2491C">
        <w:rPr>
          <w:rFonts w:ascii="Calibri" w:hAnsi="Calibri" w:cs="Times New Roman"/>
          <w:szCs w:val="24"/>
        </w:rPr>
        <w:t>milj.EUR</w:t>
      </w:r>
      <w:proofErr w:type="spellEnd"/>
      <w:r w:rsidRPr="00E2491C">
        <w:rPr>
          <w:rFonts w:ascii="Calibri" w:hAnsi="Calibri" w:cs="Times New Roman"/>
          <w:szCs w:val="24"/>
        </w:rPr>
        <w:t>, kas ir apmēram 8% kopbudžeta ieņēmumiem. Savukārt ieņēmumu no PVN, kas saistīti ar enerģijas ražošanu un izmantošanu nav iespējams izdalīt no kopējiem PVN ieņēmumiem.</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Šobrīd spēkā ir iepriekšminēto nodokļu atvieglojumi / atbrīvojumi no nodokļu maksāšanas vai tiek piemērotas dažādas nodokļa likmes (skatīt informāciju par enerģijas subsīdijām).</w:t>
      </w:r>
    </w:p>
    <w:p w:rsidR="00E94C91" w:rsidRPr="00652FF2" w:rsidRDefault="00E94C91" w:rsidP="005A322C">
      <w:pPr>
        <w:shd w:val="clear" w:color="auto" w:fill="E7E6E6" w:themeFill="background2"/>
        <w:spacing w:before="120" w:after="120" w:line="240" w:lineRule="auto"/>
        <w:rPr>
          <w:rFonts w:ascii="Calibri" w:hAnsi="Calibri" w:cs="Times New Roman"/>
          <w:b/>
          <w:sz w:val="28"/>
          <w:szCs w:val="28"/>
          <w:u w:val="single"/>
        </w:rPr>
      </w:pPr>
      <w:r w:rsidRPr="00652FF2">
        <w:rPr>
          <w:rFonts w:ascii="Calibri" w:hAnsi="Calibri" w:cs="Times New Roman"/>
          <w:b/>
          <w:sz w:val="28"/>
          <w:szCs w:val="28"/>
          <w:u w:val="single"/>
        </w:rPr>
        <w:t>Vēlamā situācija 2030.gadam:</w:t>
      </w:r>
    </w:p>
    <w:p w:rsidR="00E94C91" w:rsidRPr="00E2491C" w:rsidRDefault="00E94C91"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Nodokļu sistēmas ietvaros pēc būtības tiek īstenots “piesārņotājs maksā” princips un lielākajiem SEG emisiju radītājiem tiek piemērots lielākais nodokļu slogs;</w:t>
      </w:r>
    </w:p>
    <w:p w:rsidR="00E94C91" w:rsidRPr="00E2491C" w:rsidRDefault="00E94C91"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Nodokļi tiek piemēroti atbilstoši radītajam SEG emisiju avotam un atbilstoši lielākajam energoresursu un enerģijas patēriņam;</w:t>
      </w:r>
    </w:p>
    <w:p w:rsidR="00E94C91" w:rsidRPr="00E2491C" w:rsidRDefault="00E94C91"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Pēc būtības ir pilnībā samazināts enerģijas subsīdiju apjoms un nodokļu atbrīvojumi vairs netiek piemēroti;</w:t>
      </w:r>
    </w:p>
    <w:p w:rsidR="00E94C91" w:rsidRPr="00E2491C" w:rsidRDefault="00E94C91" w:rsidP="005A322C">
      <w:pPr>
        <w:pStyle w:val="ListParagraph"/>
        <w:numPr>
          <w:ilvl w:val="0"/>
          <w:numId w:val="2"/>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Nodokļu atvieglojumi tiek piešķirti kā apbalvojums par veiktajiem energoefektivitātes uzlabošanas vai AER tehnoloģiju izmantošanas pasākumu veicējiem, vai īslaicīgi – lai veicinātu SEG emisiju samazināšanas pasākumu īstenošanu.</w:t>
      </w:r>
    </w:p>
    <w:p w:rsidR="00E94C91" w:rsidRPr="00652FF2" w:rsidRDefault="00E94C91" w:rsidP="005A322C">
      <w:pPr>
        <w:shd w:val="clear" w:color="auto" w:fill="E7E6E6" w:themeFill="background2"/>
        <w:spacing w:before="120" w:after="120" w:line="240" w:lineRule="auto"/>
        <w:rPr>
          <w:rFonts w:ascii="Calibri" w:hAnsi="Calibri" w:cs="Times New Roman"/>
          <w:b/>
          <w:sz w:val="28"/>
          <w:szCs w:val="28"/>
          <w:u w:val="single"/>
        </w:rPr>
      </w:pPr>
      <w:r w:rsidRPr="00652FF2">
        <w:rPr>
          <w:rFonts w:ascii="Calibri" w:hAnsi="Calibri" w:cs="Times New Roman"/>
          <w:b/>
          <w:sz w:val="28"/>
          <w:szCs w:val="28"/>
          <w:u w:val="single"/>
        </w:rPr>
        <w:t>Ieguvumi sabiedrībai un tautsaimniecībai:</w:t>
      </w:r>
    </w:p>
    <w:p w:rsidR="00E94C91" w:rsidRPr="00E2491C" w:rsidRDefault="00E94C91" w:rsidP="005A322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 xml:space="preserve">Ar nodokļu pasākumiem veicināts fosilās enerģijas samazinājums un veicināta pāreja un ne-emisiju energoresursu izmantošanu, kā rezultātā nodrošināta </w:t>
      </w:r>
      <w:r w:rsidR="00ED2D95">
        <w:rPr>
          <w:rFonts w:ascii="Calibri" w:hAnsi="Calibri" w:cs="Times New Roman"/>
          <w:i/>
          <w:szCs w:val="24"/>
        </w:rPr>
        <w:t>g</w:t>
      </w:r>
      <w:r w:rsidRPr="00E2491C">
        <w:rPr>
          <w:rFonts w:ascii="Calibri" w:hAnsi="Calibri" w:cs="Times New Roman"/>
          <w:i/>
          <w:szCs w:val="24"/>
        </w:rPr>
        <w:t>aisa kvalitātes uzlabošanās;</w:t>
      </w:r>
    </w:p>
    <w:p w:rsidR="00E94C91" w:rsidRPr="00E2491C" w:rsidRDefault="00E94C91" w:rsidP="005A322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szCs w:val="24"/>
        </w:rPr>
      </w:pPr>
      <w:r w:rsidRPr="00E2491C">
        <w:rPr>
          <w:rFonts w:ascii="Calibri" w:hAnsi="Calibri" w:cs="Times New Roman"/>
          <w:i/>
          <w:szCs w:val="24"/>
        </w:rPr>
        <w:t>Samazināta fosilo energoresursu patēriņa un AER tehnoloģiju izmantošanas būtiska attīstības rezultātā samazinātas energoresursu izmaksas;</w:t>
      </w:r>
    </w:p>
    <w:p w:rsidR="00E94C91" w:rsidRPr="00E2491C" w:rsidRDefault="00E94C91" w:rsidP="005A322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szCs w:val="24"/>
        </w:rPr>
      </w:pPr>
      <w:r w:rsidRPr="00E2491C">
        <w:rPr>
          <w:rFonts w:ascii="Calibri" w:hAnsi="Calibri" w:cs="Times New Roman"/>
          <w:i/>
          <w:szCs w:val="24"/>
        </w:rPr>
        <w:t>Nodokļu sloga nepalielināšanās nekustamajam īpašumam energoefektivitātes pasākumu veikšanas vai AER tehnoloģiju uzstādīšanas rezultātā;</w:t>
      </w:r>
    </w:p>
    <w:p w:rsidR="00E94C91" w:rsidRPr="00E2491C" w:rsidRDefault="00E94C91" w:rsidP="005A322C">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E2491C">
        <w:rPr>
          <w:rFonts w:ascii="Calibri" w:hAnsi="Calibri" w:cs="Times New Roman"/>
          <w:i/>
          <w:szCs w:val="24"/>
        </w:rPr>
        <w:t>Papildus finanšu līdzekļi valsts budžetā gan energoefektivitātes pasākumu veikšanas vai AER tehnoloģiju uzstādīšanas atbalstam, gan citiem pasākumiem.</w:t>
      </w:r>
    </w:p>
    <w:p w:rsidR="00E94C91" w:rsidRPr="00E2491C" w:rsidRDefault="00E94C91" w:rsidP="00E94C91">
      <w:pPr>
        <w:spacing w:before="120" w:after="120" w:line="240" w:lineRule="auto"/>
        <w:jc w:val="both"/>
        <w:rPr>
          <w:rFonts w:ascii="Calibri" w:hAnsi="Calibri" w:cs="Times New Roman"/>
          <w:sz w:val="8"/>
          <w:szCs w:val="8"/>
        </w:rPr>
      </w:pPr>
    </w:p>
    <w:p w:rsidR="00E94C91" w:rsidRPr="00906FB8" w:rsidRDefault="00E94C91" w:rsidP="00906FB8">
      <w:pPr>
        <w:spacing w:before="120" w:after="120" w:line="240" w:lineRule="auto"/>
        <w:jc w:val="both"/>
        <w:rPr>
          <w:rFonts w:ascii="Calibri" w:hAnsi="Calibri" w:cs="Times New Roman"/>
          <w:b/>
          <w:i/>
          <w:sz w:val="28"/>
          <w:szCs w:val="28"/>
          <w:u w:val="single"/>
        </w:rPr>
      </w:pPr>
      <w:bookmarkStart w:id="0" w:name="_Hlk18066173"/>
      <w:r w:rsidRPr="00906FB8">
        <w:rPr>
          <w:rFonts w:ascii="Calibri" w:hAnsi="Calibri" w:cs="Times New Roman"/>
          <w:b/>
          <w:i/>
          <w:sz w:val="28"/>
          <w:szCs w:val="28"/>
          <w:u w:val="single"/>
        </w:rPr>
        <w:t>Galvenie izaicinājumi</w:t>
      </w:r>
    </w:p>
    <w:bookmarkEnd w:id="0"/>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1) </w:t>
      </w:r>
      <w:r w:rsidRPr="00E2491C">
        <w:rPr>
          <w:rFonts w:ascii="Calibri" w:hAnsi="Calibri" w:cs="Times New Roman"/>
          <w:b/>
          <w:bCs/>
          <w:szCs w:val="24"/>
          <w:u w:val="single"/>
        </w:rPr>
        <w:t>Neefektīvas un ietekmi neatspoguļojošas</w:t>
      </w:r>
      <w:r w:rsidRPr="00E2491C">
        <w:rPr>
          <w:rFonts w:ascii="Calibri" w:hAnsi="Calibri" w:cs="Times New Roman"/>
          <w:szCs w:val="24"/>
          <w:u w:val="single"/>
        </w:rPr>
        <w:t xml:space="preserve"> diferencētas nodokļu </w:t>
      </w:r>
      <w:r w:rsidRPr="00E2491C">
        <w:rPr>
          <w:rFonts w:ascii="Calibri" w:hAnsi="Calibri" w:cs="Times New Roman"/>
          <w:b/>
          <w:bCs/>
          <w:szCs w:val="24"/>
          <w:u w:val="single"/>
        </w:rPr>
        <w:t>likmes</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No iepriekšminētajiem nodokļiem tieši akcīzes nodoklis par naftas produktu un dabasgāzes izmantošanu, DRN par CO</w:t>
      </w:r>
      <w:r w:rsidRPr="00E2491C">
        <w:rPr>
          <w:rFonts w:ascii="Calibri" w:hAnsi="Calibri" w:cs="Times New Roman"/>
          <w:szCs w:val="24"/>
          <w:vertAlign w:val="subscript"/>
        </w:rPr>
        <w:t>2</w:t>
      </w:r>
      <w:r w:rsidRPr="00E2491C">
        <w:rPr>
          <w:rFonts w:ascii="Calibri" w:hAnsi="Calibri" w:cs="Times New Roman"/>
          <w:szCs w:val="24"/>
        </w:rPr>
        <w:t xml:space="preserve"> emisijām un </w:t>
      </w:r>
      <w:r w:rsidR="004C3250">
        <w:rPr>
          <w:rFonts w:ascii="Calibri" w:hAnsi="Calibri" w:cs="Times New Roman"/>
          <w:szCs w:val="24"/>
        </w:rPr>
        <w:t>TEN</w:t>
      </w:r>
      <w:r w:rsidRPr="00E2491C">
        <w:rPr>
          <w:rFonts w:ascii="Calibri" w:hAnsi="Calibri" w:cs="Times New Roman"/>
          <w:szCs w:val="24"/>
        </w:rPr>
        <w:t xml:space="preserve"> ir galvenie nodokļi, kas pēc būtības var regulēt un ietekmēt energoresursu patēriņu. Tomēr, lai gan Latvijā energoresursu ražošanas un enerģijas patēriņam piemērotie nodokļi tiek regulāri pārskatīti un palielināti, tas nenodrošina energoresursu izmantošanas samazinājumu, jo pēdējos gados enerģijas gala patēriņš nepārtraukti pieaug.</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Lai gan ir noteikts, ka akcīzes nodokļa mērķis ir ierobežot to preču patēriņu, kas ir kaitīgas apkārtējai videi un cilvēkiem, tomēr pēc būtības akcīzes nodoklis netiek piemērots atbilstoši izmantotā energoresursa ietekmei uz klimata pārmaiņām. </w:t>
      </w:r>
      <w:r w:rsidR="004C3250">
        <w:rPr>
          <w:rFonts w:ascii="Calibri" w:hAnsi="Calibri" w:cs="Times New Roman"/>
          <w:szCs w:val="24"/>
        </w:rPr>
        <w:t>Neskatoties uz to</w:t>
      </w:r>
      <w:r w:rsidRPr="00E2491C">
        <w:rPr>
          <w:rFonts w:ascii="Calibri" w:hAnsi="Calibri" w:cs="Times New Roman"/>
          <w:szCs w:val="24"/>
        </w:rPr>
        <w:t>, ka tieši dīzeļdegviela ir galvenais naftas produkta veids izmantošanai transportā – gandrīz 73% no transportā izmantotā naftas produktu apjoma ir dīzeļdegvielas izmantojums</w:t>
      </w:r>
      <w:r w:rsidR="004C3250">
        <w:rPr>
          <w:rFonts w:ascii="Calibri" w:hAnsi="Calibri" w:cs="Times New Roman"/>
          <w:szCs w:val="24"/>
        </w:rPr>
        <w:t>, tieši n</w:t>
      </w:r>
      <w:r w:rsidR="004C3250" w:rsidRPr="00E2491C">
        <w:rPr>
          <w:rFonts w:ascii="Calibri" w:hAnsi="Calibri" w:cs="Times New Roman"/>
          <w:szCs w:val="24"/>
        </w:rPr>
        <w:t>aftas produktu akcīzes nodokļa likme visaugstākā ir auto benzīnam, bet dīzeļdegvielas akcīzes nodokļa likme ir gandrīz par 22% zemāka nekā benzīnam. Tajā pašā laikā auto benzīns ir ar mazāku SEG emisiju intensitāti nekā dīzeļdegviela</w:t>
      </w:r>
      <w:r w:rsidRPr="00E2491C">
        <w:rPr>
          <w:rFonts w:ascii="Calibri" w:hAnsi="Calibri" w:cs="Times New Roman"/>
          <w:szCs w:val="24"/>
        </w:rPr>
        <w:t>. Savukārt akcīzes nodokļa likme LPG ir par 35% zemāka nekā dabasgāzei (ja to izmanto kā degvielu), lai gan tieši dabasgāzes CO</w:t>
      </w:r>
      <w:r w:rsidRPr="00E2491C">
        <w:rPr>
          <w:rFonts w:ascii="Calibri" w:hAnsi="Calibri" w:cs="Times New Roman"/>
          <w:szCs w:val="24"/>
          <w:vertAlign w:val="subscript"/>
        </w:rPr>
        <w:t>2</w:t>
      </w:r>
      <w:r w:rsidRPr="00E2491C">
        <w:rPr>
          <w:rFonts w:ascii="Calibri" w:hAnsi="Calibri" w:cs="Times New Roman"/>
          <w:szCs w:val="24"/>
        </w:rPr>
        <w:t xml:space="preserve"> emisiju ietilpība ir par 25% mazāka nekā LPG.</w:t>
      </w:r>
    </w:p>
    <w:p w:rsidR="00E94C91" w:rsidRPr="00E2491C" w:rsidRDefault="004C3250" w:rsidP="00E94C91">
      <w:pPr>
        <w:spacing w:before="120" w:after="120" w:line="240" w:lineRule="auto"/>
        <w:jc w:val="both"/>
        <w:rPr>
          <w:rFonts w:ascii="Calibri" w:hAnsi="Calibri" w:cs="Times New Roman"/>
          <w:szCs w:val="24"/>
        </w:rPr>
      </w:pPr>
      <w:r>
        <w:rPr>
          <w:rFonts w:ascii="Calibri" w:hAnsi="Calibri" w:cs="Times New Roman"/>
          <w:szCs w:val="24"/>
        </w:rPr>
        <w:t>TEN</w:t>
      </w:r>
      <w:r w:rsidR="00E94C91" w:rsidRPr="00E2491C">
        <w:rPr>
          <w:rFonts w:ascii="Calibri" w:hAnsi="Calibri" w:cs="Times New Roman"/>
          <w:szCs w:val="24"/>
        </w:rPr>
        <w:t xml:space="preserve"> tiek piemērots, ņemot vērā katra konkrēta transportlīdzekļu veida CO</w:t>
      </w:r>
      <w:r w:rsidR="00E94C91" w:rsidRPr="00E2491C">
        <w:rPr>
          <w:rFonts w:ascii="Calibri" w:hAnsi="Calibri" w:cs="Times New Roman"/>
          <w:szCs w:val="24"/>
          <w:vertAlign w:val="subscript"/>
        </w:rPr>
        <w:t>2</w:t>
      </w:r>
      <w:r w:rsidR="00E94C91" w:rsidRPr="00E2491C">
        <w:rPr>
          <w:rFonts w:ascii="Calibri" w:hAnsi="Calibri" w:cs="Times New Roman"/>
          <w:szCs w:val="24"/>
        </w:rPr>
        <w:t xml:space="preserve"> emisiju intensitāti un motora tilpumu. Tomēr maksimālā CO</w:t>
      </w:r>
      <w:r w:rsidR="00E94C91" w:rsidRPr="00E2491C">
        <w:rPr>
          <w:rFonts w:ascii="Calibri" w:hAnsi="Calibri" w:cs="Times New Roman"/>
          <w:szCs w:val="24"/>
          <w:vertAlign w:val="subscript"/>
        </w:rPr>
        <w:t>2</w:t>
      </w:r>
      <w:r w:rsidR="00E94C91" w:rsidRPr="00E2491C">
        <w:rPr>
          <w:rFonts w:ascii="Calibri" w:hAnsi="Calibri" w:cs="Times New Roman"/>
          <w:szCs w:val="24"/>
        </w:rPr>
        <w:t xml:space="preserve"> emisiju intensitātes likme ir 1056 eiro transportlīdzekļiem ar motora tilpumu virs 3500 cm</w:t>
      </w:r>
      <w:r w:rsidR="00E94C91" w:rsidRPr="00E2491C">
        <w:rPr>
          <w:rFonts w:ascii="Calibri" w:hAnsi="Calibri" w:cs="Times New Roman"/>
          <w:szCs w:val="24"/>
          <w:vertAlign w:val="superscript"/>
        </w:rPr>
        <w:t>3</w:t>
      </w:r>
      <w:r w:rsidR="00E94C91" w:rsidRPr="00E2491C">
        <w:rPr>
          <w:rFonts w:ascii="Calibri" w:hAnsi="Calibri" w:cs="Times New Roman"/>
          <w:szCs w:val="24"/>
        </w:rPr>
        <w:t>, kas var sastādīt ļoti mazu īpatsvaru no auto iegādes vērtības.</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DRN par CO</w:t>
      </w:r>
      <w:r w:rsidRPr="00E2491C">
        <w:rPr>
          <w:rFonts w:ascii="Calibri" w:hAnsi="Calibri" w:cs="Times New Roman"/>
          <w:szCs w:val="24"/>
          <w:vertAlign w:val="subscript"/>
        </w:rPr>
        <w:t>2</w:t>
      </w:r>
      <w:r w:rsidRPr="00E2491C">
        <w:rPr>
          <w:rFonts w:ascii="Calibri" w:hAnsi="Calibri" w:cs="Times New Roman"/>
          <w:szCs w:val="24"/>
        </w:rPr>
        <w:t xml:space="preserve"> emisijām šobrīd ir 4,5 </w:t>
      </w:r>
      <w:r w:rsidRPr="00E2491C">
        <w:rPr>
          <w:rFonts w:ascii="Calibri" w:hAnsi="Calibri" w:cs="Times New Roman"/>
          <w:i/>
          <w:iCs/>
          <w:szCs w:val="24"/>
        </w:rPr>
        <w:t>eiro</w:t>
      </w:r>
      <w:r w:rsidRPr="00E2491C">
        <w:rPr>
          <w:rFonts w:ascii="Calibri" w:hAnsi="Calibri" w:cs="Times New Roman"/>
          <w:szCs w:val="24"/>
        </w:rPr>
        <w:t xml:space="preserve"> par CO</w:t>
      </w:r>
      <w:r w:rsidRPr="00E2491C">
        <w:rPr>
          <w:rFonts w:ascii="Calibri" w:hAnsi="Calibri" w:cs="Times New Roman"/>
          <w:szCs w:val="24"/>
          <w:vertAlign w:val="subscript"/>
        </w:rPr>
        <w:t>2</w:t>
      </w:r>
      <w:r w:rsidRPr="00E2491C">
        <w:rPr>
          <w:rFonts w:ascii="Calibri" w:hAnsi="Calibri" w:cs="Times New Roman"/>
          <w:szCs w:val="24"/>
        </w:rPr>
        <w:t xml:space="preserve"> emisiju tonnu, lai gan ES ETS ietvaros emisijas kvotas cena svārstās no 25 EUR par emisijas kvotu līdz 30 EUR par kvotu (CO</w:t>
      </w:r>
      <w:r w:rsidRPr="00E2491C">
        <w:rPr>
          <w:rFonts w:ascii="Calibri" w:hAnsi="Calibri" w:cs="Times New Roman"/>
          <w:szCs w:val="24"/>
          <w:vertAlign w:val="subscript"/>
        </w:rPr>
        <w:t>2</w:t>
      </w:r>
      <w:r w:rsidRPr="00E2491C">
        <w:rPr>
          <w:rFonts w:ascii="Calibri" w:hAnsi="Calibri" w:cs="Times New Roman"/>
          <w:szCs w:val="24"/>
        </w:rPr>
        <w:t xml:space="preserve"> emisiju tonnu).</w:t>
      </w:r>
    </w:p>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2) Enerģētikas un SEG emisiju avotiem piemērotie </w:t>
      </w:r>
      <w:r w:rsidRPr="00E2491C">
        <w:rPr>
          <w:rFonts w:ascii="Calibri" w:hAnsi="Calibri" w:cs="Times New Roman"/>
          <w:b/>
          <w:bCs/>
          <w:szCs w:val="24"/>
          <w:u w:val="single"/>
        </w:rPr>
        <w:t>nodokļu atvieglojumi un atbrīvojumi</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Akcīzes nodoklis netiek piemērots ogļu, </w:t>
      </w:r>
      <w:proofErr w:type="spellStart"/>
      <w:r w:rsidRPr="00E2491C">
        <w:rPr>
          <w:rFonts w:ascii="Calibri" w:hAnsi="Calibri" w:cs="Times New Roman"/>
          <w:szCs w:val="24"/>
        </w:rPr>
        <w:t>lignīta</w:t>
      </w:r>
      <w:proofErr w:type="spellEnd"/>
      <w:r w:rsidRPr="00E2491C">
        <w:rPr>
          <w:rFonts w:ascii="Calibri" w:hAnsi="Calibri" w:cs="Times New Roman"/>
          <w:szCs w:val="24"/>
        </w:rPr>
        <w:t>, brūnogļu, kūdras izmantošanai, jo dažiem minētā energoresursu izmantošanas veidiem tiek piemērots DRN.</w:t>
      </w:r>
    </w:p>
    <w:p w:rsidR="00E94C91" w:rsidRPr="00E2491C" w:rsidRDefault="00E94C91" w:rsidP="00E94C91">
      <w:pPr>
        <w:spacing w:before="120" w:after="120" w:line="240" w:lineRule="auto"/>
        <w:jc w:val="both"/>
        <w:rPr>
          <w:rFonts w:ascii="Calibri" w:hAnsi="Calibri"/>
          <w:szCs w:val="24"/>
        </w:rPr>
      </w:pPr>
      <w:r w:rsidRPr="00E2491C">
        <w:rPr>
          <w:rFonts w:ascii="Calibri" w:hAnsi="Calibri"/>
          <w:szCs w:val="24"/>
        </w:rPr>
        <w:t>DRN par oglekļa dioksīda emisijām netiek piemērots:</w:t>
      </w:r>
    </w:p>
    <w:p w:rsidR="00E94C91" w:rsidRPr="00E2491C" w:rsidRDefault="00E94C91" w:rsidP="00E94C91">
      <w:pPr>
        <w:pStyle w:val="ListParagraph"/>
        <w:numPr>
          <w:ilvl w:val="0"/>
          <w:numId w:val="3"/>
        </w:numPr>
        <w:spacing w:before="120" w:after="120" w:line="240" w:lineRule="auto"/>
        <w:ind w:left="454" w:hanging="454"/>
        <w:contextualSpacing w:val="0"/>
        <w:jc w:val="both"/>
        <w:rPr>
          <w:rFonts w:ascii="Calibri" w:hAnsi="Calibri"/>
          <w:szCs w:val="24"/>
        </w:rPr>
      </w:pPr>
      <w:r w:rsidRPr="00E2491C">
        <w:rPr>
          <w:rFonts w:ascii="Calibri" w:hAnsi="Calibri"/>
          <w:szCs w:val="24"/>
        </w:rPr>
        <w:t>iekārtām, kuras ir iekļautas ES ETS (iekārtas ar uzstādīto nominālo siltuma jaudu &gt; 20MW);</w:t>
      </w:r>
    </w:p>
    <w:p w:rsidR="00E94C91" w:rsidRPr="00E2491C" w:rsidRDefault="00E94C91" w:rsidP="00E94C91">
      <w:pPr>
        <w:pStyle w:val="ListParagraph"/>
        <w:numPr>
          <w:ilvl w:val="0"/>
          <w:numId w:val="3"/>
        </w:numPr>
        <w:spacing w:before="120" w:after="120" w:line="240" w:lineRule="auto"/>
        <w:ind w:left="454" w:hanging="454"/>
        <w:contextualSpacing w:val="0"/>
        <w:jc w:val="both"/>
        <w:rPr>
          <w:rFonts w:ascii="Calibri" w:hAnsi="Calibri"/>
          <w:szCs w:val="24"/>
        </w:rPr>
      </w:pPr>
      <w:r w:rsidRPr="00E2491C">
        <w:rPr>
          <w:rFonts w:ascii="Calibri" w:hAnsi="Calibri"/>
          <w:szCs w:val="24"/>
        </w:rPr>
        <w:t>biomasas un kūdras sadedzināšanai;</w:t>
      </w:r>
    </w:p>
    <w:p w:rsidR="00E94C91" w:rsidRPr="00E2491C" w:rsidRDefault="00E94C91" w:rsidP="00E94C91">
      <w:pPr>
        <w:pStyle w:val="ListParagraph"/>
        <w:numPr>
          <w:ilvl w:val="0"/>
          <w:numId w:val="3"/>
        </w:numPr>
        <w:spacing w:before="120" w:after="120" w:line="240" w:lineRule="auto"/>
        <w:ind w:left="454" w:hanging="454"/>
        <w:contextualSpacing w:val="0"/>
        <w:jc w:val="both"/>
        <w:rPr>
          <w:rFonts w:ascii="Calibri" w:hAnsi="Calibri"/>
          <w:szCs w:val="24"/>
        </w:rPr>
      </w:pPr>
      <w:r w:rsidRPr="00E2491C">
        <w:rPr>
          <w:rFonts w:ascii="Calibri" w:hAnsi="Calibri"/>
          <w:szCs w:val="24"/>
        </w:rPr>
        <w:t xml:space="preserve">Akmeņoglēm, koksam un </w:t>
      </w:r>
      <w:proofErr w:type="spellStart"/>
      <w:r w:rsidRPr="00E2491C">
        <w:rPr>
          <w:rFonts w:ascii="Calibri" w:hAnsi="Calibri"/>
          <w:szCs w:val="24"/>
        </w:rPr>
        <w:t>lignītam</w:t>
      </w:r>
      <w:proofErr w:type="spellEnd"/>
      <w:r w:rsidRPr="00E2491C">
        <w:rPr>
          <w:rFonts w:ascii="Calibri" w:hAnsi="Calibri"/>
          <w:szCs w:val="24"/>
        </w:rPr>
        <w:t xml:space="preserve"> (brūnoglēm), kuru izmanto elektroenerģijas ražošanai, kā arī siltumenerģijas un elektroenerģijas ražošanai koģenerācijas procesā;</w:t>
      </w:r>
    </w:p>
    <w:p w:rsidR="00E94C91" w:rsidRPr="00E2491C" w:rsidRDefault="00E94C91" w:rsidP="00E94C91">
      <w:pPr>
        <w:pStyle w:val="ListParagraph"/>
        <w:numPr>
          <w:ilvl w:val="0"/>
          <w:numId w:val="3"/>
        </w:numPr>
        <w:spacing w:before="120" w:after="120" w:line="240" w:lineRule="auto"/>
        <w:ind w:left="454" w:hanging="454"/>
        <w:contextualSpacing w:val="0"/>
        <w:jc w:val="both"/>
        <w:rPr>
          <w:rFonts w:ascii="Calibri" w:hAnsi="Calibri"/>
          <w:szCs w:val="24"/>
        </w:rPr>
      </w:pPr>
      <w:r w:rsidRPr="00E2491C">
        <w:rPr>
          <w:rFonts w:ascii="Calibri" w:hAnsi="Calibri"/>
          <w:szCs w:val="24"/>
        </w:rPr>
        <w:t xml:space="preserve">akmeņogļu, koksa un </w:t>
      </w:r>
      <w:proofErr w:type="spellStart"/>
      <w:r w:rsidRPr="00E2491C">
        <w:rPr>
          <w:rFonts w:ascii="Calibri" w:hAnsi="Calibri"/>
          <w:szCs w:val="24"/>
        </w:rPr>
        <w:t>lignīta</w:t>
      </w:r>
      <w:proofErr w:type="spellEnd"/>
      <w:r w:rsidRPr="00E2491C">
        <w:rPr>
          <w:rFonts w:ascii="Calibri" w:hAnsi="Calibri"/>
          <w:szCs w:val="24"/>
        </w:rPr>
        <w:t xml:space="preserve"> (brūnogles) realizēšanai, ja personai, kura veic šo realizāciju, ir licence elektroenerģijas ražošanai vai licence siltumenerģijas un elektroenerģijas ražošanai koģenerācijas procesā.</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TEN tiek piemērots, ņemot vērā katra konkrēta transportlīdzekļu veida CO</w:t>
      </w:r>
      <w:r w:rsidRPr="00E2491C">
        <w:rPr>
          <w:rFonts w:ascii="Calibri" w:hAnsi="Calibri" w:cs="Times New Roman"/>
          <w:szCs w:val="24"/>
          <w:vertAlign w:val="subscript"/>
        </w:rPr>
        <w:t>2</w:t>
      </w:r>
      <w:r w:rsidRPr="00E2491C">
        <w:rPr>
          <w:rFonts w:ascii="Calibri" w:hAnsi="Calibri" w:cs="Times New Roman"/>
          <w:szCs w:val="24"/>
        </w:rPr>
        <w:t xml:space="preserve"> emisiju intensitāti un motora tilpumu. Šis </w:t>
      </w:r>
      <w:proofErr w:type="spellStart"/>
      <w:r w:rsidRPr="00E2491C">
        <w:rPr>
          <w:rFonts w:ascii="Calibri" w:hAnsi="Calibri" w:cs="Times New Roman"/>
          <w:szCs w:val="24"/>
        </w:rPr>
        <w:t>piemērojums</w:t>
      </w:r>
      <w:proofErr w:type="spellEnd"/>
      <w:r w:rsidRPr="00E2491C">
        <w:rPr>
          <w:rFonts w:ascii="Calibri" w:hAnsi="Calibri" w:cs="Times New Roman"/>
          <w:szCs w:val="24"/>
        </w:rPr>
        <w:t xml:space="preserve"> attiecas tikai uz transportlīdzekļiem, kas pirmo reizi ir reģistrēti pēc 2008.gada 31.decembra, lai gan 72% no Latvijā 2017.gadā izmantotajiem transportlīdzekļiem ir reģistrēti pirms 2008.gada. </w:t>
      </w:r>
      <w:r w:rsidR="004C3250">
        <w:rPr>
          <w:rFonts w:ascii="Calibri" w:hAnsi="Calibri" w:cs="Times New Roman"/>
          <w:szCs w:val="24"/>
        </w:rPr>
        <w:t xml:space="preserve">Līdz ar to ir secināms, ka tieši šiem 72% TEN likmes ir būtiski atvieglotākas un mazākas. </w:t>
      </w:r>
      <w:r w:rsidRPr="00E2491C">
        <w:rPr>
          <w:rFonts w:ascii="Calibri" w:hAnsi="Calibri" w:cs="Times New Roman"/>
          <w:szCs w:val="24"/>
        </w:rPr>
        <w:t>TEN un uzņēmumu vieglo transportlīdzekļu nodokļa atvieglojumi 2017.gadā bija 14,3 milj. Ja atvieglojumu summa 2018.gadā ir līdzvērtīga, tad kopējie atvieglojumi būtu vairāk nekā 11% no nodokļu ieņēmumu summas.</w:t>
      </w:r>
    </w:p>
    <w:p w:rsidR="00AC3F81" w:rsidRDefault="00AC3F81" w:rsidP="00E94C91">
      <w:pPr>
        <w:spacing w:before="120" w:after="120" w:line="240" w:lineRule="auto"/>
        <w:jc w:val="both"/>
        <w:rPr>
          <w:rFonts w:ascii="Calibri" w:hAnsi="Calibri" w:cs="Times New Roman"/>
          <w:szCs w:val="24"/>
          <w:u w:val="single"/>
        </w:rPr>
      </w:pPr>
    </w:p>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3) Nodokļu sistēma </w:t>
      </w:r>
      <w:r w:rsidRPr="00E2491C">
        <w:rPr>
          <w:rFonts w:ascii="Calibri" w:hAnsi="Calibri" w:cs="Times New Roman"/>
          <w:b/>
          <w:bCs/>
          <w:szCs w:val="24"/>
          <w:u w:val="single"/>
        </w:rPr>
        <w:t>neveicina pasākumu īstenošanu</w:t>
      </w:r>
    </w:p>
    <w:p w:rsidR="00E94C91"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Šobrīd siltumenerģijas patēriņam ir </w:t>
      </w:r>
      <w:r w:rsidR="004C3250">
        <w:rPr>
          <w:rFonts w:ascii="Calibri" w:hAnsi="Calibri" w:cs="Times New Roman"/>
          <w:szCs w:val="24"/>
        </w:rPr>
        <w:t>noteikta</w:t>
      </w:r>
      <w:r w:rsidRPr="00E2491C">
        <w:rPr>
          <w:rFonts w:ascii="Calibri" w:hAnsi="Calibri" w:cs="Times New Roman"/>
          <w:szCs w:val="24"/>
        </w:rPr>
        <w:t xml:space="preserve"> samazinātā PVN likme, tādējādi samazinot iespējamos izdevumus sabiedrībai par siltumapgādi. Tāpat mājsaimniecības ir atbrīvotas no elektroenerģijas nodokļa maksāšanas. Savukārt tiem, kas ir veikuši energoefektivitātes uzlabošanas pasākumus vai uzstādījuši ne-emisiju AER tehnoloģijas uz tā pamata harmonizētā veidā netiek piešķirti nodokļu atvieglojumi vai atbrīvojumi, piemēram, samazināta NĪN likme vai IIN atmaksa. Tāpat arī šādiem pasākumiem nevienā no tā īstenošanas posmiem netiek piemērota PVN samazinātā likme. Energoefektivitātes uzlabošanas pasākumu īstenošanas vai ne-emisiju AER tehnoloģiju uzstādīšanas gadījumā pasākuma veicēja īpašumam var tikt palielināta kadastrālā vērtība, kā rezultātā NĪN pat varētu tikt palielināts.</w:t>
      </w:r>
    </w:p>
    <w:p w:rsidR="00E94C91" w:rsidRPr="00E2491C" w:rsidRDefault="00E94C91" w:rsidP="00E94C91">
      <w:pPr>
        <w:spacing w:after="0" w:line="240" w:lineRule="auto"/>
        <w:jc w:val="both"/>
        <w:rPr>
          <w:rFonts w:ascii="Calibri" w:hAnsi="Calibri" w:cs="Times New Roman"/>
          <w:i/>
          <w:sz w:val="4"/>
          <w:szCs w:val="4"/>
        </w:rPr>
      </w:pPr>
    </w:p>
    <w:p w:rsidR="00E94C91" w:rsidRPr="00E2491C" w:rsidRDefault="00E94C91" w:rsidP="00906FB8">
      <w:pPr>
        <w:shd w:val="clear" w:color="auto" w:fill="E7E6E6" w:themeFill="background2"/>
        <w:spacing w:before="120" w:after="120" w:line="240" w:lineRule="auto"/>
        <w:rPr>
          <w:rFonts w:ascii="Calibri" w:hAnsi="Calibri" w:cs="Times New Roman"/>
          <w:b/>
          <w:i/>
          <w:iCs/>
          <w:szCs w:val="24"/>
        </w:rPr>
      </w:pPr>
      <w:r w:rsidRPr="00E2491C">
        <w:rPr>
          <w:rFonts w:ascii="Calibri" w:hAnsi="Calibri" w:cs="Times New Roman"/>
          <w:b/>
          <w:i/>
          <w:iCs/>
          <w:sz w:val="28"/>
          <w:szCs w:val="28"/>
        </w:rPr>
        <w:t xml:space="preserve">Galvenais rīcības virziens </w:t>
      </w:r>
      <w:r w:rsidR="00D92F55" w:rsidRPr="00D92F55">
        <w:rPr>
          <w:rFonts w:ascii="Calibri" w:hAnsi="Calibri" w:cs="Times New Roman"/>
          <w:b/>
          <w:i/>
          <w:iCs/>
          <w:sz w:val="22"/>
        </w:rPr>
        <w:t>(11. rīcības virziens)</w:t>
      </w:r>
    </w:p>
    <w:p w:rsidR="00E94C91" w:rsidRPr="00E2491C" w:rsidRDefault="00E94C91" w:rsidP="00906FB8">
      <w:pPr>
        <w:shd w:val="clear" w:color="auto" w:fill="E7E6E6" w:themeFill="background2"/>
        <w:spacing w:before="120" w:after="120" w:line="240" w:lineRule="auto"/>
        <w:jc w:val="both"/>
        <w:rPr>
          <w:rFonts w:ascii="Calibri" w:hAnsi="Calibri" w:cs="Times New Roman"/>
          <w:b/>
          <w:szCs w:val="24"/>
          <w:u w:val="single"/>
        </w:rPr>
      </w:pPr>
      <w:r w:rsidRPr="00E2491C">
        <w:rPr>
          <w:rFonts w:ascii="Calibri" w:hAnsi="Calibri" w:cs="Times New Roman"/>
          <w:b/>
          <w:szCs w:val="24"/>
          <w:u w:val="single"/>
        </w:rPr>
        <w:t xml:space="preserve">Nodokļu sistēmas “zaļināšana” un pievilcīguma energoefektivitātei un AER tehnoloģijām uzlabošana </w:t>
      </w:r>
    </w:p>
    <w:p w:rsidR="00E94C91" w:rsidRDefault="00E94C91" w:rsidP="00E2491C">
      <w:pPr>
        <w:spacing w:before="120" w:after="120" w:line="240" w:lineRule="auto"/>
        <w:jc w:val="both"/>
        <w:rPr>
          <w:rFonts w:ascii="Calibri" w:hAnsi="Calibri" w:cs="Times New Roman"/>
          <w:sz w:val="8"/>
          <w:szCs w:val="8"/>
          <w:u w:val="single"/>
        </w:rPr>
      </w:pPr>
    </w:p>
    <w:p w:rsidR="00E94C91" w:rsidRPr="00906FB8" w:rsidRDefault="00E94C91" w:rsidP="00906FB8">
      <w:pPr>
        <w:spacing w:before="120" w:after="120" w:line="240" w:lineRule="auto"/>
        <w:jc w:val="both"/>
        <w:rPr>
          <w:rFonts w:ascii="Calibri" w:hAnsi="Calibri" w:cs="Times New Roman"/>
          <w:b/>
          <w:i/>
          <w:sz w:val="28"/>
          <w:szCs w:val="28"/>
          <w:u w:val="single"/>
        </w:rPr>
      </w:pPr>
      <w:r w:rsidRPr="00906FB8">
        <w:rPr>
          <w:rFonts w:ascii="Calibri" w:hAnsi="Calibri" w:cs="Times New Roman"/>
          <w:b/>
          <w:i/>
          <w:sz w:val="28"/>
          <w:szCs w:val="28"/>
          <w:u w:val="single"/>
        </w:rPr>
        <w:t>Galvenās rīcības un pasākumi</w:t>
      </w:r>
    </w:p>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1) Ar </w:t>
      </w:r>
      <w:r w:rsidRPr="00E2491C">
        <w:rPr>
          <w:rFonts w:ascii="Calibri" w:hAnsi="Calibri" w:cs="Times New Roman"/>
          <w:b/>
          <w:bCs/>
          <w:szCs w:val="24"/>
          <w:u w:val="single"/>
        </w:rPr>
        <w:t>nodokļu sloga nepalielināšanu</w:t>
      </w:r>
      <w:r w:rsidRPr="00E2491C">
        <w:rPr>
          <w:rFonts w:ascii="Calibri" w:hAnsi="Calibri" w:cs="Times New Roman"/>
          <w:szCs w:val="24"/>
          <w:u w:val="single"/>
        </w:rPr>
        <w:t xml:space="preserve"> motivēt pasākumu ieviešanu un veikšanu</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Galvenais pasākums, kā ar nodokļa sloga nepalielināšanu varētu veicināt energoefektivitātes uzlabošanas vai AER tehnoloģiju uzstādīšanas pasākumus, ir izvērtēt iespēju pārskatīt NĪN atvieglojumu nodokļu politikas pamatnostādņu un pašvaldību ietvaros, ņemot vērā arī </w:t>
      </w:r>
      <w:r w:rsidR="00D92F55">
        <w:rPr>
          <w:rFonts w:ascii="Calibri" w:hAnsi="Calibri" w:cs="Times New Roman"/>
          <w:szCs w:val="24"/>
        </w:rPr>
        <w:t>Plānā</w:t>
      </w:r>
      <w:r w:rsidRPr="00E2491C">
        <w:rPr>
          <w:rFonts w:ascii="Calibri" w:hAnsi="Calibri" w:cs="Times New Roman"/>
          <w:szCs w:val="24"/>
        </w:rPr>
        <w:t xml:space="preserve"> noteiktos rīcības virzienus attiecībā uz enerģētikas un klimata jomu, kā arī nodrošināt, ka uzlabotā īpašuma īpašniekiem pasākumu veikšanas rezultātā netiek paaugstināta tā kadastrālā vērtība, kas tiek izmantota nekustamā īpašuma nodokļa aprēķinā. Tādējādi pat, ja īpašuma kadastrālā vērtība tiktu paaugstināta, šī vērtība neietekmētu nekustamā īpašuma nodokļa aprēķinu.</w:t>
      </w:r>
      <w:r w:rsidRPr="00E2491C">
        <w:rPr>
          <w:rFonts w:ascii="Calibri" w:hAnsi="Calibri"/>
          <w:color w:val="1F497D"/>
        </w:rPr>
        <w:t xml:space="preserve"> </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Tiek izvirzīts </w:t>
      </w:r>
      <w:r w:rsidR="00D92F55">
        <w:rPr>
          <w:rFonts w:ascii="Calibri" w:hAnsi="Calibri" w:cs="Times New Roman"/>
          <w:szCs w:val="24"/>
        </w:rPr>
        <w:t xml:space="preserve">arī </w:t>
      </w:r>
      <w:r w:rsidRPr="00E2491C">
        <w:rPr>
          <w:rFonts w:ascii="Calibri" w:hAnsi="Calibri" w:cs="Times New Roman"/>
          <w:szCs w:val="24"/>
        </w:rPr>
        <w:t>pasākums uz noteiktu laiku piemērot samazinātu PVN likmi mājsaimniecībām tiem pakalpojumiem, kas attiecas uz energoefektivitātes uzlabošanas pakalpojumu saņemšanai un ne-emisiju tehnoloģiju uzstādīšanai.</w:t>
      </w:r>
    </w:p>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2) </w:t>
      </w:r>
      <w:r w:rsidRPr="00E2491C">
        <w:rPr>
          <w:rFonts w:ascii="Calibri" w:hAnsi="Calibri" w:cs="Times New Roman"/>
          <w:b/>
          <w:bCs/>
          <w:szCs w:val="24"/>
          <w:u w:val="single"/>
        </w:rPr>
        <w:t>“piesārņotājs maksā” principa pilnīga ieviešana</w:t>
      </w:r>
      <w:r w:rsidRPr="00E2491C">
        <w:rPr>
          <w:rFonts w:ascii="Calibri" w:hAnsi="Calibri" w:cs="Times New Roman"/>
          <w:szCs w:val="24"/>
          <w:u w:val="single"/>
        </w:rPr>
        <w:t xml:space="preserve"> un fosilā kurināmā </w:t>
      </w:r>
      <w:r w:rsidRPr="00E2491C">
        <w:rPr>
          <w:rFonts w:ascii="Calibri" w:hAnsi="Calibri" w:cs="Times New Roman"/>
          <w:b/>
          <w:bCs/>
          <w:szCs w:val="24"/>
          <w:u w:val="single"/>
        </w:rPr>
        <w:t xml:space="preserve">subsīdiju </w:t>
      </w:r>
      <w:r w:rsidRPr="00E2491C">
        <w:rPr>
          <w:rFonts w:ascii="Calibri" w:hAnsi="Calibri" w:cs="Times New Roman"/>
          <w:szCs w:val="24"/>
          <w:u w:val="single"/>
        </w:rPr>
        <w:t>pakāpeniska</w:t>
      </w:r>
      <w:r w:rsidRPr="00E2491C">
        <w:rPr>
          <w:rFonts w:ascii="Calibri" w:hAnsi="Calibri" w:cs="Times New Roman"/>
          <w:b/>
          <w:bCs/>
          <w:szCs w:val="24"/>
          <w:u w:val="single"/>
        </w:rPr>
        <w:t xml:space="preserve"> pārtraukšana</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Galvenais pasākums fosilā kurināmā izmantošanas samazināšanai ir DRN par CO</w:t>
      </w:r>
      <w:r w:rsidRPr="00E2491C">
        <w:rPr>
          <w:rFonts w:ascii="Calibri" w:hAnsi="Calibri" w:cs="Times New Roman"/>
          <w:szCs w:val="24"/>
          <w:vertAlign w:val="subscript"/>
        </w:rPr>
        <w:t>2</w:t>
      </w:r>
      <w:r w:rsidRPr="00E2491C">
        <w:rPr>
          <w:rFonts w:ascii="Calibri" w:hAnsi="Calibri" w:cs="Times New Roman"/>
          <w:szCs w:val="24"/>
        </w:rPr>
        <w:t xml:space="preserve"> emisijām un gaisu piesārņojošo vielu emisijām un akmeņogļu, koksa un </w:t>
      </w:r>
      <w:proofErr w:type="spellStart"/>
      <w:r w:rsidRPr="00E2491C">
        <w:rPr>
          <w:rFonts w:ascii="Calibri" w:hAnsi="Calibri" w:cs="Times New Roman"/>
          <w:szCs w:val="24"/>
        </w:rPr>
        <w:t>lignīta</w:t>
      </w:r>
      <w:proofErr w:type="spellEnd"/>
      <w:r w:rsidRPr="00E2491C">
        <w:rPr>
          <w:rFonts w:ascii="Calibri" w:hAnsi="Calibri" w:cs="Times New Roman"/>
          <w:szCs w:val="24"/>
        </w:rPr>
        <w:t xml:space="preserve"> izmantošanu likmes, kā arī akcīzes nodokļa likmes </w:t>
      </w:r>
      <w:r w:rsidR="00D92F55">
        <w:rPr>
          <w:rFonts w:ascii="Calibri" w:hAnsi="Calibri" w:cs="Times New Roman"/>
          <w:szCs w:val="24"/>
        </w:rPr>
        <w:t xml:space="preserve">un tās piemērošanas nosacījumu </w:t>
      </w:r>
      <w:r w:rsidRPr="00E2491C">
        <w:rPr>
          <w:rFonts w:ascii="Calibri" w:hAnsi="Calibri" w:cs="Times New Roman"/>
          <w:szCs w:val="24"/>
        </w:rPr>
        <w:t xml:space="preserve">pārskatīšana kurināmajam. Tiek arī piedāvāts piemērot DRN likmi tām visu jaudu sadedzināšanas iekārtām, kurās tiek uzstādīti jauni </w:t>
      </w:r>
      <w:r w:rsidR="00D92F55">
        <w:rPr>
          <w:rFonts w:ascii="Calibri" w:hAnsi="Calibri" w:cs="Times New Roman"/>
          <w:szCs w:val="24"/>
        </w:rPr>
        <w:t>tikai fosilā kurināmā iekārtas</w:t>
      </w:r>
      <w:r w:rsidRPr="00E2491C">
        <w:rPr>
          <w:rFonts w:ascii="Calibri" w:hAnsi="Calibri" w:cs="Times New Roman"/>
          <w:szCs w:val="24"/>
        </w:rPr>
        <w:t>, izņemot, ja katls tiek uzstādīts rezerves un pīķa jaudu nodrošināšanai</w:t>
      </w:r>
      <w:r w:rsidR="00D92F55">
        <w:rPr>
          <w:rFonts w:ascii="Calibri" w:hAnsi="Calibri" w:cs="Times New Roman"/>
          <w:szCs w:val="24"/>
        </w:rPr>
        <w:t xml:space="preserve"> vai ja tiek veikta esošā katla nomaiņa uz efektīvāku un modernāku katlu</w:t>
      </w:r>
      <w:r w:rsidRPr="00E2491C">
        <w:rPr>
          <w:rFonts w:ascii="Calibri" w:hAnsi="Calibri" w:cs="Times New Roman"/>
          <w:szCs w:val="24"/>
        </w:rPr>
        <w:t>. Tāpat ir nepieciešams izvērtēt iespēju piemērot DRN arī sadedzināšanas iekārtām (izņemot mājsaimniecības) ar jaudu mazāku nekā 0,2MW.</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Nepieciešams arī pārskatīt un atcelt dažādus DRN atbrīvojumus un atvieglojumus kūdras izmantošanai un akmeņogļu, koksa un </w:t>
      </w:r>
      <w:proofErr w:type="spellStart"/>
      <w:r w:rsidRPr="00E2491C">
        <w:rPr>
          <w:rFonts w:ascii="Calibri" w:hAnsi="Calibri" w:cs="Times New Roman"/>
          <w:szCs w:val="24"/>
        </w:rPr>
        <w:t>lignīta</w:t>
      </w:r>
      <w:proofErr w:type="spellEnd"/>
      <w:r w:rsidRPr="00E2491C">
        <w:rPr>
          <w:rFonts w:ascii="Calibri" w:hAnsi="Calibri" w:cs="Times New Roman"/>
          <w:szCs w:val="24"/>
        </w:rPr>
        <w:t xml:space="preserve"> (brūnogles) izmantošanai elektroenerģijas ražošanai, kā arī akcīzes nodokļa atbrīvojumu siltumenerģijas un elektroenerģijas ražošanai koģenerācijas procesā.</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Tāpat tiek piedāvāts izveidot AER veicināšanas un energoefektivitātes uzlabošanas fondu, kurā tiktu novirzīti 25% no ienākumiem, kas iegūti no ar enerģētiku saistītām darbībām – akcīzes nodokļa un DRN, kas piemērots enerģijas ieguvei izmantotajam kurināmajam, lai gūtu līdzekļus pasākumu atbalstīšanai.</w:t>
      </w:r>
    </w:p>
    <w:p w:rsidR="00E94C91" w:rsidRPr="00E2491C" w:rsidRDefault="00E94C91" w:rsidP="00E94C91">
      <w:pPr>
        <w:spacing w:before="120" w:after="120" w:line="240" w:lineRule="auto"/>
        <w:jc w:val="both"/>
        <w:rPr>
          <w:rFonts w:ascii="Calibri" w:hAnsi="Calibri" w:cs="Times New Roman"/>
          <w:szCs w:val="24"/>
          <w:u w:val="single"/>
        </w:rPr>
      </w:pPr>
      <w:r w:rsidRPr="00E2491C">
        <w:rPr>
          <w:rFonts w:ascii="Calibri" w:hAnsi="Calibri" w:cs="Times New Roman"/>
          <w:szCs w:val="24"/>
          <w:u w:val="single"/>
        </w:rPr>
        <w:t xml:space="preserve">3) </w:t>
      </w:r>
      <w:r w:rsidRPr="00E2491C">
        <w:rPr>
          <w:rFonts w:ascii="Calibri" w:hAnsi="Calibri" w:cs="Times New Roman"/>
          <w:b/>
          <w:bCs/>
          <w:szCs w:val="24"/>
          <w:u w:val="single"/>
        </w:rPr>
        <w:t>transporta</w:t>
      </w:r>
      <w:r w:rsidRPr="00E2491C">
        <w:rPr>
          <w:rFonts w:ascii="Calibri" w:hAnsi="Calibri" w:cs="Times New Roman"/>
          <w:szCs w:val="24"/>
          <w:u w:val="single"/>
        </w:rPr>
        <w:t xml:space="preserve"> enerģijas un transportlīdzekļu izmantošanas </w:t>
      </w:r>
      <w:r w:rsidRPr="00E2491C">
        <w:rPr>
          <w:rFonts w:ascii="Calibri" w:hAnsi="Calibri" w:cs="Times New Roman"/>
          <w:b/>
          <w:bCs/>
          <w:szCs w:val="24"/>
          <w:u w:val="single"/>
        </w:rPr>
        <w:t>nodokļu pārskatīšana</w:t>
      </w:r>
    </w:p>
    <w:p w:rsidR="00E94C91" w:rsidRPr="00E2491C"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Ņemot vērā, ka transports ir lielākais energoresursu patērētājs un SEG emisiju avots Latvijā, tad ir nepieciešams aktīvi īstenot pasākumus tieši transporta darbībās, lai būtiski veicinātu transporta enerģijas izmantošanas samazināšanu un mazāku transportlīdzekļu izmantošanu. Tāpēc tiek piedāvāts izvērtēt iespēju paaugstināt akcīzes nodokļa likmes fosilajai degvielai, kā arī pārskatīt to piemērošanas nosacījumus – piemērot akcīzes nodokli, ņemot vērā konkrētās transporta enerģijas CO</w:t>
      </w:r>
      <w:r w:rsidRPr="00E2491C">
        <w:rPr>
          <w:rFonts w:ascii="Calibri" w:hAnsi="Calibri" w:cs="Times New Roman"/>
          <w:szCs w:val="24"/>
          <w:vertAlign w:val="subscript"/>
        </w:rPr>
        <w:t>2</w:t>
      </w:r>
      <w:r w:rsidRPr="00E2491C">
        <w:rPr>
          <w:rFonts w:ascii="Calibri" w:hAnsi="Calibri" w:cs="Times New Roman"/>
          <w:szCs w:val="24"/>
        </w:rPr>
        <w:t xml:space="preserve"> emisiju ietilpību (intensitāti). Tāpat tiek piedāvāts ieviest akcīzes nodokļa samazinātās likmes (pēc iespējas zemākas) biodegvielai (ilgtspējīgas pirmās paaudzes biodegvielas) vai modern</w:t>
      </w:r>
      <w:r w:rsidR="00D92F55">
        <w:rPr>
          <w:rFonts w:ascii="Calibri" w:hAnsi="Calibri" w:cs="Times New Roman"/>
          <w:szCs w:val="24"/>
        </w:rPr>
        <w:t>ām</w:t>
      </w:r>
      <w:r w:rsidRPr="00E2491C">
        <w:rPr>
          <w:rFonts w:ascii="Calibri" w:hAnsi="Calibri" w:cs="Times New Roman"/>
          <w:szCs w:val="24"/>
        </w:rPr>
        <w:t xml:space="preserve"> (alternatīvās) degviel</w:t>
      </w:r>
      <w:r w:rsidR="00D92F55">
        <w:rPr>
          <w:rFonts w:ascii="Calibri" w:hAnsi="Calibri" w:cs="Times New Roman"/>
          <w:szCs w:val="24"/>
        </w:rPr>
        <w:t xml:space="preserve">ām un biogāzei. Tiek arī piedāvāti vairāki nodokļu pasākumi, lai veicinātu </w:t>
      </w:r>
      <w:proofErr w:type="spellStart"/>
      <w:r w:rsidR="00D92F55">
        <w:rPr>
          <w:rFonts w:ascii="Calibri" w:hAnsi="Calibri" w:cs="Times New Roman"/>
          <w:szCs w:val="24"/>
        </w:rPr>
        <w:t>komerctransporta</w:t>
      </w:r>
      <w:proofErr w:type="spellEnd"/>
      <w:r w:rsidR="00D92F55">
        <w:rPr>
          <w:rFonts w:ascii="Calibri" w:hAnsi="Calibri" w:cs="Times New Roman"/>
          <w:szCs w:val="24"/>
        </w:rPr>
        <w:t xml:space="preserve"> ETL izmantošanu.</w:t>
      </w:r>
    </w:p>
    <w:p w:rsidR="00E94C91" w:rsidRDefault="00E94C91" w:rsidP="00E94C91">
      <w:pPr>
        <w:spacing w:before="120" w:after="120" w:line="240" w:lineRule="auto"/>
        <w:jc w:val="both"/>
        <w:rPr>
          <w:rFonts w:ascii="Calibri" w:hAnsi="Calibri" w:cs="Times New Roman"/>
          <w:szCs w:val="24"/>
        </w:rPr>
      </w:pPr>
      <w:r w:rsidRPr="00E2491C">
        <w:rPr>
          <w:rFonts w:ascii="Calibri" w:hAnsi="Calibri" w:cs="Times New Roman"/>
          <w:szCs w:val="24"/>
        </w:rPr>
        <w:t xml:space="preserve">Savukārt, lai samazinātu transportlīdzekļu (izņemot sabiedrisko) izmantošanu, tiek piedāvāts pārskatīt </w:t>
      </w:r>
      <w:r w:rsidR="00D92F55">
        <w:rPr>
          <w:rFonts w:ascii="Calibri" w:hAnsi="Calibri" w:cs="Times New Roman"/>
          <w:szCs w:val="24"/>
        </w:rPr>
        <w:t>TEN</w:t>
      </w:r>
      <w:r w:rsidRPr="00E2491C">
        <w:rPr>
          <w:rFonts w:ascii="Calibri" w:hAnsi="Calibri" w:cs="Times New Roman"/>
          <w:szCs w:val="24"/>
        </w:rPr>
        <w:t>, īpaši attiecībā uz liela tilpuma dzinēju un lielas CO</w:t>
      </w:r>
      <w:r w:rsidRPr="00E2491C">
        <w:rPr>
          <w:rFonts w:ascii="Calibri" w:hAnsi="Calibri" w:cs="Times New Roman"/>
          <w:szCs w:val="24"/>
          <w:vertAlign w:val="subscript"/>
        </w:rPr>
        <w:t>2</w:t>
      </w:r>
      <w:r w:rsidRPr="00E2491C">
        <w:rPr>
          <w:rFonts w:ascii="Calibri" w:hAnsi="Calibri" w:cs="Times New Roman"/>
          <w:szCs w:val="24"/>
        </w:rPr>
        <w:t xml:space="preserve"> emisiju ietilpības transportlīdzekļiem. Tāpat tiek piedāvāta iespēja atcelt elektroenerģijas nodok</w:t>
      </w:r>
      <w:r w:rsidR="00D92F55">
        <w:rPr>
          <w:rFonts w:ascii="Calibri" w:hAnsi="Calibri" w:cs="Times New Roman"/>
          <w:szCs w:val="24"/>
        </w:rPr>
        <w:t>li, ja elektroenerģija tiek izmantota ETL</w:t>
      </w:r>
      <w:r w:rsidRPr="00E2491C">
        <w:rPr>
          <w:rFonts w:ascii="Calibri" w:hAnsi="Calibri" w:cs="Times New Roman"/>
          <w:szCs w:val="24"/>
        </w:rPr>
        <w:t>.</w:t>
      </w:r>
      <w:r w:rsidR="00D92F55">
        <w:rPr>
          <w:rFonts w:ascii="Calibri" w:hAnsi="Calibri" w:cs="Times New Roman"/>
          <w:szCs w:val="24"/>
        </w:rPr>
        <w:t xml:space="preserve"> Kā arī tiek piedāvāta iespēja ieviest pirmreizēju transportlīdzekļu reģistrācijas nodokli, kas noteikts, ņemot vērā vieglā transportlīdzekļa CO2 emisiju ietilpību un auto parametrus.</w:t>
      </w:r>
    </w:p>
    <w:p w:rsidR="00E94C91" w:rsidRPr="00E2491C" w:rsidRDefault="00E94C91" w:rsidP="00906FB8">
      <w:pPr>
        <w:shd w:val="clear" w:color="auto" w:fill="E7E6E6" w:themeFill="background2"/>
        <w:spacing w:before="120" w:after="120" w:line="240" w:lineRule="auto"/>
        <w:jc w:val="both"/>
        <w:rPr>
          <w:rFonts w:ascii="Calibri" w:hAnsi="Calibri" w:cs="Times New Roman"/>
          <w:b/>
          <w:i/>
          <w:sz w:val="28"/>
          <w:szCs w:val="28"/>
        </w:rPr>
      </w:pPr>
      <w:bookmarkStart w:id="1" w:name="_Hlk18065984"/>
      <w:r w:rsidRPr="00E2491C">
        <w:rPr>
          <w:rFonts w:ascii="Calibri" w:hAnsi="Calibri" w:cs="Times New Roman"/>
          <w:b/>
          <w:i/>
          <w:sz w:val="28"/>
          <w:szCs w:val="28"/>
        </w:rPr>
        <w:t>Saistītie rīcības virzieni</w:t>
      </w:r>
    </w:p>
    <w:p w:rsidR="00E94C91" w:rsidRPr="00E2491C" w:rsidRDefault="00906FB8" w:rsidP="00906FB8">
      <w:pPr>
        <w:shd w:val="clear" w:color="auto" w:fill="E7E6E6" w:themeFill="background2"/>
        <w:spacing w:before="120" w:after="120" w:line="240" w:lineRule="auto"/>
        <w:jc w:val="both"/>
        <w:rPr>
          <w:rFonts w:ascii="Calibri" w:hAnsi="Calibri" w:cs="Times New Roman"/>
          <w:b/>
          <w:i/>
          <w:szCs w:val="24"/>
        </w:rPr>
      </w:pPr>
      <w:r>
        <w:rPr>
          <w:rFonts w:ascii="Calibri" w:hAnsi="Calibri" w:cs="Times New Roman"/>
          <w:bCs/>
          <w:iCs/>
          <w:szCs w:val="24"/>
        </w:rPr>
        <w:t>V</w:t>
      </w:r>
      <w:r w:rsidR="00E94C91" w:rsidRPr="00E2491C">
        <w:rPr>
          <w:rFonts w:ascii="Calibri" w:hAnsi="Calibri" w:cs="Times New Roman"/>
          <w:bCs/>
          <w:iCs/>
          <w:szCs w:val="24"/>
        </w:rPr>
        <w:t>isi NEKP iekļautie rīcības virzieni</w:t>
      </w:r>
    </w:p>
    <w:bookmarkEnd w:id="1"/>
    <w:p w:rsidR="00D82336" w:rsidRPr="00E2491C" w:rsidRDefault="001D4ED6">
      <w:pPr>
        <w:rPr>
          <w:rFonts w:ascii="Calibri" w:hAnsi="Calibri"/>
        </w:rPr>
      </w:pPr>
    </w:p>
    <w:sectPr w:rsidR="00D82336" w:rsidRPr="00E2491C" w:rsidSect="004C3250">
      <w:headerReference w:type="default" r:id="rId8"/>
      <w:footerReference w:type="first" r:id="rId9"/>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ED6" w:rsidRDefault="001D4ED6" w:rsidP="00E94C91">
      <w:pPr>
        <w:spacing w:after="0" w:line="240" w:lineRule="auto"/>
      </w:pPr>
      <w:r>
        <w:separator/>
      </w:r>
    </w:p>
  </w:endnote>
  <w:endnote w:type="continuationSeparator" w:id="0">
    <w:p w:rsidR="001D4ED6" w:rsidRDefault="001D4ED6" w:rsidP="00E9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86"/>
      <w:docPartObj>
        <w:docPartGallery w:val="Page Numbers (Bottom of Page)"/>
        <w:docPartUnique/>
      </w:docPartObj>
    </w:sdtPr>
    <w:sdtEndPr>
      <w:rPr>
        <w:noProof/>
      </w:rPr>
    </w:sdtEndPr>
    <w:sdtContent>
      <w:p w:rsidR="00AC3F81" w:rsidRDefault="00AC3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ED6" w:rsidRDefault="001D4ED6" w:rsidP="00E94C91">
      <w:pPr>
        <w:spacing w:after="0" w:line="240" w:lineRule="auto"/>
      </w:pPr>
      <w:r>
        <w:separator/>
      </w:r>
    </w:p>
  </w:footnote>
  <w:footnote w:type="continuationSeparator" w:id="0">
    <w:p w:rsidR="001D4ED6" w:rsidRDefault="001D4ED6" w:rsidP="00E94C91">
      <w:pPr>
        <w:spacing w:after="0" w:line="240" w:lineRule="auto"/>
      </w:pPr>
      <w:r>
        <w:continuationSeparator/>
      </w:r>
    </w:p>
  </w:footnote>
  <w:footnote w:id="1">
    <w:p w:rsidR="00E94C91" w:rsidRPr="002D2F0F" w:rsidRDefault="00E94C91" w:rsidP="00E94C91">
      <w:pPr>
        <w:pStyle w:val="FootnoteText"/>
      </w:pPr>
      <w:r w:rsidRPr="002D2F0F">
        <w:rPr>
          <w:rStyle w:val="FootnoteReference"/>
        </w:rPr>
        <w:footnoteRef/>
      </w:r>
      <w:r w:rsidRPr="002D2F0F">
        <w:t xml:space="preserve"> FM, VID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74022"/>
      <w:docPartObj>
        <w:docPartGallery w:val="Page Numbers (Top of Page)"/>
        <w:docPartUnique/>
      </w:docPartObj>
    </w:sdtPr>
    <w:sdtEndPr>
      <w:rPr>
        <w:noProof/>
      </w:rPr>
    </w:sdtEndPr>
    <w:sdtContent>
      <w:p w:rsidR="004C3250" w:rsidRDefault="004C32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2251D" w:rsidRDefault="0012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03C9"/>
    <w:multiLevelType w:val="hybridMultilevel"/>
    <w:tmpl w:val="C8A4B18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91"/>
    <w:rsid w:val="0012251D"/>
    <w:rsid w:val="001D4ED6"/>
    <w:rsid w:val="004C3250"/>
    <w:rsid w:val="004D03B5"/>
    <w:rsid w:val="005A322C"/>
    <w:rsid w:val="00631A9D"/>
    <w:rsid w:val="00652FF2"/>
    <w:rsid w:val="00781F67"/>
    <w:rsid w:val="007E7F5C"/>
    <w:rsid w:val="00906FB8"/>
    <w:rsid w:val="00A24279"/>
    <w:rsid w:val="00AC3F81"/>
    <w:rsid w:val="00AF2A0C"/>
    <w:rsid w:val="00B03338"/>
    <w:rsid w:val="00B573BB"/>
    <w:rsid w:val="00D66CF0"/>
    <w:rsid w:val="00D92F55"/>
    <w:rsid w:val="00DC72A9"/>
    <w:rsid w:val="00E2491C"/>
    <w:rsid w:val="00E816BF"/>
    <w:rsid w:val="00E94C91"/>
    <w:rsid w:val="00ED2D95"/>
    <w:rsid w:val="00F33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8DD96"/>
  <w15:chartTrackingRefBased/>
  <w15:docId w15:val="{94528306-8B12-4049-B7F1-E482923C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E94C91"/>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E94C91"/>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E94C91"/>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94C91"/>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E94C9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94C91"/>
    <w:rPr>
      <w:sz w:val="24"/>
    </w:rPr>
  </w:style>
  <w:style w:type="paragraph" w:styleId="Header">
    <w:name w:val="header"/>
    <w:basedOn w:val="Normal"/>
    <w:link w:val="HeaderChar"/>
    <w:uiPriority w:val="99"/>
    <w:unhideWhenUsed/>
    <w:rsid w:val="00122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1D"/>
    <w:rPr>
      <w:sz w:val="24"/>
    </w:rPr>
  </w:style>
  <w:style w:type="paragraph" w:styleId="Footer">
    <w:name w:val="footer"/>
    <w:basedOn w:val="Normal"/>
    <w:link w:val="FooterChar"/>
    <w:uiPriority w:val="99"/>
    <w:unhideWhenUsed/>
    <w:rsid w:val="00122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1D"/>
    <w:rPr>
      <w:sz w:val="24"/>
    </w:rPr>
  </w:style>
  <w:style w:type="character" w:styleId="CommentReference">
    <w:name w:val="annotation reference"/>
    <w:basedOn w:val="DefaultParagraphFont"/>
    <w:uiPriority w:val="99"/>
    <w:semiHidden/>
    <w:unhideWhenUsed/>
    <w:rsid w:val="007E7F5C"/>
    <w:rPr>
      <w:sz w:val="16"/>
      <w:szCs w:val="16"/>
    </w:rPr>
  </w:style>
  <w:style w:type="paragraph" w:styleId="CommentText">
    <w:name w:val="annotation text"/>
    <w:basedOn w:val="Normal"/>
    <w:link w:val="CommentTextChar"/>
    <w:uiPriority w:val="99"/>
    <w:semiHidden/>
    <w:unhideWhenUsed/>
    <w:rsid w:val="007E7F5C"/>
    <w:pPr>
      <w:spacing w:line="240" w:lineRule="auto"/>
    </w:pPr>
    <w:rPr>
      <w:sz w:val="20"/>
      <w:szCs w:val="20"/>
    </w:rPr>
  </w:style>
  <w:style w:type="character" w:customStyle="1" w:styleId="CommentTextChar">
    <w:name w:val="Comment Text Char"/>
    <w:basedOn w:val="DefaultParagraphFont"/>
    <w:link w:val="CommentText"/>
    <w:uiPriority w:val="99"/>
    <w:semiHidden/>
    <w:rsid w:val="007E7F5C"/>
    <w:rPr>
      <w:sz w:val="20"/>
      <w:szCs w:val="20"/>
    </w:rPr>
  </w:style>
  <w:style w:type="paragraph" w:styleId="CommentSubject">
    <w:name w:val="annotation subject"/>
    <w:basedOn w:val="CommentText"/>
    <w:next w:val="CommentText"/>
    <w:link w:val="CommentSubjectChar"/>
    <w:uiPriority w:val="99"/>
    <w:semiHidden/>
    <w:unhideWhenUsed/>
    <w:rsid w:val="007E7F5C"/>
    <w:rPr>
      <w:b/>
      <w:bCs/>
    </w:rPr>
  </w:style>
  <w:style w:type="character" w:customStyle="1" w:styleId="CommentSubjectChar">
    <w:name w:val="Comment Subject Char"/>
    <w:basedOn w:val="CommentTextChar"/>
    <w:link w:val="CommentSubject"/>
    <w:uiPriority w:val="99"/>
    <w:semiHidden/>
    <w:rsid w:val="007E7F5C"/>
    <w:rPr>
      <w:b/>
      <w:bCs/>
      <w:sz w:val="20"/>
      <w:szCs w:val="20"/>
    </w:rPr>
  </w:style>
  <w:style w:type="paragraph" w:styleId="BalloonText">
    <w:name w:val="Balloon Text"/>
    <w:basedOn w:val="Normal"/>
    <w:link w:val="BalloonTextChar"/>
    <w:uiPriority w:val="99"/>
    <w:semiHidden/>
    <w:unhideWhenUsed/>
    <w:rsid w:val="007E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F344-1920-4DC0-88F5-0B0CC20F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6655</Words>
  <Characters>3794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Agnete Ālere</cp:lastModifiedBy>
  <cp:revision>1</cp:revision>
  <dcterms:created xsi:type="dcterms:W3CDTF">2019-10-09T13:04:00Z</dcterms:created>
  <dcterms:modified xsi:type="dcterms:W3CDTF">2019-10-09T13:04:00Z</dcterms:modified>
</cp:coreProperties>
</file>