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hAnsiTheme="majorHAnsi"/>
          <w:b/>
          <w:i/>
          <w:lang w:val="lv-LV"/>
        </w:rPr>
        <w:id w:val="107030470"/>
        <w:docPartObj>
          <w:docPartGallery w:val="Cover Pages"/>
          <w:docPartUnique/>
        </w:docPartObj>
      </w:sdtPr>
      <w:sdtEndPr>
        <w:rPr>
          <w:b w:val="0"/>
          <w:i w:val="0"/>
        </w:rPr>
      </w:sdtEndPr>
      <w:sdtContent>
        <w:p w:rsidR="00E74642" w:rsidRPr="0019406C" w:rsidRDefault="00786CEC" w:rsidP="00BB46C6">
          <w:pPr>
            <w:tabs>
              <w:tab w:val="left" w:pos="1260"/>
            </w:tabs>
            <w:spacing w:line="276" w:lineRule="auto"/>
            <w:jc w:val="both"/>
            <w:rPr>
              <w:rFonts w:asciiTheme="majorHAnsi" w:hAnsiTheme="majorHAnsi"/>
              <w:sz w:val="16"/>
              <w:szCs w:val="16"/>
              <w:lang w:val="lv-LV"/>
            </w:rPr>
          </w:pPr>
          <w:r w:rsidRPr="0019406C">
            <w:rPr>
              <w:rFonts w:asciiTheme="majorHAnsi" w:hAnsiTheme="majorHAnsi"/>
              <w:sz w:val="16"/>
              <w:szCs w:val="16"/>
              <w:lang w:val="lv-LV"/>
            </w:rPr>
            <w:t xml:space="preserve"> </w:t>
          </w:r>
        </w:p>
        <w:p w:rsidR="00BF45B2" w:rsidRPr="0019406C" w:rsidRDefault="00BF45B2" w:rsidP="00BF45B2">
          <w:pPr>
            <w:spacing w:after="0"/>
            <w:jc w:val="center"/>
            <w:rPr>
              <w:rFonts w:asciiTheme="majorHAnsi" w:hAnsiTheme="majorHAnsi"/>
              <w:lang w:val="lv-LV"/>
            </w:rPr>
          </w:pPr>
        </w:p>
        <w:p w:rsidR="00BF45B2" w:rsidRPr="0019406C" w:rsidRDefault="00BF45B2" w:rsidP="00BF45B2">
          <w:pPr>
            <w:tabs>
              <w:tab w:val="left" w:pos="3818"/>
            </w:tabs>
            <w:spacing w:after="120"/>
            <w:jc w:val="center"/>
            <w:rPr>
              <w:rFonts w:asciiTheme="majorHAnsi" w:hAnsiTheme="majorHAnsi"/>
              <w:lang w:val="lv-LV"/>
            </w:rPr>
          </w:pPr>
        </w:p>
        <w:p w:rsidR="00BF45B2" w:rsidRPr="0019406C" w:rsidRDefault="00BF45B2" w:rsidP="00BF45B2">
          <w:pPr>
            <w:shd w:val="clear" w:color="auto" w:fill="FFFFFF"/>
            <w:jc w:val="center"/>
            <w:rPr>
              <w:rFonts w:asciiTheme="majorHAnsi" w:hAnsiTheme="majorHAnsi"/>
              <w:b/>
              <w:szCs w:val="24"/>
              <w:lang w:val="lv-LV"/>
            </w:rPr>
          </w:pPr>
        </w:p>
        <w:p w:rsidR="00BF45B2" w:rsidRPr="0019406C" w:rsidRDefault="00BF45B2" w:rsidP="00BF45B2">
          <w:pPr>
            <w:shd w:val="clear" w:color="auto" w:fill="FFFFFF"/>
            <w:jc w:val="center"/>
            <w:rPr>
              <w:rFonts w:asciiTheme="majorHAnsi" w:hAnsiTheme="majorHAnsi"/>
              <w:b/>
              <w:szCs w:val="24"/>
              <w:lang w:val="lv-LV"/>
            </w:rPr>
          </w:pPr>
        </w:p>
        <w:p w:rsidR="00BF45B2" w:rsidRPr="0019406C" w:rsidRDefault="00BF45B2" w:rsidP="00BF45B2">
          <w:pPr>
            <w:shd w:val="clear" w:color="auto" w:fill="FFFFFF"/>
            <w:jc w:val="center"/>
            <w:rPr>
              <w:rFonts w:asciiTheme="majorHAnsi" w:hAnsiTheme="majorHAnsi"/>
              <w:b/>
              <w:szCs w:val="24"/>
              <w:lang w:val="lv-LV"/>
            </w:rPr>
          </w:pPr>
        </w:p>
        <w:p w:rsidR="009B44FE" w:rsidRPr="0019406C" w:rsidRDefault="009B44FE" w:rsidP="00BF45B2">
          <w:pPr>
            <w:jc w:val="center"/>
            <w:rPr>
              <w:rFonts w:asciiTheme="majorHAnsi" w:hAnsiTheme="majorHAnsi"/>
              <w:b/>
              <w:sz w:val="36"/>
              <w:szCs w:val="36"/>
              <w:lang w:val="lv-LV"/>
            </w:rPr>
          </w:pPr>
        </w:p>
        <w:p w:rsidR="00BF45B2" w:rsidRPr="0019406C" w:rsidRDefault="001C62B8" w:rsidP="00BF45B2">
          <w:pPr>
            <w:jc w:val="center"/>
            <w:rPr>
              <w:rFonts w:asciiTheme="majorHAnsi" w:hAnsiTheme="majorHAnsi"/>
              <w:b/>
              <w:sz w:val="56"/>
              <w:szCs w:val="56"/>
              <w:lang w:val="lv-LV"/>
            </w:rPr>
          </w:pPr>
          <w:r w:rsidRPr="0019406C">
            <w:rPr>
              <w:rFonts w:asciiTheme="majorHAnsi" w:hAnsiTheme="majorHAnsi"/>
              <w:b/>
              <w:sz w:val="56"/>
              <w:szCs w:val="56"/>
              <w:lang w:val="lv-LV"/>
            </w:rPr>
            <w:t>Administratīv</w:t>
          </w:r>
          <w:r w:rsidR="00BB46C6" w:rsidRPr="0019406C">
            <w:rPr>
              <w:rFonts w:asciiTheme="majorHAnsi" w:hAnsiTheme="majorHAnsi"/>
              <w:b/>
              <w:sz w:val="56"/>
              <w:szCs w:val="56"/>
              <w:lang w:val="lv-LV"/>
            </w:rPr>
            <w:t>o</w:t>
          </w:r>
          <w:r w:rsidRPr="0019406C">
            <w:rPr>
              <w:rFonts w:asciiTheme="majorHAnsi" w:hAnsiTheme="majorHAnsi"/>
              <w:b/>
              <w:sz w:val="56"/>
              <w:szCs w:val="56"/>
              <w:lang w:val="lv-LV"/>
            </w:rPr>
            <w:t xml:space="preserve"> </w:t>
          </w:r>
          <w:r w:rsidR="00BB46C6" w:rsidRPr="0019406C">
            <w:rPr>
              <w:rFonts w:asciiTheme="majorHAnsi" w:hAnsiTheme="majorHAnsi"/>
              <w:b/>
              <w:sz w:val="56"/>
              <w:szCs w:val="56"/>
              <w:lang w:val="lv-LV"/>
            </w:rPr>
            <w:t>procedūru ietekme uz uzņēmējdarbības vidi</w:t>
          </w:r>
        </w:p>
        <w:p w:rsidR="00803B55" w:rsidRPr="0019406C" w:rsidRDefault="00803B55" w:rsidP="00BF45B2">
          <w:pPr>
            <w:jc w:val="center"/>
            <w:rPr>
              <w:rFonts w:asciiTheme="majorHAnsi" w:hAnsiTheme="majorHAnsi"/>
              <w:b/>
              <w:sz w:val="56"/>
              <w:szCs w:val="56"/>
              <w:lang w:val="lv-LV"/>
            </w:rPr>
          </w:pPr>
        </w:p>
        <w:p w:rsidR="003E16CF" w:rsidRPr="0019406C" w:rsidRDefault="00803B55" w:rsidP="00803B55">
          <w:pPr>
            <w:shd w:val="clear" w:color="auto" w:fill="FFFFFF"/>
            <w:jc w:val="center"/>
            <w:rPr>
              <w:rFonts w:asciiTheme="majorHAnsi" w:hAnsiTheme="majorHAnsi"/>
              <w:b/>
              <w:sz w:val="48"/>
              <w:szCs w:val="48"/>
              <w:u w:val="single"/>
              <w:lang w:val="lv-LV"/>
            </w:rPr>
          </w:pPr>
          <w:r w:rsidRPr="0019406C">
            <w:rPr>
              <w:rFonts w:asciiTheme="majorHAnsi" w:hAnsiTheme="majorHAnsi"/>
              <w:sz w:val="48"/>
              <w:szCs w:val="48"/>
              <w:lang w:val="lv-LV"/>
            </w:rPr>
            <w:t>Ziņojum</w:t>
          </w:r>
          <w:r w:rsidR="00B360A7">
            <w:rPr>
              <w:rFonts w:asciiTheme="majorHAnsi" w:hAnsiTheme="majorHAnsi"/>
              <w:sz w:val="48"/>
              <w:szCs w:val="48"/>
              <w:lang w:val="lv-LV"/>
            </w:rPr>
            <w:t>s</w:t>
          </w:r>
        </w:p>
        <w:p w:rsidR="0073171D" w:rsidRPr="0019406C" w:rsidRDefault="0073171D">
          <w:pPr>
            <w:rPr>
              <w:rFonts w:asciiTheme="majorHAnsi" w:hAnsiTheme="majorHAnsi"/>
              <w:sz w:val="40"/>
              <w:lang w:val="lv-LV"/>
            </w:rPr>
          </w:pPr>
        </w:p>
        <w:p w:rsidR="0073171D" w:rsidRPr="0019406C" w:rsidRDefault="0073171D">
          <w:pPr>
            <w:rPr>
              <w:rFonts w:asciiTheme="majorHAnsi" w:hAnsiTheme="majorHAnsi"/>
              <w:sz w:val="40"/>
              <w:lang w:val="lv-LV"/>
            </w:rPr>
          </w:pPr>
        </w:p>
        <w:p w:rsidR="0073171D" w:rsidRPr="0019406C" w:rsidRDefault="0073171D">
          <w:pPr>
            <w:rPr>
              <w:rFonts w:asciiTheme="majorHAnsi" w:hAnsiTheme="majorHAnsi"/>
              <w:sz w:val="40"/>
              <w:lang w:val="lv-LV"/>
            </w:rPr>
          </w:pPr>
        </w:p>
        <w:p w:rsidR="0073171D" w:rsidRPr="0019406C" w:rsidRDefault="0073171D">
          <w:pPr>
            <w:rPr>
              <w:rFonts w:asciiTheme="majorHAnsi" w:hAnsiTheme="majorHAnsi"/>
              <w:sz w:val="40"/>
              <w:lang w:val="lv-LV"/>
            </w:rPr>
          </w:pPr>
        </w:p>
        <w:p w:rsidR="0073171D" w:rsidRPr="0019406C" w:rsidRDefault="0073171D">
          <w:pPr>
            <w:rPr>
              <w:rFonts w:asciiTheme="majorHAnsi" w:hAnsiTheme="majorHAnsi"/>
              <w:sz w:val="40"/>
              <w:lang w:val="lv-LV"/>
            </w:rPr>
          </w:pPr>
        </w:p>
        <w:p w:rsidR="00EA5FD3" w:rsidRPr="0019406C" w:rsidRDefault="00EA5FD3">
          <w:pPr>
            <w:rPr>
              <w:rFonts w:asciiTheme="majorHAnsi" w:eastAsiaTheme="majorEastAsia" w:hAnsiTheme="majorHAnsi" w:cstheme="majorBidi"/>
              <w:b/>
              <w:i/>
              <w:spacing w:val="5"/>
              <w:kern w:val="28"/>
              <w:sz w:val="40"/>
              <w:szCs w:val="52"/>
              <w:lang w:val="lv-LV"/>
            </w:rPr>
          </w:pPr>
          <w:r w:rsidRPr="0019406C">
            <w:rPr>
              <w:rFonts w:asciiTheme="majorHAnsi" w:hAnsiTheme="majorHAnsi"/>
              <w:sz w:val="40"/>
              <w:lang w:val="lv-LV"/>
            </w:rPr>
            <w:br w:type="page"/>
          </w:r>
        </w:p>
        <w:p w:rsidR="00BB46C6" w:rsidRPr="0019406C" w:rsidRDefault="00BB46C6" w:rsidP="00A26780">
          <w:pPr>
            <w:spacing w:before="120"/>
            <w:jc w:val="both"/>
            <w:rPr>
              <w:rFonts w:asciiTheme="majorHAnsi" w:hAnsiTheme="majorHAnsi"/>
              <w:b/>
              <w:lang w:val="lv-LV"/>
            </w:rPr>
          </w:pPr>
        </w:p>
        <w:p w:rsidR="00A26780" w:rsidRPr="0019406C" w:rsidRDefault="00A26780" w:rsidP="00A26780">
          <w:pPr>
            <w:spacing w:before="120"/>
            <w:jc w:val="both"/>
            <w:rPr>
              <w:rFonts w:asciiTheme="majorHAnsi" w:hAnsiTheme="majorHAnsi"/>
              <w:b/>
              <w:lang w:val="lv-LV"/>
            </w:rPr>
          </w:pPr>
          <w:r w:rsidRPr="0019406C">
            <w:rPr>
              <w:rFonts w:asciiTheme="majorHAnsi" w:hAnsiTheme="majorHAnsi"/>
              <w:b/>
              <w:sz w:val="22"/>
              <w:lang w:val="lv-LV"/>
            </w:rPr>
            <w:t>Par tiesībām iepazīties ar šo ziņojumu</w:t>
          </w:r>
          <w:r w:rsidRPr="0019406C">
            <w:rPr>
              <w:rFonts w:asciiTheme="majorHAnsi" w:hAnsiTheme="majorHAnsi"/>
              <w:b/>
              <w:lang w:val="lv-LV"/>
            </w:rPr>
            <w:t xml:space="preserve"> </w:t>
          </w:r>
        </w:p>
        <w:p w:rsidR="00E74642" w:rsidRPr="0019406C" w:rsidRDefault="00EA5FD3">
          <w:pPr>
            <w:spacing w:before="120" w:after="0" w:line="276" w:lineRule="auto"/>
            <w:jc w:val="both"/>
            <w:rPr>
              <w:rFonts w:asciiTheme="majorHAnsi" w:hAnsiTheme="majorHAnsi"/>
              <w:lang w:val="lv-LV"/>
            </w:rPr>
          </w:pPr>
          <w:r w:rsidRPr="0019406C">
            <w:rPr>
              <w:rFonts w:asciiTheme="majorHAnsi" w:hAnsiTheme="majorHAnsi"/>
              <w:lang w:val="lv-LV"/>
            </w:rPr>
            <w:t xml:space="preserve">Persona, kurai šis nodevums ir kļuvis pieejams, saprot, ka </w:t>
          </w:r>
          <w:proofErr w:type="spellStart"/>
          <w:r w:rsidRPr="0019406C">
            <w:rPr>
              <w:rFonts w:asciiTheme="majorHAnsi" w:hAnsiTheme="majorHAnsi"/>
              <w:lang w:val="lv-LV"/>
            </w:rPr>
            <w:t>PricewaterhouseCoopers</w:t>
          </w:r>
          <w:proofErr w:type="spellEnd"/>
          <w:r w:rsidRPr="0019406C">
            <w:rPr>
              <w:rFonts w:asciiTheme="majorHAnsi" w:hAnsiTheme="majorHAnsi"/>
              <w:lang w:val="lv-LV"/>
            </w:rPr>
            <w:t xml:space="preserve"> SIA darbs tika veikts saskaņā ar mūsu klienta norādījumiem, tikai klienta interesēs un izmantošanai klienta vajadzībām.</w:t>
          </w:r>
        </w:p>
        <w:p w:rsidR="00E74642" w:rsidRPr="0019406C" w:rsidRDefault="00EA5FD3">
          <w:pPr>
            <w:spacing w:before="120" w:after="0" w:line="276" w:lineRule="auto"/>
            <w:jc w:val="both"/>
            <w:rPr>
              <w:rFonts w:asciiTheme="majorHAnsi" w:hAnsiTheme="majorHAnsi"/>
              <w:lang w:val="lv-LV"/>
            </w:rPr>
          </w:pPr>
          <w:r w:rsidRPr="0019406C">
            <w:rPr>
              <w:rFonts w:asciiTheme="majorHAnsi" w:hAnsiTheme="majorHAnsi"/>
              <w:lang w:val="lv-LV"/>
            </w:rPr>
            <w:t>Persona, kurai šis ziņojums ir kļuvis pieejams, atzīst, ka šis nodevums tika sagatavots mūsu klienta vajadzībām un var neietvert visus jautājumus, kas varētu būt būtiski citiem mērķiem.</w:t>
          </w:r>
        </w:p>
        <w:p w:rsidR="00E74642" w:rsidRPr="0019406C" w:rsidRDefault="00EA5FD3">
          <w:pPr>
            <w:spacing w:before="120" w:after="0" w:line="276" w:lineRule="auto"/>
            <w:jc w:val="both"/>
            <w:rPr>
              <w:rFonts w:asciiTheme="majorHAnsi" w:hAnsiTheme="majorHAnsi"/>
              <w:lang w:val="lv-LV"/>
            </w:rPr>
          </w:pPr>
          <w:r w:rsidRPr="0019406C">
            <w:rPr>
              <w:rFonts w:asciiTheme="majorHAnsi" w:hAnsiTheme="majorHAnsi"/>
              <w:lang w:val="lv-LV"/>
            </w:rPr>
            <w:t xml:space="preserve">Persona, kurai šis nodevums ir kļuvis pieejams, piekrīt, ka </w:t>
          </w:r>
          <w:proofErr w:type="spellStart"/>
          <w:r w:rsidRPr="0019406C">
            <w:rPr>
              <w:rFonts w:asciiTheme="majorHAnsi" w:hAnsiTheme="majorHAnsi"/>
              <w:lang w:val="lv-LV"/>
            </w:rPr>
            <w:t>PricewaterhouseCoopers</w:t>
          </w:r>
          <w:proofErr w:type="spellEnd"/>
          <w:r w:rsidRPr="0019406C">
            <w:rPr>
              <w:rFonts w:asciiTheme="majorHAnsi" w:hAnsiTheme="majorHAnsi"/>
              <w:lang w:val="lv-LV"/>
            </w:rPr>
            <w:t xml:space="preserve"> SIA, tā partneri, direktori, darbinieki vai citi pārstāvji nav ne atbildīgi, ne piekrīt uzņemties atbildību pret šo personu neatkarīgi no tā, vai atbildība ir radusies no līguma pārkāpuma vai delikta (tajā skaitā, bet ne tikai, no nolaidības un normatīvajos aktos paredzēto pienākumu pārkāpuma). </w:t>
          </w:r>
          <w:proofErr w:type="spellStart"/>
          <w:r w:rsidRPr="0019406C">
            <w:rPr>
              <w:rFonts w:asciiTheme="majorHAnsi" w:hAnsiTheme="majorHAnsi"/>
              <w:lang w:val="lv-LV"/>
            </w:rPr>
            <w:t>PricewaterhouseCoopers</w:t>
          </w:r>
          <w:proofErr w:type="spellEnd"/>
          <w:r w:rsidRPr="0019406C">
            <w:rPr>
              <w:rFonts w:asciiTheme="majorHAnsi" w:hAnsiTheme="majorHAnsi"/>
              <w:lang w:val="lv-LV"/>
            </w:rPr>
            <w:t xml:space="preserve"> SIA pārstāvji nav atbildīgi par jebkādu zaudējumu, kaitējumu vai izdevumiem, kas radušies personai, kurai šis ziņojums ir kļuvis pieejams un kura ir izmantojusi šo ziņojumu jebkādā veidā, vai par jebkurām citām sekām, kas radušās no tā, ka šai personai ir kļuvis pieejams šis ziņojums. </w:t>
          </w:r>
        </w:p>
        <w:p w:rsidR="00B00EF5" w:rsidRPr="0019406C" w:rsidRDefault="00B00EF5" w:rsidP="00A26780">
          <w:pPr>
            <w:spacing w:before="120"/>
            <w:jc w:val="both"/>
            <w:rPr>
              <w:rFonts w:asciiTheme="majorHAnsi" w:hAnsiTheme="majorHAnsi"/>
              <w:b/>
              <w:lang w:val="lv-LV"/>
            </w:rPr>
          </w:pPr>
        </w:p>
        <w:p w:rsidR="00ED09BD" w:rsidRPr="0019406C" w:rsidRDefault="00ED09BD">
          <w:pPr>
            <w:rPr>
              <w:rFonts w:asciiTheme="majorHAnsi" w:hAnsiTheme="majorHAnsi"/>
              <w:lang w:val="lv-LV"/>
            </w:rPr>
          </w:pPr>
        </w:p>
        <w:p w:rsidR="00ED09BD" w:rsidRPr="0019406C" w:rsidRDefault="00ED09BD">
          <w:pPr>
            <w:rPr>
              <w:rFonts w:asciiTheme="majorHAnsi" w:hAnsiTheme="majorHAnsi"/>
              <w:lang w:val="lv-LV"/>
            </w:rPr>
          </w:pPr>
        </w:p>
        <w:p w:rsidR="00BB46C6" w:rsidRPr="0019406C" w:rsidRDefault="00BB46C6">
          <w:pPr>
            <w:rPr>
              <w:rFonts w:asciiTheme="majorHAnsi" w:hAnsiTheme="majorHAnsi"/>
              <w:lang w:val="lv-LV"/>
            </w:rPr>
          </w:pPr>
          <w:r w:rsidRPr="0019406C">
            <w:rPr>
              <w:rFonts w:asciiTheme="majorHAnsi" w:hAnsiTheme="majorHAnsi"/>
              <w:lang w:val="lv-LV"/>
            </w:rPr>
            <w:br w:type="page"/>
          </w:r>
        </w:p>
        <w:p w:rsidR="00383DE5" w:rsidRPr="0019406C" w:rsidRDefault="00B360A7">
          <w:pPr>
            <w:rPr>
              <w:rFonts w:asciiTheme="majorHAnsi" w:hAnsiTheme="majorHAnsi"/>
              <w:lang w:val="lv-LV"/>
            </w:rPr>
          </w:pPr>
        </w:p>
      </w:sdtContent>
    </w:sdt>
    <w:sdt>
      <w:sdtPr>
        <w:rPr>
          <w:rFonts w:asciiTheme="majorHAnsi" w:hAnsiTheme="majorHAnsi"/>
          <w:b/>
          <w:bCs/>
          <w:i/>
          <w:iCs/>
          <w:lang w:val="lv-LV"/>
        </w:rPr>
        <w:id w:val="91082582"/>
        <w:docPartObj>
          <w:docPartGallery w:val="Table of Contents"/>
          <w:docPartUnique/>
        </w:docPartObj>
      </w:sdtPr>
      <w:sdtEndPr>
        <w:rPr>
          <w:b w:val="0"/>
          <w:bCs w:val="0"/>
          <w:i w:val="0"/>
        </w:rPr>
      </w:sdtEndPr>
      <w:sdtContent>
        <w:p w:rsidR="008C6F3B" w:rsidRPr="0019406C" w:rsidRDefault="00800271" w:rsidP="00040B48">
          <w:pPr>
            <w:pStyle w:val="BodyText"/>
            <w:spacing w:after="480" w:line="600" w:lineRule="atLeast"/>
            <w:rPr>
              <w:rFonts w:asciiTheme="majorHAnsi" w:hAnsiTheme="majorHAnsi"/>
              <w:lang w:val="lv-LV"/>
            </w:rPr>
          </w:pPr>
          <w:r w:rsidRPr="0019406C">
            <w:rPr>
              <w:rFonts w:asciiTheme="majorHAnsi" w:hAnsiTheme="majorHAnsi"/>
              <w:b/>
              <w:bCs/>
              <w:i/>
              <w:iCs/>
              <w:lang w:val="lv-LV"/>
            </w:rPr>
            <w:t xml:space="preserve">       </w:t>
          </w:r>
          <w:r w:rsidR="00214A5F" w:rsidRPr="0019406C">
            <w:rPr>
              <w:rFonts w:asciiTheme="majorHAnsi" w:hAnsiTheme="majorHAnsi"/>
              <w:b/>
              <w:i/>
              <w:sz w:val="56"/>
              <w:szCs w:val="56"/>
              <w:lang w:val="lv-LV"/>
            </w:rPr>
            <w:t>Satura rādītājs</w:t>
          </w:r>
        </w:p>
        <w:p w:rsidR="004949C7" w:rsidRDefault="002E214C">
          <w:pPr>
            <w:pStyle w:val="TOC1"/>
            <w:tabs>
              <w:tab w:val="right" w:pos="9854"/>
            </w:tabs>
            <w:rPr>
              <w:rFonts w:asciiTheme="minorHAnsi" w:eastAsiaTheme="minorEastAsia" w:hAnsiTheme="minorHAnsi"/>
              <w:noProof/>
              <w:sz w:val="22"/>
              <w:szCs w:val="22"/>
              <w:lang w:eastAsia="en-GB"/>
            </w:rPr>
          </w:pPr>
          <w:r w:rsidRPr="0019406C">
            <w:rPr>
              <w:rFonts w:asciiTheme="majorHAnsi" w:hAnsiTheme="majorHAnsi"/>
              <w:lang w:val="lv-LV"/>
            </w:rPr>
            <w:fldChar w:fldCharType="begin"/>
          </w:r>
          <w:r w:rsidR="00AC26E9" w:rsidRPr="0019406C">
            <w:rPr>
              <w:rFonts w:asciiTheme="majorHAnsi" w:hAnsiTheme="majorHAnsi"/>
              <w:lang w:val="lv-LV"/>
            </w:rPr>
            <w:instrText xml:space="preserve"> TOC \o "2-5" \h \z \t "Heading 1,1,Heading 1 No Spacing,1" </w:instrText>
          </w:r>
          <w:r w:rsidRPr="0019406C">
            <w:rPr>
              <w:rFonts w:asciiTheme="majorHAnsi" w:hAnsiTheme="majorHAnsi"/>
              <w:lang w:val="lv-LV"/>
            </w:rPr>
            <w:fldChar w:fldCharType="separate"/>
          </w:r>
          <w:hyperlink w:anchor="_Toc389226064" w:history="1">
            <w:r w:rsidR="004949C7" w:rsidRPr="00CD4F2F">
              <w:rPr>
                <w:rStyle w:val="Hyperlink"/>
                <w:noProof/>
                <w:lang w:val="lv-LV"/>
              </w:rPr>
              <w:t>Tabulu saraksts</w:t>
            </w:r>
            <w:r w:rsidR="004949C7">
              <w:rPr>
                <w:noProof/>
                <w:webHidden/>
              </w:rPr>
              <w:tab/>
            </w:r>
            <w:r w:rsidR="004949C7">
              <w:rPr>
                <w:noProof/>
                <w:webHidden/>
              </w:rPr>
              <w:fldChar w:fldCharType="begin"/>
            </w:r>
            <w:r w:rsidR="004949C7">
              <w:rPr>
                <w:noProof/>
                <w:webHidden/>
              </w:rPr>
              <w:instrText xml:space="preserve"> PAGEREF _Toc389226064 \h </w:instrText>
            </w:r>
            <w:r w:rsidR="004949C7">
              <w:rPr>
                <w:noProof/>
                <w:webHidden/>
              </w:rPr>
            </w:r>
            <w:r w:rsidR="004949C7">
              <w:rPr>
                <w:noProof/>
                <w:webHidden/>
              </w:rPr>
              <w:fldChar w:fldCharType="separate"/>
            </w:r>
            <w:r w:rsidR="004949C7">
              <w:rPr>
                <w:noProof/>
                <w:webHidden/>
              </w:rPr>
              <w:t>4</w:t>
            </w:r>
            <w:r w:rsidR="004949C7">
              <w:rPr>
                <w:noProof/>
                <w:webHidden/>
              </w:rPr>
              <w:fldChar w:fldCharType="end"/>
            </w:r>
          </w:hyperlink>
        </w:p>
        <w:p w:rsidR="004949C7" w:rsidRDefault="00B360A7">
          <w:pPr>
            <w:pStyle w:val="TOC1"/>
            <w:tabs>
              <w:tab w:val="right" w:pos="9854"/>
            </w:tabs>
            <w:rPr>
              <w:rFonts w:asciiTheme="minorHAnsi" w:eastAsiaTheme="minorEastAsia" w:hAnsiTheme="minorHAnsi"/>
              <w:noProof/>
              <w:sz w:val="22"/>
              <w:szCs w:val="22"/>
              <w:lang w:eastAsia="en-GB"/>
            </w:rPr>
          </w:pPr>
          <w:hyperlink w:anchor="_Toc389226065" w:history="1">
            <w:r w:rsidR="004949C7" w:rsidRPr="00CD4F2F">
              <w:rPr>
                <w:rStyle w:val="Hyperlink"/>
                <w:noProof/>
                <w:lang w:val="lv-LV"/>
              </w:rPr>
              <w:t>Izmantotie saīsinājumi un termini</w:t>
            </w:r>
            <w:r w:rsidR="004949C7">
              <w:rPr>
                <w:noProof/>
                <w:webHidden/>
              </w:rPr>
              <w:tab/>
            </w:r>
            <w:r w:rsidR="004949C7">
              <w:rPr>
                <w:noProof/>
                <w:webHidden/>
              </w:rPr>
              <w:fldChar w:fldCharType="begin"/>
            </w:r>
            <w:r w:rsidR="004949C7">
              <w:rPr>
                <w:noProof/>
                <w:webHidden/>
              </w:rPr>
              <w:instrText xml:space="preserve"> PAGEREF _Toc389226065 \h </w:instrText>
            </w:r>
            <w:r w:rsidR="004949C7">
              <w:rPr>
                <w:noProof/>
                <w:webHidden/>
              </w:rPr>
            </w:r>
            <w:r w:rsidR="004949C7">
              <w:rPr>
                <w:noProof/>
                <w:webHidden/>
              </w:rPr>
              <w:fldChar w:fldCharType="separate"/>
            </w:r>
            <w:r w:rsidR="004949C7">
              <w:rPr>
                <w:noProof/>
                <w:webHidden/>
              </w:rPr>
              <w:t>5</w:t>
            </w:r>
            <w:r w:rsidR="004949C7">
              <w:rPr>
                <w:noProof/>
                <w:webHidden/>
              </w:rPr>
              <w:fldChar w:fldCharType="end"/>
            </w:r>
          </w:hyperlink>
        </w:p>
        <w:p w:rsidR="004949C7" w:rsidRDefault="00B360A7">
          <w:pPr>
            <w:pStyle w:val="TOC1"/>
            <w:tabs>
              <w:tab w:val="right" w:pos="9854"/>
            </w:tabs>
            <w:rPr>
              <w:rFonts w:asciiTheme="minorHAnsi" w:eastAsiaTheme="minorEastAsia" w:hAnsiTheme="minorHAnsi"/>
              <w:noProof/>
              <w:sz w:val="22"/>
              <w:szCs w:val="22"/>
              <w:lang w:eastAsia="en-GB"/>
            </w:rPr>
          </w:pPr>
          <w:hyperlink w:anchor="_Toc389226066" w:history="1">
            <w:r w:rsidR="004949C7" w:rsidRPr="00CD4F2F">
              <w:rPr>
                <w:rStyle w:val="Hyperlink"/>
                <w:noProof/>
                <w:lang w:val="lv-LV"/>
              </w:rPr>
              <w:t>Ievads</w:t>
            </w:r>
            <w:r w:rsidR="004949C7">
              <w:rPr>
                <w:noProof/>
                <w:webHidden/>
              </w:rPr>
              <w:tab/>
            </w:r>
            <w:r w:rsidR="004949C7">
              <w:rPr>
                <w:noProof/>
                <w:webHidden/>
              </w:rPr>
              <w:fldChar w:fldCharType="begin"/>
            </w:r>
            <w:r w:rsidR="004949C7">
              <w:rPr>
                <w:noProof/>
                <w:webHidden/>
              </w:rPr>
              <w:instrText xml:space="preserve"> PAGEREF _Toc389226066 \h </w:instrText>
            </w:r>
            <w:r w:rsidR="004949C7">
              <w:rPr>
                <w:noProof/>
                <w:webHidden/>
              </w:rPr>
            </w:r>
            <w:r w:rsidR="004949C7">
              <w:rPr>
                <w:noProof/>
                <w:webHidden/>
              </w:rPr>
              <w:fldChar w:fldCharType="separate"/>
            </w:r>
            <w:r w:rsidR="004949C7">
              <w:rPr>
                <w:noProof/>
                <w:webHidden/>
              </w:rPr>
              <w:t>6</w:t>
            </w:r>
            <w:r w:rsidR="004949C7">
              <w:rPr>
                <w:noProof/>
                <w:webHidden/>
              </w:rPr>
              <w:fldChar w:fldCharType="end"/>
            </w:r>
          </w:hyperlink>
        </w:p>
        <w:p w:rsidR="004949C7" w:rsidRDefault="00B360A7">
          <w:pPr>
            <w:pStyle w:val="TOC1"/>
            <w:tabs>
              <w:tab w:val="right" w:pos="9854"/>
            </w:tabs>
            <w:rPr>
              <w:rFonts w:asciiTheme="minorHAnsi" w:eastAsiaTheme="minorEastAsia" w:hAnsiTheme="minorHAnsi"/>
              <w:noProof/>
              <w:sz w:val="22"/>
              <w:szCs w:val="22"/>
              <w:lang w:eastAsia="en-GB"/>
            </w:rPr>
          </w:pPr>
          <w:hyperlink w:anchor="_Toc389226067" w:history="1">
            <w:r w:rsidR="004949C7" w:rsidRPr="00CD4F2F">
              <w:rPr>
                <w:rStyle w:val="Hyperlink"/>
                <w:noProof/>
                <w:lang w:val="lv-LV"/>
              </w:rPr>
              <w:t>1</w:t>
            </w:r>
            <w:r w:rsidR="004949C7">
              <w:rPr>
                <w:rFonts w:asciiTheme="minorHAnsi" w:eastAsiaTheme="minorEastAsia" w:hAnsiTheme="minorHAnsi"/>
                <w:noProof/>
                <w:sz w:val="22"/>
                <w:szCs w:val="22"/>
                <w:lang w:eastAsia="en-GB"/>
              </w:rPr>
              <w:tab/>
            </w:r>
            <w:r w:rsidR="004949C7" w:rsidRPr="00CD4F2F">
              <w:rPr>
                <w:rStyle w:val="Hyperlink"/>
                <w:noProof/>
                <w:lang w:val="lv-LV"/>
              </w:rPr>
              <w:t>Pētījuma metodoloģija</w:t>
            </w:r>
            <w:r w:rsidR="004949C7">
              <w:rPr>
                <w:noProof/>
                <w:webHidden/>
              </w:rPr>
              <w:tab/>
            </w:r>
            <w:r w:rsidR="004949C7">
              <w:rPr>
                <w:noProof/>
                <w:webHidden/>
              </w:rPr>
              <w:fldChar w:fldCharType="begin"/>
            </w:r>
            <w:r w:rsidR="004949C7">
              <w:rPr>
                <w:noProof/>
                <w:webHidden/>
              </w:rPr>
              <w:instrText xml:space="preserve"> PAGEREF _Toc389226067 \h </w:instrText>
            </w:r>
            <w:r w:rsidR="004949C7">
              <w:rPr>
                <w:noProof/>
                <w:webHidden/>
              </w:rPr>
            </w:r>
            <w:r w:rsidR="004949C7">
              <w:rPr>
                <w:noProof/>
                <w:webHidden/>
              </w:rPr>
              <w:fldChar w:fldCharType="separate"/>
            </w:r>
            <w:r w:rsidR="004949C7">
              <w:rPr>
                <w:noProof/>
                <w:webHidden/>
              </w:rPr>
              <w:t>7</w:t>
            </w:r>
            <w:r w:rsidR="004949C7">
              <w:rPr>
                <w:noProof/>
                <w:webHidden/>
              </w:rPr>
              <w:fldChar w:fldCharType="end"/>
            </w:r>
          </w:hyperlink>
        </w:p>
        <w:p w:rsidR="004949C7" w:rsidRDefault="00B360A7">
          <w:pPr>
            <w:pStyle w:val="TOC2"/>
            <w:rPr>
              <w:rFonts w:asciiTheme="minorHAnsi" w:eastAsiaTheme="minorEastAsia" w:hAnsiTheme="minorHAnsi"/>
              <w:noProof/>
              <w:sz w:val="22"/>
              <w:szCs w:val="22"/>
              <w:lang w:eastAsia="en-GB"/>
            </w:rPr>
          </w:pPr>
          <w:hyperlink w:anchor="_Toc389226068" w:history="1">
            <w:r w:rsidR="004949C7" w:rsidRPr="00CD4F2F">
              <w:rPr>
                <w:rStyle w:val="Hyperlink"/>
                <w:noProof/>
                <w:lang w:val="lv-LV"/>
              </w:rPr>
              <w:t>1.1</w:t>
            </w:r>
            <w:r w:rsidR="004949C7">
              <w:rPr>
                <w:rFonts w:asciiTheme="minorHAnsi" w:eastAsiaTheme="minorEastAsia" w:hAnsiTheme="minorHAnsi"/>
                <w:noProof/>
                <w:sz w:val="22"/>
                <w:szCs w:val="22"/>
                <w:lang w:eastAsia="en-GB"/>
              </w:rPr>
              <w:tab/>
            </w:r>
            <w:r w:rsidR="004949C7" w:rsidRPr="00CD4F2F">
              <w:rPr>
                <w:rStyle w:val="Hyperlink"/>
                <w:noProof/>
                <w:lang w:val="lv-LV"/>
              </w:rPr>
              <w:t>Aptaujas metode un izvēles pamatojums</w:t>
            </w:r>
            <w:r w:rsidR="004949C7">
              <w:rPr>
                <w:noProof/>
                <w:webHidden/>
              </w:rPr>
              <w:tab/>
            </w:r>
            <w:r w:rsidR="004949C7">
              <w:rPr>
                <w:noProof/>
                <w:webHidden/>
              </w:rPr>
              <w:fldChar w:fldCharType="begin"/>
            </w:r>
            <w:r w:rsidR="004949C7">
              <w:rPr>
                <w:noProof/>
                <w:webHidden/>
              </w:rPr>
              <w:instrText xml:space="preserve"> PAGEREF _Toc389226068 \h </w:instrText>
            </w:r>
            <w:r w:rsidR="004949C7">
              <w:rPr>
                <w:noProof/>
                <w:webHidden/>
              </w:rPr>
            </w:r>
            <w:r w:rsidR="004949C7">
              <w:rPr>
                <w:noProof/>
                <w:webHidden/>
              </w:rPr>
              <w:fldChar w:fldCharType="separate"/>
            </w:r>
            <w:r w:rsidR="004949C7">
              <w:rPr>
                <w:noProof/>
                <w:webHidden/>
              </w:rPr>
              <w:t>7</w:t>
            </w:r>
            <w:r w:rsidR="004949C7">
              <w:rPr>
                <w:noProof/>
                <w:webHidden/>
              </w:rPr>
              <w:fldChar w:fldCharType="end"/>
            </w:r>
          </w:hyperlink>
        </w:p>
        <w:p w:rsidR="004949C7" w:rsidRDefault="00B360A7">
          <w:pPr>
            <w:pStyle w:val="TOC2"/>
            <w:rPr>
              <w:rFonts w:asciiTheme="minorHAnsi" w:eastAsiaTheme="minorEastAsia" w:hAnsiTheme="minorHAnsi"/>
              <w:noProof/>
              <w:sz w:val="22"/>
              <w:szCs w:val="22"/>
              <w:lang w:eastAsia="en-GB"/>
            </w:rPr>
          </w:pPr>
          <w:hyperlink w:anchor="_Toc389226069" w:history="1">
            <w:r w:rsidR="004949C7" w:rsidRPr="00CD4F2F">
              <w:rPr>
                <w:rStyle w:val="Hyperlink"/>
                <w:noProof/>
                <w:lang w:val="lv-LV"/>
              </w:rPr>
              <w:t>1.2</w:t>
            </w:r>
            <w:r w:rsidR="004949C7">
              <w:rPr>
                <w:rFonts w:asciiTheme="minorHAnsi" w:eastAsiaTheme="minorEastAsia" w:hAnsiTheme="minorHAnsi"/>
                <w:noProof/>
                <w:sz w:val="22"/>
                <w:szCs w:val="22"/>
                <w:lang w:eastAsia="en-GB"/>
              </w:rPr>
              <w:tab/>
            </w:r>
            <w:r w:rsidR="004949C7" w:rsidRPr="00CD4F2F">
              <w:rPr>
                <w:rStyle w:val="Hyperlink"/>
                <w:noProof/>
                <w:lang w:val="lv-LV"/>
              </w:rPr>
              <w:t>Aptaujas instrumentārijs</w:t>
            </w:r>
            <w:r w:rsidR="004949C7">
              <w:rPr>
                <w:noProof/>
                <w:webHidden/>
              </w:rPr>
              <w:tab/>
            </w:r>
            <w:r w:rsidR="004949C7">
              <w:rPr>
                <w:noProof/>
                <w:webHidden/>
              </w:rPr>
              <w:fldChar w:fldCharType="begin"/>
            </w:r>
            <w:r w:rsidR="004949C7">
              <w:rPr>
                <w:noProof/>
                <w:webHidden/>
              </w:rPr>
              <w:instrText xml:space="preserve"> PAGEREF _Toc389226069 \h </w:instrText>
            </w:r>
            <w:r w:rsidR="004949C7">
              <w:rPr>
                <w:noProof/>
                <w:webHidden/>
              </w:rPr>
            </w:r>
            <w:r w:rsidR="004949C7">
              <w:rPr>
                <w:noProof/>
                <w:webHidden/>
              </w:rPr>
              <w:fldChar w:fldCharType="separate"/>
            </w:r>
            <w:r w:rsidR="004949C7">
              <w:rPr>
                <w:noProof/>
                <w:webHidden/>
              </w:rPr>
              <w:t>7</w:t>
            </w:r>
            <w:r w:rsidR="004949C7">
              <w:rPr>
                <w:noProof/>
                <w:webHidden/>
              </w:rPr>
              <w:fldChar w:fldCharType="end"/>
            </w:r>
          </w:hyperlink>
        </w:p>
        <w:p w:rsidR="004949C7" w:rsidRDefault="00B360A7">
          <w:pPr>
            <w:pStyle w:val="TOC2"/>
            <w:rPr>
              <w:rFonts w:asciiTheme="minorHAnsi" w:eastAsiaTheme="minorEastAsia" w:hAnsiTheme="minorHAnsi"/>
              <w:noProof/>
              <w:sz w:val="22"/>
              <w:szCs w:val="22"/>
              <w:lang w:eastAsia="en-GB"/>
            </w:rPr>
          </w:pPr>
          <w:hyperlink w:anchor="_Toc389226070" w:history="1">
            <w:r w:rsidR="004949C7" w:rsidRPr="00CD4F2F">
              <w:rPr>
                <w:rStyle w:val="Hyperlink"/>
                <w:noProof/>
                <w:lang w:val="lv-LV"/>
              </w:rPr>
              <w:t>1.3</w:t>
            </w:r>
            <w:r w:rsidR="004949C7">
              <w:rPr>
                <w:rFonts w:asciiTheme="minorHAnsi" w:eastAsiaTheme="minorEastAsia" w:hAnsiTheme="minorHAnsi"/>
                <w:noProof/>
                <w:sz w:val="22"/>
                <w:szCs w:val="22"/>
                <w:lang w:eastAsia="en-GB"/>
              </w:rPr>
              <w:tab/>
            </w:r>
            <w:r w:rsidR="004949C7" w:rsidRPr="00CD4F2F">
              <w:rPr>
                <w:rStyle w:val="Hyperlink"/>
                <w:noProof/>
                <w:lang w:val="lv-LV"/>
              </w:rPr>
              <w:t>Izlases veidošanas metode un pamatojums</w:t>
            </w:r>
            <w:r w:rsidR="004949C7">
              <w:rPr>
                <w:noProof/>
                <w:webHidden/>
              </w:rPr>
              <w:tab/>
            </w:r>
            <w:r w:rsidR="004949C7">
              <w:rPr>
                <w:noProof/>
                <w:webHidden/>
              </w:rPr>
              <w:fldChar w:fldCharType="begin"/>
            </w:r>
            <w:r w:rsidR="004949C7">
              <w:rPr>
                <w:noProof/>
                <w:webHidden/>
              </w:rPr>
              <w:instrText xml:space="preserve"> PAGEREF _Toc389226070 \h </w:instrText>
            </w:r>
            <w:r w:rsidR="004949C7">
              <w:rPr>
                <w:noProof/>
                <w:webHidden/>
              </w:rPr>
            </w:r>
            <w:r w:rsidR="004949C7">
              <w:rPr>
                <w:noProof/>
                <w:webHidden/>
              </w:rPr>
              <w:fldChar w:fldCharType="separate"/>
            </w:r>
            <w:r w:rsidR="004949C7">
              <w:rPr>
                <w:noProof/>
                <w:webHidden/>
              </w:rPr>
              <w:t>8</w:t>
            </w:r>
            <w:r w:rsidR="004949C7">
              <w:rPr>
                <w:noProof/>
                <w:webHidden/>
              </w:rPr>
              <w:fldChar w:fldCharType="end"/>
            </w:r>
          </w:hyperlink>
        </w:p>
        <w:p w:rsidR="004949C7" w:rsidRDefault="00B360A7">
          <w:pPr>
            <w:pStyle w:val="TOC2"/>
            <w:rPr>
              <w:rFonts w:asciiTheme="minorHAnsi" w:eastAsiaTheme="minorEastAsia" w:hAnsiTheme="minorHAnsi"/>
              <w:noProof/>
              <w:sz w:val="22"/>
              <w:szCs w:val="22"/>
              <w:lang w:eastAsia="en-GB"/>
            </w:rPr>
          </w:pPr>
          <w:hyperlink w:anchor="_Toc389226071" w:history="1">
            <w:r w:rsidR="004949C7" w:rsidRPr="00CD4F2F">
              <w:rPr>
                <w:rStyle w:val="Hyperlink"/>
                <w:noProof/>
                <w:lang w:val="lv-LV"/>
              </w:rPr>
              <w:t>1.4</w:t>
            </w:r>
            <w:r w:rsidR="004949C7">
              <w:rPr>
                <w:rFonts w:asciiTheme="minorHAnsi" w:eastAsiaTheme="minorEastAsia" w:hAnsiTheme="minorHAnsi"/>
                <w:noProof/>
                <w:sz w:val="22"/>
                <w:szCs w:val="22"/>
                <w:lang w:eastAsia="en-GB"/>
              </w:rPr>
              <w:tab/>
            </w:r>
            <w:r w:rsidR="004949C7" w:rsidRPr="00CD4F2F">
              <w:rPr>
                <w:rStyle w:val="Hyperlink"/>
                <w:noProof/>
                <w:lang w:val="lv-LV"/>
              </w:rPr>
              <w:t>Izlases raksturojums</w:t>
            </w:r>
            <w:r w:rsidR="004949C7">
              <w:rPr>
                <w:noProof/>
                <w:webHidden/>
              </w:rPr>
              <w:tab/>
            </w:r>
            <w:r w:rsidR="004949C7">
              <w:rPr>
                <w:noProof/>
                <w:webHidden/>
              </w:rPr>
              <w:fldChar w:fldCharType="begin"/>
            </w:r>
            <w:r w:rsidR="004949C7">
              <w:rPr>
                <w:noProof/>
                <w:webHidden/>
              </w:rPr>
              <w:instrText xml:space="preserve"> PAGEREF _Toc389226071 \h </w:instrText>
            </w:r>
            <w:r w:rsidR="004949C7">
              <w:rPr>
                <w:noProof/>
                <w:webHidden/>
              </w:rPr>
            </w:r>
            <w:r w:rsidR="004949C7">
              <w:rPr>
                <w:noProof/>
                <w:webHidden/>
              </w:rPr>
              <w:fldChar w:fldCharType="separate"/>
            </w:r>
            <w:r w:rsidR="004949C7">
              <w:rPr>
                <w:noProof/>
                <w:webHidden/>
              </w:rPr>
              <w:t>9</w:t>
            </w:r>
            <w:r w:rsidR="004949C7">
              <w:rPr>
                <w:noProof/>
                <w:webHidden/>
              </w:rPr>
              <w:fldChar w:fldCharType="end"/>
            </w:r>
          </w:hyperlink>
        </w:p>
        <w:p w:rsidR="004949C7" w:rsidRDefault="00B360A7">
          <w:pPr>
            <w:pStyle w:val="TOC2"/>
            <w:rPr>
              <w:rFonts w:asciiTheme="minorHAnsi" w:eastAsiaTheme="minorEastAsia" w:hAnsiTheme="minorHAnsi"/>
              <w:noProof/>
              <w:sz w:val="22"/>
              <w:szCs w:val="22"/>
              <w:lang w:eastAsia="en-GB"/>
            </w:rPr>
          </w:pPr>
          <w:hyperlink w:anchor="_Toc389226072" w:history="1">
            <w:r w:rsidR="004949C7" w:rsidRPr="00CD4F2F">
              <w:rPr>
                <w:rStyle w:val="Hyperlink"/>
                <w:noProof/>
                <w:lang w:val="lv-LV"/>
              </w:rPr>
              <w:t>1.5</w:t>
            </w:r>
            <w:r w:rsidR="004949C7">
              <w:rPr>
                <w:rFonts w:asciiTheme="minorHAnsi" w:eastAsiaTheme="minorEastAsia" w:hAnsiTheme="minorHAnsi"/>
                <w:noProof/>
                <w:sz w:val="22"/>
                <w:szCs w:val="22"/>
                <w:lang w:eastAsia="en-GB"/>
              </w:rPr>
              <w:tab/>
            </w:r>
            <w:r w:rsidR="004949C7" w:rsidRPr="00CD4F2F">
              <w:rPr>
                <w:rStyle w:val="Hyperlink"/>
                <w:noProof/>
                <w:lang w:val="lv-LV"/>
              </w:rPr>
              <w:t>Lauka darba organizācija un kvalitātes kontrole</w:t>
            </w:r>
            <w:r w:rsidR="004949C7">
              <w:rPr>
                <w:noProof/>
                <w:webHidden/>
              </w:rPr>
              <w:tab/>
            </w:r>
            <w:r w:rsidR="004949C7">
              <w:rPr>
                <w:noProof/>
                <w:webHidden/>
              </w:rPr>
              <w:fldChar w:fldCharType="begin"/>
            </w:r>
            <w:r w:rsidR="004949C7">
              <w:rPr>
                <w:noProof/>
                <w:webHidden/>
              </w:rPr>
              <w:instrText xml:space="preserve"> PAGEREF _Toc389226072 \h </w:instrText>
            </w:r>
            <w:r w:rsidR="004949C7">
              <w:rPr>
                <w:noProof/>
                <w:webHidden/>
              </w:rPr>
            </w:r>
            <w:r w:rsidR="004949C7">
              <w:rPr>
                <w:noProof/>
                <w:webHidden/>
              </w:rPr>
              <w:fldChar w:fldCharType="separate"/>
            </w:r>
            <w:r w:rsidR="004949C7">
              <w:rPr>
                <w:noProof/>
                <w:webHidden/>
              </w:rPr>
              <w:t>12</w:t>
            </w:r>
            <w:r w:rsidR="004949C7">
              <w:rPr>
                <w:noProof/>
                <w:webHidden/>
              </w:rPr>
              <w:fldChar w:fldCharType="end"/>
            </w:r>
          </w:hyperlink>
        </w:p>
        <w:p w:rsidR="004949C7" w:rsidRDefault="00B360A7">
          <w:pPr>
            <w:pStyle w:val="TOC2"/>
            <w:rPr>
              <w:rFonts w:asciiTheme="minorHAnsi" w:eastAsiaTheme="minorEastAsia" w:hAnsiTheme="minorHAnsi"/>
              <w:noProof/>
              <w:sz w:val="22"/>
              <w:szCs w:val="22"/>
              <w:lang w:eastAsia="en-GB"/>
            </w:rPr>
          </w:pPr>
          <w:hyperlink w:anchor="_Toc389226073" w:history="1">
            <w:r w:rsidR="004949C7" w:rsidRPr="00CD4F2F">
              <w:rPr>
                <w:rStyle w:val="Hyperlink"/>
                <w:noProof/>
                <w:lang w:val="lv-LV"/>
              </w:rPr>
              <w:t>1.6</w:t>
            </w:r>
            <w:r w:rsidR="004949C7">
              <w:rPr>
                <w:rFonts w:asciiTheme="minorHAnsi" w:eastAsiaTheme="minorEastAsia" w:hAnsiTheme="minorHAnsi"/>
                <w:noProof/>
                <w:sz w:val="22"/>
                <w:szCs w:val="22"/>
                <w:lang w:eastAsia="en-GB"/>
              </w:rPr>
              <w:tab/>
            </w:r>
            <w:r w:rsidR="004949C7" w:rsidRPr="00CD4F2F">
              <w:rPr>
                <w:rStyle w:val="Hyperlink"/>
                <w:noProof/>
                <w:lang w:val="lv-LV"/>
              </w:rPr>
              <w:t>Datu ievade, apstrāde un analīze</w:t>
            </w:r>
            <w:r w:rsidR="004949C7">
              <w:rPr>
                <w:noProof/>
                <w:webHidden/>
              </w:rPr>
              <w:tab/>
            </w:r>
            <w:r w:rsidR="004949C7">
              <w:rPr>
                <w:noProof/>
                <w:webHidden/>
              </w:rPr>
              <w:fldChar w:fldCharType="begin"/>
            </w:r>
            <w:r w:rsidR="004949C7">
              <w:rPr>
                <w:noProof/>
                <w:webHidden/>
              </w:rPr>
              <w:instrText xml:space="preserve"> PAGEREF _Toc389226073 \h </w:instrText>
            </w:r>
            <w:r w:rsidR="004949C7">
              <w:rPr>
                <w:noProof/>
                <w:webHidden/>
              </w:rPr>
            </w:r>
            <w:r w:rsidR="004949C7">
              <w:rPr>
                <w:noProof/>
                <w:webHidden/>
              </w:rPr>
              <w:fldChar w:fldCharType="separate"/>
            </w:r>
            <w:r w:rsidR="004949C7">
              <w:rPr>
                <w:noProof/>
                <w:webHidden/>
              </w:rPr>
              <w:t>14</w:t>
            </w:r>
            <w:r w:rsidR="004949C7">
              <w:rPr>
                <w:noProof/>
                <w:webHidden/>
              </w:rPr>
              <w:fldChar w:fldCharType="end"/>
            </w:r>
          </w:hyperlink>
        </w:p>
        <w:p w:rsidR="004949C7" w:rsidRDefault="00B360A7">
          <w:pPr>
            <w:pStyle w:val="TOC2"/>
            <w:rPr>
              <w:rFonts w:asciiTheme="minorHAnsi" w:eastAsiaTheme="minorEastAsia" w:hAnsiTheme="minorHAnsi"/>
              <w:noProof/>
              <w:sz w:val="22"/>
              <w:szCs w:val="22"/>
              <w:lang w:eastAsia="en-GB"/>
            </w:rPr>
          </w:pPr>
          <w:hyperlink w:anchor="_Toc389226074" w:history="1">
            <w:r w:rsidR="004949C7" w:rsidRPr="00CD4F2F">
              <w:rPr>
                <w:rStyle w:val="Hyperlink"/>
                <w:noProof/>
                <w:lang w:val="lv-LV"/>
              </w:rPr>
              <w:t>1.7</w:t>
            </w:r>
            <w:r w:rsidR="004949C7">
              <w:rPr>
                <w:rFonts w:asciiTheme="minorHAnsi" w:eastAsiaTheme="minorEastAsia" w:hAnsiTheme="minorHAnsi"/>
                <w:noProof/>
                <w:sz w:val="22"/>
                <w:szCs w:val="22"/>
                <w:lang w:eastAsia="en-GB"/>
              </w:rPr>
              <w:tab/>
            </w:r>
            <w:r w:rsidR="004949C7" w:rsidRPr="00CD4F2F">
              <w:rPr>
                <w:rStyle w:val="Hyperlink"/>
                <w:noProof/>
                <w:lang w:val="lv-LV"/>
              </w:rPr>
              <w:t>Aptaujas tehniskā informācija</w:t>
            </w:r>
            <w:r w:rsidR="004949C7">
              <w:rPr>
                <w:noProof/>
                <w:webHidden/>
              </w:rPr>
              <w:tab/>
            </w:r>
            <w:r w:rsidR="004949C7">
              <w:rPr>
                <w:noProof/>
                <w:webHidden/>
              </w:rPr>
              <w:fldChar w:fldCharType="begin"/>
            </w:r>
            <w:r w:rsidR="004949C7">
              <w:rPr>
                <w:noProof/>
                <w:webHidden/>
              </w:rPr>
              <w:instrText xml:space="preserve"> PAGEREF _Toc389226074 \h </w:instrText>
            </w:r>
            <w:r w:rsidR="004949C7">
              <w:rPr>
                <w:noProof/>
                <w:webHidden/>
              </w:rPr>
            </w:r>
            <w:r w:rsidR="004949C7">
              <w:rPr>
                <w:noProof/>
                <w:webHidden/>
              </w:rPr>
              <w:fldChar w:fldCharType="separate"/>
            </w:r>
            <w:r w:rsidR="004949C7">
              <w:rPr>
                <w:noProof/>
                <w:webHidden/>
              </w:rPr>
              <w:t>16</w:t>
            </w:r>
            <w:r w:rsidR="004949C7">
              <w:rPr>
                <w:noProof/>
                <w:webHidden/>
              </w:rPr>
              <w:fldChar w:fldCharType="end"/>
            </w:r>
          </w:hyperlink>
        </w:p>
        <w:p w:rsidR="004949C7" w:rsidRDefault="00B360A7">
          <w:pPr>
            <w:pStyle w:val="TOC2"/>
            <w:rPr>
              <w:rFonts w:asciiTheme="minorHAnsi" w:eastAsiaTheme="minorEastAsia" w:hAnsiTheme="minorHAnsi"/>
              <w:noProof/>
              <w:sz w:val="22"/>
              <w:szCs w:val="22"/>
              <w:lang w:eastAsia="en-GB"/>
            </w:rPr>
          </w:pPr>
          <w:hyperlink w:anchor="_Toc389226075" w:history="1">
            <w:r w:rsidR="004949C7" w:rsidRPr="00CD4F2F">
              <w:rPr>
                <w:rStyle w:val="Hyperlink"/>
                <w:noProof/>
                <w:lang w:val="lv-LV"/>
              </w:rPr>
              <w:t>1.8</w:t>
            </w:r>
            <w:r w:rsidR="004949C7">
              <w:rPr>
                <w:rFonts w:asciiTheme="minorHAnsi" w:eastAsiaTheme="minorEastAsia" w:hAnsiTheme="minorHAnsi"/>
                <w:noProof/>
                <w:sz w:val="22"/>
                <w:szCs w:val="22"/>
                <w:lang w:eastAsia="en-GB"/>
              </w:rPr>
              <w:tab/>
            </w:r>
            <w:r w:rsidR="004949C7" w:rsidRPr="00CD4F2F">
              <w:rPr>
                <w:rStyle w:val="Hyperlink"/>
                <w:noProof/>
                <w:lang w:val="lv-LV"/>
              </w:rPr>
              <w:t>Kvalitatīvā informācijas analīze</w:t>
            </w:r>
            <w:r w:rsidR="004949C7">
              <w:rPr>
                <w:noProof/>
                <w:webHidden/>
              </w:rPr>
              <w:tab/>
            </w:r>
            <w:r w:rsidR="004949C7">
              <w:rPr>
                <w:noProof/>
                <w:webHidden/>
              </w:rPr>
              <w:fldChar w:fldCharType="begin"/>
            </w:r>
            <w:r w:rsidR="004949C7">
              <w:rPr>
                <w:noProof/>
                <w:webHidden/>
              </w:rPr>
              <w:instrText xml:space="preserve"> PAGEREF _Toc389226075 \h </w:instrText>
            </w:r>
            <w:r w:rsidR="004949C7">
              <w:rPr>
                <w:noProof/>
                <w:webHidden/>
              </w:rPr>
            </w:r>
            <w:r w:rsidR="004949C7">
              <w:rPr>
                <w:noProof/>
                <w:webHidden/>
              </w:rPr>
              <w:fldChar w:fldCharType="separate"/>
            </w:r>
            <w:r w:rsidR="004949C7">
              <w:rPr>
                <w:noProof/>
                <w:webHidden/>
              </w:rPr>
              <w:t>16</w:t>
            </w:r>
            <w:r w:rsidR="004949C7">
              <w:rPr>
                <w:noProof/>
                <w:webHidden/>
              </w:rPr>
              <w:fldChar w:fldCharType="end"/>
            </w:r>
          </w:hyperlink>
        </w:p>
        <w:p w:rsidR="004949C7" w:rsidRDefault="00B360A7">
          <w:pPr>
            <w:pStyle w:val="TOC2"/>
            <w:rPr>
              <w:rFonts w:asciiTheme="minorHAnsi" w:eastAsiaTheme="minorEastAsia" w:hAnsiTheme="minorHAnsi"/>
              <w:noProof/>
              <w:sz w:val="22"/>
              <w:szCs w:val="22"/>
              <w:lang w:eastAsia="en-GB"/>
            </w:rPr>
          </w:pPr>
          <w:hyperlink w:anchor="_Toc389226076" w:history="1">
            <w:r w:rsidR="004949C7" w:rsidRPr="00CD4F2F">
              <w:rPr>
                <w:rStyle w:val="Hyperlink"/>
                <w:noProof/>
                <w:lang w:val="lv-LV"/>
              </w:rPr>
              <w:t>1.9</w:t>
            </w:r>
            <w:r w:rsidR="004949C7">
              <w:rPr>
                <w:rFonts w:asciiTheme="minorHAnsi" w:eastAsiaTheme="minorEastAsia" w:hAnsiTheme="minorHAnsi"/>
                <w:noProof/>
                <w:sz w:val="22"/>
                <w:szCs w:val="22"/>
                <w:lang w:eastAsia="en-GB"/>
              </w:rPr>
              <w:tab/>
            </w:r>
            <w:r w:rsidR="004949C7" w:rsidRPr="00CD4F2F">
              <w:rPr>
                <w:rStyle w:val="Hyperlink"/>
                <w:noProof/>
                <w:lang w:val="lv-LV"/>
              </w:rPr>
              <w:t>Aptaujas realizētāju darba grupa</w:t>
            </w:r>
            <w:r w:rsidR="004949C7">
              <w:rPr>
                <w:noProof/>
                <w:webHidden/>
              </w:rPr>
              <w:tab/>
            </w:r>
            <w:r w:rsidR="004949C7">
              <w:rPr>
                <w:noProof/>
                <w:webHidden/>
              </w:rPr>
              <w:fldChar w:fldCharType="begin"/>
            </w:r>
            <w:r w:rsidR="004949C7">
              <w:rPr>
                <w:noProof/>
                <w:webHidden/>
              </w:rPr>
              <w:instrText xml:space="preserve"> PAGEREF _Toc389226076 \h </w:instrText>
            </w:r>
            <w:r w:rsidR="004949C7">
              <w:rPr>
                <w:noProof/>
                <w:webHidden/>
              </w:rPr>
            </w:r>
            <w:r w:rsidR="004949C7">
              <w:rPr>
                <w:noProof/>
                <w:webHidden/>
              </w:rPr>
              <w:fldChar w:fldCharType="separate"/>
            </w:r>
            <w:r w:rsidR="004949C7">
              <w:rPr>
                <w:noProof/>
                <w:webHidden/>
              </w:rPr>
              <w:t>17</w:t>
            </w:r>
            <w:r w:rsidR="004949C7">
              <w:rPr>
                <w:noProof/>
                <w:webHidden/>
              </w:rPr>
              <w:fldChar w:fldCharType="end"/>
            </w:r>
          </w:hyperlink>
        </w:p>
        <w:p w:rsidR="004949C7" w:rsidRDefault="00B360A7">
          <w:pPr>
            <w:pStyle w:val="TOC1"/>
            <w:tabs>
              <w:tab w:val="right" w:pos="9854"/>
            </w:tabs>
            <w:rPr>
              <w:rFonts w:asciiTheme="minorHAnsi" w:eastAsiaTheme="minorEastAsia" w:hAnsiTheme="minorHAnsi"/>
              <w:noProof/>
              <w:sz w:val="22"/>
              <w:szCs w:val="22"/>
              <w:lang w:eastAsia="en-GB"/>
            </w:rPr>
          </w:pPr>
          <w:hyperlink w:anchor="_Toc389226077" w:history="1">
            <w:r w:rsidR="004949C7" w:rsidRPr="00CD4F2F">
              <w:rPr>
                <w:rStyle w:val="Hyperlink"/>
                <w:noProof/>
                <w:lang w:val="lv-LV"/>
              </w:rPr>
              <w:t>2</w:t>
            </w:r>
            <w:r w:rsidR="004949C7">
              <w:rPr>
                <w:rFonts w:asciiTheme="minorHAnsi" w:eastAsiaTheme="minorEastAsia" w:hAnsiTheme="minorHAnsi"/>
                <w:noProof/>
                <w:sz w:val="22"/>
                <w:szCs w:val="22"/>
                <w:lang w:eastAsia="en-GB"/>
              </w:rPr>
              <w:tab/>
            </w:r>
            <w:r w:rsidR="004949C7" w:rsidRPr="00CD4F2F">
              <w:rPr>
                <w:rStyle w:val="Hyperlink"/>
                <w:noProof/>
                <w:lang w:val="lv-LV"/>
              </w:rPr>
              <w:t>Tematiskās nodaļas</w:t>
            </w:r>
            <w:r w:rsidR="004949C7">
              <w:rPr>
                <w:noProof/>
                <w:webHidden/>
              </w:rPr>
              <w:tab/>
            </w:r>
            <w:r w:rsidR="004949C7">
              <w:rPr>
                <w:noProof/>
                <w:webHidden/>
              </w:rPr>
              <w:fldChar w:fldCharType="begin"/>
            </w:r>
            <w:r w:rsidR="004949C7">
              <w:rPr>
                <w:noProof/>
                <w:webHidden/>
              </w:rPr>
              <w:instrText xml:space="preserve"> PAGEREF _Toc389226077 \h </w:instrText>
            </w:r>
            <w:r w:rsidR="004949C7">
              <w:rPr>
                <w:noProof/>
                <w:webHidden/>
              </w:rPr>
            </w:r>
            <w:r w:rsidR="004949C7">
              <w:rPr>
                <w:noProof/>
                <w:webHidden/>
              </w:rPr>
              <w:fldChar w:fldCharType="separate"/>
            </w:r>
            <w:r w:rsidR="004949C7">
              <w:rPr>
                <w:noProof/>
                <w:webHidden/>
              </w:rPr>
              <w:t>18</w:t>
            </w:r>
            <w:r w:rsidR="004949C7">
              <w:rPr>
                <w:noProof/>
                <w:webHidden/>
              </w:rPr>
              <w:fldChar w:fldCharType="end"/>
            </w:r>
          </w:hyperlink>
        </w:p>
        <w:p w:rsidR="004949C7" w:rsidRDefault="00B360A7">
          <w:pPr>
            <w:pStyle w:val="TOC2"/>
            <w:rPr>
              <w:rFonts w:asciiTheme="minorHAnsi" w:eastAsiaTheme="minorEastAsia" w:hAnsiTheme="minorHAnsi"/>
              <w:noProof/>
              <w:sz w:val="22"/>
              <w:szCs w:val="22"/>
              <w:lang w:eastAsia="en-GB"/>
            </w:rPr>
          </w:pPr>
          <w:hyperlink w:anchor="_Toc389226078" w:history="1">
            <w:r w:rsidR="004949C7" w:rsidRPr="00CD4F2F">
              <w:rPr>
                <w:rStyle w:val="Hyperlink"/>
                <w:noProof/>
                <w:lang w:val="lv-LV"/>
              </w:rPr>
              <w:t>2.1</w:t>
            </w:r>
            <w:r w:rsidR="004949C7">
              <w:rPr>
                <w:rFonts w:asciiTheme="minorHAnsi" w:eastAsiaTheme="minorEastAsia" w:hAnsiTheme="minorHAnsi"/>
                <w:noProof/>
                <w:sz w:val="22"/>
                <w:szCs w:val="22"/>
                <w:lang w:eastAsia="en-GB"/>
              </w:rPr>
              <w:tab/>
            </w:r>
            <w:r w:rsidR="004949C7" w:rsidRPr="00CD4F2F">
              <w:rPr>
                <w:rStyle w:val="Hyperlink"/>
                <w:noProof/>
                <w:lang w:val="lv-LV"/>
              </w:rPr>
              <w:t>Uzņēmējdarbības uzsākšana (reģistrēšana)</w:t>
            </w:r>
            <w:r w:rsidR="004949C7">
              <w:rPr>
                <w:noProof/>
                <w:webHidden/>
              </w:rPr>
              <w:tab/>
            </w:r>
            <w:r w:rsidR="004949C7">
              <w:rPr>
                <w:noProof/>
                <w:webHidden/>
              </w:rPr>
              <w:fldChar w:fldCharType="begin"/>
            </w:r>
            <w:r w:rsidR="004949C7">
              <w:rPr>
                <w:noProof/>
                <w:webHidden/>
              </w:rPr>
              <w:instrText xml:space="preserve"> PAGEREF _Toc389226078 \h </w:instrText>
            </w:r>
            <w:r w:rsidR="004949C7">
              <w:rPr>
                <w:noProof/>
                <w:webHidden/>
              </w:rPr>
            </w:r>
            <w:r w:rsidR="004949C7">
              <w:rPr>
                <w:noProof/>
                <w:webHidden/>
              </w:rPr>
              <w:fldChar w:fldCharType="separate"/>
            </w:r>
            <w:r w:rsidR="004949C7">
              <w:rPr>
                <w:noProof/>
                <w:webHidden/>
              </w:rPr>
              <w:t>18</w:t>
            </w:r>
            <w:r w:rsidR="004949C7">
              <w:rPr>
                <w:noProof/>
                <w:webHidden/>
              </w:rPr>
              <w:fldChar w:fldCharType="end"/>
            </w:r>
          </w:hyperlink>
        </w:p>
        <w:p w:rsidR="004949C7" w:rsidRDefault="00B360A7">
          <w:pPr>
            <w:pStyle w:val="TOC2"/>
            <w:rPr>
              <w:rFonts w:asciiTheme="minorHAnsi" w:eastAsiaTheme="minorEastAsia" w:hAnsiTheme="minorHAnsi"/>
              <w:noProof/>
              <w:sz w:val="22"/>
              <w:szCs w:val="22"/>
              <w:lang w:eastAsia="en-GB"/>
            </w:rPr>
          </w:pPr>
          <w:hyperlink w:anchor="_Toc389226079" w:history="1">
            <w:r w:rsidR="004949C7" w:rsidRPr="00CD4F2F">
              <w:rPr>
                <w:rStyle w:val="Hyperlink"/>
                <w:noProof/>
                <w:lang w:val="lv-LV"/>
              </w:rPr>
              <w:t>2.2</w:t>
            </w:r>
            <w:r w:rsidR="004949C7">
              <w:rPr>
                <w:rFonts w:asciiTheme="minorHAnsi" w:eastAsiaTheme="minorEastAsia" w:hAnsiTheme="minorHAnsi"/>
                <w:noProof/>
                <w:sz w:val="22"/>
                <w:szCs w:val="22"/>
                <w:lang w:eastAsia="en-GB"/>
              </w:rPr>
              <w:tab/>
            </w:r>
            <w:r w:rsidR="004949C7" w:rsidRPr="00CD4F2F">
              <w:rPr>
                <w:rStyle w:val="Hyperlink"/>
                <w:noProof/>
                <w:lang w:val="lv-LV"/>
              </w:rPr>
              <w:t>Licences un atļaujas, un citas inspekciju izdotās apliecības/ standarti par atbilstību</w:t>
            </w:r>
            <w:r w:rsidR="004949C7">
              <w:rPr>
                <w:noProof/>
                <w:webHidden/>
              </w:rPr>
              <w:tab/>
            </w:r>
            <w:r w:rsidR="004949C7">
              <w:rPr>
                <w:noProof/>
                <w:webHidden/>
              </w:rPr>
              <w:fldChar w:fldCharType="begin"/>
            </w:r>
            <w:r w:rsidR="004949C7">
              <w:rPr>
                <w:noProof/>
                <w:webHidden/>
              </w:rPr>
              <w:instrText xml:space="preserve"> PAGEREF _Toc389226079 \h </w:instrText>
            </w:r>
            <w:r w:rsidR="004949C7">
              <w:rPr>
                <w:noProof/>
                <w:webHidden/>
              </w:rPr>
            </w:r>
            <w:r w:rsidR="004949C7">
              <w:rPr>
                <w:noProof/>
                <w:webHidden/>
              </w:rPr>
              <w:fldChar w:fldCharType="separate"/>
            </w:r>
            <w:r w:rsidR="004949C7">
              <w:rPr>
                <w:noProof/>
                <w:webHidden/>
              </w:rPr>
              <w:t>22</w:t>
            </w:r>
            <w:r w:rsidR="004949C7">
              <w:rPr>
                <w:noProof/>
                <w:webHidden/>
              </w:rPr>
              <w:fldChar w:fldCharType="end"/>
            </w:r>
          </w:hyperlink>
        </w:p>
        <w:p w:rsidR="004949C7" w:rsidRDefault="00B360A7">
          <w:pPr>
            <w:pStyle w:val="TOC2"/>
            <w:rPr>
              <w:rFonts w:asciiTheme="minorHAnsi" w:eastAsiaTheme="minorEastAsia" w:hAnsiTheme="minorHAnsi"/>
              <w:noProof/>
              <w:sz w:val="22"/>
              <w:szCs w:val="22"/>
              <w:lang w:eastAsia="en-GB"/>
            </w:rPr>
          </w:pPr>
          <w:hyperlink w:anchor="_Toc389226080" w:history="1">
            <w:r w:rsidR="004949C7" w:rsidRPr="00CD4F2F">
              <w:rPr>
                <w:rStyle w:val="Hyperlink"/>
                <w:noProof/>
                <w:lang w:val="lv-LV"/>
              </w:rPr>
              <w:t>2.3</w:t>
            </w:r>
            <w:r w:rsidR="004949C7">
              <w:rPr>
                <w:rFonts w:asciiTheme="minorHAnsi" w:eastAsiaTheme="minorEastAsia" w:hAnsiTheme="minorHAnsi"/>
                <w:noProof/>
                <w:sz w:val="22"/>
                <w:szCs w:val="22"/>
                <w:lang w:eastAsia="en-GB"/>
              </w:rPr>
              <w:tab/>
            </w:r>
            <w:r w:rsidR="004949C7" w:rsidRPr="00CD4F2F">
              <w:rPr>
                <w:rStyle w:val="Hyperlink"/>
                <w:noProof/>
                <w:lang w:val="lv-LV"/>
              </w:rPr>
              <w:t>Būvniecības process</w:t>
            </w:r>
            <w:r w:rsidR="004949C7">
              <w:rPr>
                <w:noProof/>
                <w:webHidden/>
              </w:rPr>
              <w:tab/>
            </w:r>
            <w:r w:rsidR="004949C7">
              <w:rPr>
                <w:noProof/>
                <w:webHidden/>
              </w:rPr>
              <w:fldChar w:fldCharType="begin"/>
            </w:r>
            <w:r w:rsidR="004949C7">
              <w:rPr>
                <w:noProof/>
                <w:webHidden/>
              </w:rPr>
              <w:instrText xml:space="preserve"> PAGEREF _Toc389226080 \h </w:instrText>
            </w:r>
            <w:r w:rsidR="004949C7">
              <w:rPr>
                <w:noProof/>
                <w:webHidden/>
              </w:rPr>
            </w:r>
            <w:r w:rsidR="004949C7">
              <w:rPr>
                <w:noProof/>
                <w:webHidden/>
              </w:rPr>
              <w:fldChar w:fldCharType="separate"/>
            </w:r>
            <w:r w:rsidR="004949C7">
              <w:rPr>
                <w:noProof/>
                <w:webHidden/>
              </w:rPr>
              <w:t>24</w:t>
            </w:r>
            <w:r w:rsidR="004949C7">
              <w:rPr>
                <w:noProof/>
                <w:webHidden/>
              </w:rPr>
              <w:fldChar w:fldCharType="end"/>
            </w:r>
          </w:hyperlink>
        </w:p>
        <w:p w:rsidR="004949C7" w:rsidRDefault="00B360A7">
          <w:pPr>
            <w:pStyle w:val="TOC2"/>
            <w:rPr>
              <w:rFonts w:asciiTheme="minorHAnsi" w:eastAsiaTheme="minorEastAsia" w:hAnsiTheme="minorHAnsi"/>
              <w:noProof/>
              <w:sz w:val="22"/>
              <w:szCs w:val="22"/>
              <w:lang w:eastAsia="en-GB"/>
            </w:rPr>
          </w:pPr>
          <w:hyperlink w:anchor="_Toc389226081" w:history="1">
            <w:r w:rsidR="004949C7" w:rsidRPr="00CD4F2F">
              <w:rPr>
                <w:rStyle w:val="Hyperlink"/>
                <w:noProof/>
                <w:lang w:val="lv-LV"/>
              </w:rPr>
              <w:t>2.4</w:t>
            </w:r>
            <w:r w:rsidR="004949C7">
              <w:rPr>
                <w:rFonts w:asciiTheme="minorHAnsi" w:eastAsiaTheme="minorEastAsia" w:hAnsiTheme="minorHAnsi"/>
                <w:noProof/>
                <w:sz w:val="22"/>
                <w:szCs w:val="22"/>
                <w:lang w:eastAsia="en-GB"/>
              </w:rPr>
              <w:tab/>
            </w:r>
            <w:r w:rsidR="004949C7" w:rsidRPr="00CD4F2F">
              <w:rPr>
                <w:rStyle w:val="Hyperlink"/>
                <w:noProof/>
                <w:lang w:val="lv-LV"/>
              </w:rPr>
              <w:t>Nekustamā īpašuma reģistrācija</w:t>
            </w:r>
            <w:r w:rsidR="004949C7">
              <w:rPr>
                <w:noProof/>
                <w:webHidden/>
              </w:rPr>
              <w:tab/>
            </w:r>
            <w:r w:rsidR="004949C7">
              <w:rPr>
                <w:noProof/>
                <w:webHidden/>
              </w:rPr>
              <w:fldChar w:fldCharType="begin"/>
            </w:r>
            <w:r w:rsidR="004949C7">
              <w:rPr>
                <w:noProof/>
                <w:webHidden/>
              </w:rPr>
              <w:instrText xml:space="preserve"> PAGEREF _Toc389226081 \h </w:instrText>
            </w:r>
            <w:r w:rsidR="004949C7">
              <w:rPr>
                <w:noProof/>
                <w:webHidden/>
              </w:rPr>
            </w:r>
            <w:r w:rsidR="004949C7">
              <w:rPr>
                <w:noProof/>
                <w:webHidden/>
              </w:rPr>
              <w:fldChar w:fldCharType="separate"/>
            </w:r>
            <w:r w:rsidR="004949C7">
              <w:rPr>
                <w:noProof/>
                <w:webHidden/>
              </w:rPr>
              <w:t>29</w:t>
            </w:r>
            <w:r w:rsidR="004949C7">
              <w:rPr>
                <w:noProof/>
                <w:webHidden/>
              </w:rPr>
              <w:fldChar w:fldCharType="end"/>
            </w:r>
          </w:hyperlink>
        </w:p>
        <w:p w:rsidR="004949C7" w:rsidRDefault="00B360A7">
          <w:pPr>
            <w:pStyle w:val="TOC2"/>
            <w:rPr>
              <w:rFonts w:asciiTheme="minorHAnsi" w:eastAsiaTheme="minorEastAsia" w:hAnsiTheme="minorHAnsi"/>
              <w:noProof/>
              <w:sz w:val="22"/>
              <w:szCs w:val="22"/>
              <w:lang w:eastAsia="en-GB"/>
            </w:rPr>
          </w:pPr>
          <w:hyperlink w:anchor="_Toc389226082" w:history="1">
            <w:r w:rsidR="004949C7" w:rsidRPr="00CD4F2F">
              <w:rPr>
                <w:rStyle w:val="Hyperlink"/>
                <w:noProof/>
                <w:lang w:val="lv-LV"/>
              </w:rPr>
              <w:t>2.5</w:t>
            </w:r>
            <w:r w:rsidR="004949C7">
              <w:rPr>
                <w:rFonts w:asciiTheme="minorHAnsi" w:eastAsiaTheme="minorEastAsia" w:hAnsiTheme="minorHAnsi"/>
                <w:noProof/>
                <w:sz w:val="22"/>
                <w:szCs w:val="22"/>
                <w:lang w:eastAsia="en-GB"/>
              </w:rPr>
              <w:tab/>
            </w:r>
            <w:r w:rsidR="004949C7" w:rsidRPr="00CD4F2F">
              <w:rPr>
                <w:rStyle w:val="Hyperlink"/>
                <w:noProof/>
                <w:lang w:val="lv-LV"/>
              </w:rPr>
              <w:t>Nodokļu administrēšana</w:t>
            </w:r>
            <w:r w:rsidR="004949C7">
              <w:rPr>
                <w:noProof/>
                <w:webHidden/>
              </w:rPr>
              <w:tab/>
            </w:r>
            <w:r w:rsidR="004949C7">
              <w:rPr>
                <w:noProof/>
                <w:webHidden/>
              </w:rPr>
              <w:fldChar w:fldCharType="begin"/>
            </w:r>
            <w:r w:rsidR="004949C7">
              <w:rPr>
                <w:noProof/>
                <w:webHidden/>
              </w:rPr>
              <w:instrText xml:space="preserve"> PAGEREF _Toc389226082 \h </w:instrText>
            </w:r>
            <w:r w:rsidR="004949C7">
              <w:rPr>
                <w:noProof/>
                <w:webHidden/>
              </w:rPr>
            </w:r>
            <w:r w:rsidR="004949C7">
              <w:rPr>
                <w:noProof/>
                <w:webHidden/>
              </w:rPr>
              <w:fldChar w:fldCharType="separate"/>
            </w:r>
            <w:r w:rsidR="004949C7">
              <w:rPr>
                <w:noProof/>
                <w:webHidden/>
              </w:rPr>
              <w:t>32</w:t>
            </w:r>
            <w:r w:rsidR="004949C7">
              <w:rPr>
                <w:noProof/>
                <w:webHidden/>
              </w:rPr>
              <w:fldChar w:fldCharType="end"/>
            </w:r>
          </w:hyperlink>
        </w:p>
        <w:p w:rsidR="004949C7" w:rsidRDefault="00B360A7">
          <w:pPr>
            <w:pStyle w:val="TOC2"/>
            <w:rPr>
              <w:rFonts w:asciiTheme="minorHAnsi" w:eastAsiaTheme="minorEastAsia" w:hAnsiTheme="minorHAnsi"/>
              <w:noProof/>
              <w:sz w:val="22"/>
              <w:szCs w:val="22"/>
              <w:lang w:eastAsia="en-GB"/>
            </w:rPr>
          </w:pPr>
          <w:hyperlink w:anchor="_Toc389226083" w:history="1">
            <w:r w:rsidR="004949C7" w:rsidRPr="00CD4F2F">
              <w:rPr>
                <w:rStyle w:val="Hyperlink"/>
                <w:noProof/>
                <w:lang w:val="lv-LV"/>
              </w:rPr>
              <w:t>2.6</w:t>
            </w:r>
            <w:r w:rsidR="004949C7">
              <w:rPr>
                <w:rFonts w:asciiTheme="minorHAnsi" w:eastAsiaTheme="minorEastAsia" w:hAnsiTheme="minorHAnsi"/>
                <w:noProof/>
                <w:sz w:val="22"/>
                <w:szCs w:val="22"/>
                <w:lang w:eastAsia="en-GB"/>
              </w:rPr>
              <w:tab/>
            </w:r>
            <w:r w:rsidR="004949C7" w:rsidRPr="00CD4F2F">
              <w:rPr>
                <w:rStyle w:val="Hyperlink"/>
                <w:noProof/>
                <w:lang w:val="lv-LV"/>
              </w:rPr>
              <w:t>Investoru aizsardzība</w:t>
            </w:r>
            <w:r w:rsidR="004949C7">
              <w:rPr>
                <w:noProof/>
                <w:webHidden/>
              </w:rPr>
              <w:tab/>
            </w:r>
            <w:r w:rsidR="004949C7">
              <w:rPr>
                <w:noProof/>
                <w:webHidden/>
              </w:rPr>
              <w:fldChar w:fldCharType="begin"/>
            </w:r>
            <w:r w:rsidR="004949C7">
              <w:rPr>
                <w:noProof/>
                <w:webHidden/>
              </w:rPr>
              <w:instrText xml:space="preserve"> PAGEREF _Toc389226083 \h </w:instrText>
            </w:r>
            <w:r w:rsidR="004949C7">
              <w:rPr>
                <w:noProof/>
                <w:webHidden/>
              </w:rPr>
            </w:r>
            <w:r w:rsidR="004949C7">
              <w:rPr>
                <w:noProof/>
                <w:webHidden/>
              </w:rPr>
              <w:fldChar w:fldCharType="separate"/>
            </w:r>
            <w:r w:rsidR="004949C7">
              <w:rPr>
                <w:noProof/>
                <w:webHidden/>
              </w:rPr>
              <w:t>37</w:t>
            </w:r>
            <w:r w:rsidR="004949C7">
              <w:rPr>
                <w:noProof/>
                <w:webHidden/>
              </w:rPr>
              <w:fldChar w:fldCharType="end"/>
            </w:r>
          </w:hyperlink>
        </w:p>
        <w:p w:rsidR="004949C7" w:rsidRDefault="00B360A7">
          <w:pPr>
            <w:pStyle w:val="TOC2"/>
            <w:rPr>
              <w:rFonts w:asciiTheme="minorHAnsi" w:eastAsiaTheme="minorEastAsia" w:hAnsiTheme="minorHAnsi"/>
              <w:noProof/>
              <w:sz w:val="22"/>
              <w:szCs w:val="22"/>
              <w:lang w:eastAsia="en-GB"/>
            </w:rPr>
          </w:pPr>
          <w:hyperlink w:anchor="_Toc389226084" w:history="1">
            <w:r w:rsidR="004949C7" w:rsidRPr="00CD4F2F">
              <w:rPr>
                <w:rStyle w:val="Hyperlink"/>
                <w:noProof/>
                <w:lang w:val="lv-LV"/>
              </w:rPr>
              <w:t>2.7</w:t>
            </w:r>
            <w:r w:rsidR="004949C7">
              <w:rPr>
                <w:rFonts w:asciiTheme="minorHAnsi" w:eastAsiaTheme="minorEastAsia" w:hAnsiTheme="minorHAnsi"/>
                <w:noProof/>
                <w:sz w:val="22"/>
                <w:szCs w:val="22"/>
                <w:lang w:eastAsia="en-GB"/>
              </w:rPr>
              <w:tab/>
            </w:r>
            <w:r w:rsidR="004949C7" w:rsidRPr="00CD4F2F">
              <w:rPr>
                <w:rStyle w:val="Hyperlink"/>
                <w:noProof/>
                <w:lang w:val="lv-LV"/>
              </w:rPr>
              <w:t>Pārrobežu tirdzniecība</w:t>
            </w:r>
            <w:r w:rsidR="004949C7">
              <w:rPr>
                <w:noProof/>
                <w:webHidden/>
              </w:rPr>
              <w:tab/>
            </w:r>
            <w:r w:rsidR="004949C7">
              <w:rPr>
                <w:noProof/>
                <w:webHidden/>
              </w:rPr>
              <w:fldChar w:fldCharType="begin"/>
            </w:r>
            <w:r w:rsidR="004949C7">
              <w:rPr>
                <w:noProof/>
                <w:webHidden/>
              </w:rPr>
              <w:instrText xml:space="preserve"> PAGEREF _Toc389226084 \h </w:instrText>
            </w:r>
            <w:r w:rsidR="004949C7">
              <w:rPr>
                <w:noProof/>
                <w:webHidden/>
              </w:rPr>
            </w:r>
            <w:r w:rsidR="004949C7">
              <w:rPr>
                <w:noProof/>
                <w:webHidden/>
              </w:rPr>
              <w:fldChar w:fldCharType="separate"/>
            </w:r>
            <w:r w:rsidR="004949C7">
              <w:rPr>
                <w:noProof/>
                <w:webHidden/>
              </w:rPr>
              <w:t>39</w:t>
            </w:r>
            <w:r w:rsidR="004949C7">
              <w:rPr>
                <w:noProof/>
                <w:webHidden/>
              </w:rPr>
              <w:fldChar w:fldCharType="end"/>
            </w:r>
          </w:hyperlink>
        </w:p>
        <w:p w:rsidR="004949C7" w:rsidRDefault="00B360A7">
          <w:pPr>
            <w:pStyle w:val="TOC2"/>
            <w:rPr>
              <w:rFonts w:asciiTheme="minorHAnsi" w:eastAsiaTheme="minorEastAsia" w:hAnsiTheme="minorHAnsi"/>
              <w:noProof/>
              <w:sz w:val="22"/>
              <w:szCs w:val="22"/>
              <w:lang w:eastAsia="en-GB"/>
            </w:rPr>
          </w:pPr>
          <w:hyperlink w:anchor="_Toc389226085" w:history="1">
            <w:r w:rsidR="004949C7" w:rsidRPr="00CD4F2F">
              <w:rPr>
                <w:rStyle w:val="Hyperlink"/>
                <w:noProof/>
                <w:lang w:val="lv-LV"/>
              </w:rPr>
              <w:t>2.8</w:t>
            </w:r>
            <w:r w:rsidR="004949C7">
              <w:rPr>
                <w:rFonts w:asciiTheme="minorHAnsi" w:eastAsiaTheme="minorEastAsia" w:hAnsiTheme="minorHAnsi"/>
                <w:noProof/>
                <w:sz w:val="22"/>
                <w:szCs w:val="22"/>
                <w:lang w:eastAsia="en-GB"/>
              </w:rPr>
              <w:tab/>
            </w:r>
            <w:r w:rsidR="004949C7" w:rsidRPr="00CD4F2F">
              <w:rPr>
                <w:rStyle w:val="Hyperlink"/>
                <w:noProof/>
                <w:lang w:val="lv-LV"/>
              </w:rPr>
              <w:t>Līgumu izpilde (administratīvās tiesas un alternatīvie strīdu risināšanas veidi)</w:t>
            </w:r>
            <w:r w:rsidR="004949C7">
              <w:rPr>
                <w:noProof/>
                <w:webHidden/>
              </w:rPr>
              <w:tab/>
            </w:r>
            <w:r w:rsidR="004949C7">
              <w:rPr>
                <w:noProof/>
                <w:webHidden/>
              </w:rPr>
              <w:fldChar w:fldCharType="begin"/>
            </w:r>
            <w:r w:rsidR="004949C7">
              <w:rPr>
                <w:noProof/>
                <w:webHidden/>
              </w:rPr>
              <w:instrText xml:space="preserve"> PAGEREF _Toc389226085 \h </w:instrText>
            </w:r>
            <w:r w:rsidR="004949C7">
              <w:rPr>
                <w:noProof/>
                <w:webHidden/>
              </w:rPr>
            </w:r>
            <w:r w:rsidR="004949C7">
              <w:rPr>
                <w:noProof/>
                <w:webHidden/>
              </w:rPr>
              <w:fldChar w:fldCharType="separate"/>
            </w:r>
            <w:r w:rsidR="004949C7">
              <w:rPr>
                <w:noProof/>
                <w:webHidden/>
              </w:rPr>
              <w:t>42</w:t>
            </w:r>
            <w:r w:rsidR="004949C7">
              <w:rPr>
                <w:noProof/>
                <w:webHidden/>
              </w:rPr>
              <w:fldChar w:fldCharType="end"/>
            </w:r>
          </w:hyperlink>
        </w:p>
        <w:p w:rsidR="004949C7" w:rsidRDefault="00B360A7">
          <w:pPr>
            <w:pStyle w:val="TOC2"/>
            <w:rPr>
              <w:rFonts w:asciiTheme="minorHAnsi" w:eastAsiaTheme="minorEastAsia" w:hAnsiTheme="minorHAnsi"/>
              <w:noProof/>
              <w:sz w:val="22"/>
              <w:szCs w:val="22"/>
              <w:lang w:eastAsia="en-GB"/>
            </w:rPr>
          </w:pPr>
          <w:hyperlink w:anchor="_Toc389226086" w:history="1">
            <w:r w:rsidR="004949C7" w:rsidRPr="00CD4F2F">
              <w:rPr>
                <w:rStyle w:val="Hyperlink"/>
                <w:noProof/>
                <w:lang w:val="lv-LV"/>
              </w:rPr>
              <w:t>2.9</w:t>
            </w:r>
            <w:r w:rsidR="004949C7">
              <w:rPr>
                <w:rFonts w:asciiTheme="minorHAnsi" w:eastAsiaTheme="minorEastAsia" w:hAnsiTheme="minorHAnsi"/>
                <w:noProof/>
                <w:sz w:val="22"/>
                <w:szCs w:val="22"/>
                <w:lang w:eastAsia="en-GB"/>
              </w:rPr>
              <w:tab/>
            </w:r>
            <w:r w:rsidR="004949C7" w:rsidRPr="00CD4F2F">
              <w:rPr>
                <w:rStyle w:val="Hyperlink"/>
                <w:noProof/>
                <w:lang w:val="lv-LV"/>
              </w:rPr>
              <w:t>Uzņēmējdarbības izbeigšana</w:t>
            </w:r>
            <w:r w:rsidR="004949C7">
              <w:rPr>
                <w:noProof/>
                <w:webHidden/>
              </w:rPr>
              <w:tab/>
            </w:r>
            <w:r w:rsidR="004949C7">
              <w:rPr>
                <w:noProof/>
                <w:webHidden/>
              </w:rPr>
              <w:fldChar w:fldCharType="begin"/>
            </w:r>
            <w:r w:rsidR="004949C7">
              <w:rPr>
                <w:noProof/>
                <w:webHidden/>
              </w:rPr>
              <w:instrText xml:space="preserve"> PAGEREF _Toc389226086 \h </w:instrText>
            </w:r>
            <w:r w:rsidR="004949C7">
              <w:rPr>
                <w:noProof/>
                <w:webHidden/>
              </w:rPr>
            </w:r>
            <w:r w:rsidR="004949C7">
              <w:rPr>
                <w:noProof/>
                <w:webHidden/>
              </w:rPr>
              <w:fldChar w:fldCharType="separate"/>
            </w:r>
            <w:r w:rsidR="004949C7">
              <w:rPr>
                <w:noProof/>
                <w:webHidden/>
              </w:rPr>
              <w:t>43</w:t>
            </w:r>
            <w:r w:rsidR="004949C7">
              <w:rPr>
                <w:noProof/>
                <w:webHidden/>
              </w:rPr>
              <w:fldChar w:fldCharType="end"/>
            </w:r>
          </w:hyperlink>
        </w:p>
        <w:p w:rsidR="004949C7" w:rsidRDefault="00B360A7">
          <w:pPr>
            <w:pStyle w:val="TOC2"/>
            <w:rPr>
              <w:rFonts w:asciiTheme="minorHAnsi" w:eastAsiaTheme="minorEastAsia" w:hAnsiTheme="minorHAnsi"/>
              <w:noProof/>
              <w:sz w:val="22"/>
              <w:szCs w:val="22"/>
              <w:lang w:eastAsia="en-GB"/>
            </w:rPr>
          </w:pPr>
          <w:hyperlink w:anchor="_Toc389226087" w:history="1">
            <w:r w:rsidR="004949C7" w:rsidRPr="00CD4F2F">
              <w:rPr>
                <w:rStyle w:val="Hyperlink"/>
                <w:noProof/>
                <w:lang w:val="lv-LV"/>
              </w:rPr>
              <w:t>2.10</w:t>
            </w:r>
            <w:r w:rsidR="004949C7">
              <w:rPr>
                <w:rFonts w:asciiTheme="minorHAnsi" w:eastAsiaTheme="minorEastAsia" w:hAnsiTheme="minorHAnsi"/>
                <w:noProof/>
                <w:sz w:val="22"/>
                <w:szCs w:val="22"/>
                <w:lang w:eastAsia="en-GB"/>
              </w:rPr>
              <w:tab/>
            </w:r>
            <w:r w:rsidR="004949C7" w:rsidRPr="00CD4F2F">
              <w:rPr>
                <w:rStyle w:val="Hyperlink"/>
                <w:noProof/>
                <w:lang w:val="lv-LV"/>
              </w:rPr>
              <w:t>Darba tiesiskās attiecības (darbinieku nodarbināšana)</w:t>
            </w:r>
            <w:r w:rsidR="004949C7">
              <w:rPr>
                <w:noProof/>
                <w:webHidden/>
              </w:rPr>
              <w:tab/>
            </w:r>
            <w:r w:rsidR="004949C7">
              <w:rPr>
                <w:noProof/>
                <w:webHidden/>
              </w:rPr>
              <w:fldChar w:fldCharType="begin"/>
            </w:r>
            <w:r w:rsidR="004949C7">
              <w:rPr>
                <w:noProof/>
                <w:webHidden/>
              </w:rPr>
              <w:instrText xml:space="preserve"> PAGEREF _Toc389226087 \h </w:instrText>
            </w:r>
            <w:r w:rsidR="004949C7">
              <w:rPr>
                <w:noProof/>
                <w:webHidden/>
              </w:rPr>
            </w:r>
            <w:r w:rsidR="004949C7">
              <w:rPr>
                <w:noProof/>
                <w:webHidden/>
              </w:rPr>
              <w:fldChar w:fldCharType="separate"/>
            </w:r>
            <w:r w:rsidR="004949C7">
              <w:rPr>
                <w:noProof/>
                <w:webHidden/>
              </w:rPr>
              <w:t>47</w:t>
            </w:r>
            <w:r w:rsidR="004949C7">
              <w:rPr>
                <w:noProof/>
                <w:webHidden/>
              </w:rPr>
              <w:fldChar w:fldCharType="end"/>
            </w:r>
          </w:hyperlink>
        </w:p>
        <w:p w:rsidR="004949C7" w:rsidRDefault="00B360A7">
          <w:pPr>
            <w:pStyle w:val="TOC2"/>
            <w:rPr>
              <w:rFonts w:asciiTheme="minorHAnsi" w:eastAsiaTheme="minorEastAsia" w:hAnsiTheme="minorHAnsi"/>
              <w:noProof/>
              <w:sz w:val="22"/>
              <w:szCs w:val="22"/>
              <w:lang w:eastAsia="en-GB"/>
            </w:rPr>
          </w:pPr>
          <w:hyperlink w:anchor="_Toc389226088" w:history="1">
            <w:r w:rsidR="004949C7" w:rsidRPr="00CD4F2F">
              <w:rPr>
                <w:rStyle w:val="Hyperlink"/>
                <w:noProof/>
                <w:lang w:val="lv-LV"/>
              </w:rPr>
              <w:t>2.11</w:t>
            </w:r>
            <w:r w:rsidR="004949C7">
              <w:rPr>
                <w:rFonts w:asciiTheme="minorHAnsi" w:eastAsiaTheme="minorEastAsia" w:hAnsiTheme="minorHAnsi"/>
                <w:noProof/>
                <w:sz w:val="22"/>
                <w:szCs w:val="22"/>
                <w:lang w:eastAsia="en-GB"/>
              </w:rPr>
              <w:tab/>
            </w:r>
            <w:r w:rsidR="004949C7" w:rsidRPr="00CD4F2F">
              <w:rPr>
                <w:rStyle w:val="Hyperlink"/>
                <w:noProof/>
                <w:lang w:val="lv-LV"/>
              </w:rPr>
              <w:t>Elektroenerģijas pieslēgums</w:t>
            </w:r>
            <w:r w:rsidR="004949C7">
              <w:rPr>
                <w:noProof/>
                <w:webHidden/>
              </w:rPr>
              <w:tab/>
            </w:r>
            <w:r w:rsidR="004949C7">
              <w:rPr>
                <w:noProof/>
                <w:webHidden/>
              </w:rPr>
              <w:fldChar w:fldCharType="begin"/>
            </w:r>
            <w:r w:rsidR="004949C7">
              <w:rPr>
                <w:noProof/>
                <w:webHidden/>
              </w:rPr>
              <w:instrText xml:space="preserve"> PAGEREF _Toc389226088 \h </w:instrText>
            </w:r>
            <w:r w:rsidR="004949C7">
              <w:rPr>
                <w:noProof/>
                <w:webHidden/>
              </w:rPr>
            </w:r>
            <w:r w:rsidR="004949C7">
              <w:rPr>
                <w:noProof/>
                <w:webHidden/>
              </w:rPr>
              <w:fldChar w:fldCharType="separate"/>
            </w:r>
            <w:r w:rsidR="004949C7">
              <w:rPr>
                <w:noProof/>
                <w:webHidden/>
              </w:rPr>
              <w:t>50</w:t>
            </w:r>
            <w:r w:rsidR="004949C7">
              <w:rPr>
                <w:noProof/>
                <w:webHidden/>
              </w:rPr>
              <w:fldChar w:fldCharType="end"/>
            </w:r>
          </w:hyperlink>
        </w:p>
        <w:p w:rsidR="004949C7" w:rsidRDefault="00B360A7">
          <w:pPr>
            <w:pStyle w:val="TOC2"/>
            <w:rPr>
              <w:rFonts w:asciiTheme="minorHAnsi" w:eastAsiaTheme="minorEastAsia" w:hAnsiTheme="minorHAnsi"/>
              <w:noProof/>
              <w:sz w:val="22"/>
              <w:szCs w:val="22"/>
              <w:lang w:eastAsia="en-GB"/>
            </w:rPr>
          </w:pPr>
          <w:hyperlink w:anchor="_Toc389226089" w:history="1">
            <w:r w:rsidR="004949C7" w:rsidRPr="00CD4F2F">
              <w:rPr>
                <w:rStyle w:val="Hyperlink"/>
                <w:noProof/>
                <w:lang w:val="lv-LV"/>
              </w:rPr>
              <w:t>2.12</w:t>
            </w:r>
            <w:r w:rsidR="004949C7">
              <w:rPr>
                <w:rFonts w:asciiTheme="minorHAnsi" w:eastAsiaTheme="minorEastAsia" w:hAnsiTheme="minorHAnsi"/>
                <w:noProof/>
                <w:sz w:val="22"/>
                <w:szCs w:val="22"/>
                <w:lang w:eastAsia="en-GB"/>
              </w:rPr>
              <w:tab/>
            </w:r>
            <w:r w:rsidR="004949C7" w:rsidRPr="00CD4F2F">
              <w:rPr>
                <w:rStyle w:val="Hyperlink"/>
                <w:noProof/>
                <w:lang w:val="lv-LV"/>
              </w:rPr>
              <w:t>E-pakalpojumu pieejamība uzņēmējiem valsts un pašvaldību iestādēs</w:t>
            </w:r>
            <w:r w:rsidR="004949C7">
              <w:rPr>
                <w:noProof/>
                <w:webHidden/>
              </w:rPr>
              <w:tab/>
            </w:r>
            <w:r w:rsidR="004949C7">
              <w:rPr>
                <w:noProof/>
                <w:webHidden/>
              </w:rPr>
              <w:fldChar w:fldCharType="begin"/>
            </w:r>
            <w:r w:rsidR="004949C7">
              <w:rPr>
                <w:noProof/>
                <w:webHidden/>
              </w:rPr>
              <w:instrText xml:space="preserve"> PAGEREF _Toc389226089 \h </w:instrText>
            </w:r>
            <w:r w:rsidR="004949C7">
              <w:rPr>
                <w:noProof/>
                <w:webHidden/>
              </w:rPr>
            </w:r>
            <w:r w:rsidR="004949C7">
              <w:rPr>
                <w:noProof/>
                <w:webHidden/>
              </w:rPr>
              <w:fldChar w:fldCharType="separate"/>
            </w:r>
            <w:r w:rsidR="004949C7">
              <w:rPr>
                <w:noProof/>
                <w:webHidden/>
              </w:rPr>
              <w:t>54</w:t>
            </w:r>
            <w:r w:rsidR="004949C7">
              <w:rPr>
                <w:noProof/>
                <w:webHidden/>
              </w:rPr>
              <w:fldChar w:fldCharType="end"/>
            </w:r>
          </w:hyperlink>
        </w:p>
        <w:p w:rsidR="004949C7" w:rsidRDefault="00B360A7">
          <w:pPr>
            <w:pStyle w:val="TOC2"/>
            <w:rPr>
              <w:rFonts w:asciiTheme="minorHAnsi" w:eastAsiaTheme="minorEastAsia" w:hAnsiTheme="minorHAnsi"/>
              <w:noProof/>
              <w:sz w:val="22"/>
              <w:szCs w:val="22"/>
              <w:lang w:eastAsia="en-GB"/>
            </w:rPr>
          </w:pPr>
          <w:hyperlink w:anchor="_Toc389226090" w:history="1">
            <w:r w:rsidR="004949C7" w:rsidRPr="00CD4F2F">
              <w:rPr>
                <w:rStyle w:val="Hyperlink"/>
                <w:noProof/>
                <w:lang w:val="lv-LV"/>
              </w:rPr>
              <w:t>2.13</w:t>
            </w:r>
            <w:r w:rsidR="004949C7">
              <w:rPr>
                <w:rFonts w:asciiTheme="minorHAnsi" w:eastAsiaTheme="minorEastAsia" w:hAnsiTheme="minorHAnsi"/>
                <w:noProof/>
                <w:sz w:val="22"/>
                <w:szCs w:val="22"/>
                <w:lang w:eastAsia="en-GB"/>
              </w:rPr>
              <w:tab/>
            </w:r>
            <w:r w:rsidR="004949C7" w:rsidRPr="00CD4F2F">
              <w:rPr>
                <w:rStyle w:val="Hyperlink"/>
                <w:noProof/>
                <w:lang w:val="lv-LV"/>
              </w:rPr>
              <w:t>Valsts un pašvaldību iepirkumi</w:t>
            </w:r>
            <w:r w:rsidR="004949C7">
              <w:rPr>
                <w:noProof/>
                <w:webHidden/>
              </w:rPr>
              <w:tab/>
            </w:r>
            <w:r w:rsidR="004949C7">
              <w:rPr>
                <w:noProof/>
                <w:webHidden/>
              </w:rPr>
              <w:fldChar w:fldCharType="begin"/>
            </w:r>
            <w:r w:rsidR="004949C7">
              <w:rPr>
                <w:noProof/>
                <w:webHidden/>
              </w:rPr>
              <w:instrText xml:space="preserve"> PAGEREF _Toc389226090 \h </w:instrText>
            </w:r>
            <w:r w:rsidR="004949C7">
              <w:rPr>
                <w:noProof/>
                <w:webHidden/>
              </w:rPr>
            </w:r>
            <w:r w:rsidR="004949C7">
              <w:rPr>
                <w:noProof/>
                <w:webHidden/>
              </w:rPr>
              <w:fldChar w:fldCharType="separate"/>
            </w:r>
            <w:r w:rsidR="004949C7">
              <w:rPr>
                <w:noProof/>
                <w:webHidden/>
              </w:rPr>
              <w:t>56</w:t>
            </w:r>
            <w:r w:rsidR="004949C7">
              <w:rPr>
                <w:noProof/>
                <w:webHidden/>
              </w:rPr>
              <w:fldChar w:fldCharType="end"/>
            </w:r>
          </w:hyperlink>
        </w:p>
        <w:p w:rsidR="004949C7" w:rsidRDefault="00B360A7">
          <w:pPr>
            <w:pStyle w:val="TOC1"/>
            <w:tabs>
              <w:tab w:val="right" w:pos="9854"/>
            </w:tabs>
            <w:rPr>
              <w:rFonts w:asciiTheme="minorHAnsi" w:eastAsiaTheme="minorEastAsia" w:hAnsiTheme="minorHAnsi"/>
              <w:noProof/>
              <w:sz w:val="22"/>
              <w:szCs w:val="22"/>
              <w:lang w:eastAsia="en-GB"/>
            </w:rPr>
          </w:pPr>
          <w:hyperlink w:anchor="_Toc389226091" w:history="1">
            <w:r w:rsidR="004949C7" w:rsidRPr="00CD4F2F">
              <w:rPr>
                <w:rStyle w:val="Hyperlink"/>
                <w:noProof/>
                <w:lang w:val="lv-LV"/>
              </w:rPr>
              <w:t>3</w:t>
            </w:r>
            <w:r w:rsidR="004949C7">
              <w:rPr>
                <w:rFonts w:asciiTheme="minorHAnsi" w:eastAsiaTheme="minorEastAsia" w:hAnsiTheme="minorHAnsi"/>
                <w:noProof/>
                <w:sz w:val="22"/>
                <w:szCs w:val="22"/>
                <w:lang w:eastAsia="en-GB"/>
              </w:rPr>
              <w:tab/>
            </w:r>
            <w:r w:rsidR="004949C7" w:rsidRPr="00CD4F2F">
              <w:rPr>
                <w:rStyle w:val="Hyperlink"/>
                <w:noProof/>
                <w:lang w:val="lv-LV"/>
              </w:rPr>
              <w:t>Ziņojuma kopsavilkums</w:t>
            </w:r>
            <w:r w:rsidR="004949C7">
              <w:rPr>
                <w:noProof/>
                <w:webHidden/>
              </w:rPr>
              <w:tab/>
            </w:r>
            <w:r w:rsidR="004949C7">
              <w:rPr>
                <w:noProof/>
                <w:webHidden/>
              </w:rPr>
              <w:fldChar w:fldCharType="begin"/>
            </w:r>
            <w:r w:rsidR="004949C7">
              <w:rPr>
                <w:noProof/>
                <w:webHidden/>
              </w:rPr>
              <w:instrText xml:space="preserve"> PAGEREF _Toc389226091 \h </w:instrText>
            </w:r>
            <w:r w:rsidR="004949C7">
              <w:rPr>
                <w:noProof/>
                <w:webHidden/>
              </w:rPr>
            </w:r>
            <w:r w:rsidR="004949C7">
              <w:rPr>
                <w:noProof/>
                <w:webHidden/>
              </w:rPr>
              <w:fldChar w:fldCharType="separate"/>
            </w:r>
            <w:r w:rsidR="004949C7">
              <w:rPr>
                <w:noProof/>
                <w:webHidden/>
              </w:rPr>
              <w:t>58</w:t>
            </w:r>
            <w:r w:rsidR="004949C7">
              <w:rPr>
                <w:noProof/>
                <w:webHidden/>
              </w:rPr>
              <w:fldChar w:fldCharType="end"/>
            </w:r>
          </w:hyperlink>
        </w:p>
        <w:p w:rsidR="004949C7" w:rsidRDefault="00B360A7">
          <w:pPr>
            <w:pStyle w:val="TOC1"/>
            <w:tabs>
              <w:tab w:val="right" w:pos="9854"/>
            </w:tabs>
            <w:rPr>
              <w:rFonts w:asciiTheme="minorHAnsi" w:eastAsiaTheme="minorEastAsia" w:hAnsiTheme="minorHAnsi"/>
              <w:noProof/>
              <w:sz w:val="22"/>
              <w:szCs w:val="22"/>
              <w:lang w:eastAsia="en-GB"/>
            </w:rPr>
          </w:pPr>
          <w:hyperlink w:anchor="_Toc389226092" w:history="1">
            <w:r w:rsidR="004949C7" w:rsidRPr="00CD4F2F">
              <w:rPr>
                <w:rStyle w:val="Hyperlink"/>
                <w:noProof/>
                <w:lang w:val="lv-LV"/>
              </w:rPr>
              <w:t>I pielikums. Priekšlikumi turpmākai rīcībai</w:t>
            </w:r>
            <w:r w:rsidR="004949C7">
              <w:rPr>
                <w:noProof/>
                <w:webHidden/>
              </w:rPr>
              <w:tab/>
            </w:r>
            <w:r w:rsidR="004949C7">
              <w:rPr>
                <w:noProof/>
                <w:webHidden/>
              </w:rPr>
              <w:fldChar w:fldCharType="begin"/>
            </w:r>
            <w:r w:rsidR="004949C7">
              <w:rPr>
                <w:noProof/>
                <w:webHidden/>
              </w:rPr>
              <w:instrText xml:space="preserve"> PAGEREF _Toc389226092 \h </w:instrText>
            </w:r>
            <w:r w:rsidR="004949C7">
              <w:rPr>
                <w:noProof/>
                <w:webHidden/>
              </w:rPr>
            </w:r>
            <w:r w:rsidR="004949C7">
              <w:rPr>
                <w:noProof/>
                <w:webHidden/>
              </w:rPr>
              <w:fldChar w:fldCharType="separate"/>
            </w:r>
            <w:r w:rsidR="004949C7">
              <w:rPr>
                <w:noProof/>
                <w:webHidden/>
              </w:rPr>
              <w:t>69</w:t>
            </w:r>
            <w:r w:rsidR="004949C7">
              <w:rPr>
                <w:noProof/>
                <w:webHidden/>
              </w:rPr>
              <w:fldChar w:fldCharType="end"/>
            </w:r>
          </w:hyperlink>
        </w:p>
        <w:p w:rsidR="004949C7" w:rsidRDefault="00B360A7">
          <w:pPr>
            <w:pStyle w:val="TOC1"/>
            <w:tabs>
              <w:tab w:val="right" w:pos="9854"/>
            </w:tabs>
            <w:rPr>
              <w:rFonts w:asciiTheme="minorHAnsi" w:eastAsiaTheme="minorEastAsia" w:hAnsiTheme="minorHAnsi"/>
              <w:noProof/>
              <w:sz w:val="22"/>
              <w:szCs w:val="22"/>
              <w:lang w:eastAsia="en-GB"/>
            </w:rPr>
          </w:pPr>
          <w:hyperlink w:anchor="_Toc389226093" w:history="1">
            <w:r w:rsidR="004949C7" w:rsidRPr="00CD4F2F">
              <w:rPr>
                <w:rStyle w:val="Hyperlink"/>
                <w:noProof/>
                <w:lang w:val="lv-LV"/>
              </w:rPr>
              <w:t>II pielikums. Papildus izvirzītie priekšlikumi</w:t>
            </w:r>
            <w:r w:rsidR="004949C7">
              <w:rPr>
                <w:noProof/>
                <w:webHidden/>
              </w:rPr>
              <w:tab/>
            </w:r>
            <w:r w:rsidR="004949C7">
              <w:rPr>
                <w:noProof/>
                <w:webHidden/>
              </w:rPr>
              <w:fldChar w:fldCharType="begin"/>
            </w:r>
            <w:r w:rsidR="004949C7">
              <w:rPr>
                <w:noProof/>
                <w:webHidden/>
              </w:rPr>
              <w:instrText xml:space="preserve"> PAGEREF _Toc389226093 \h </w:instrText>
            </w:r>
            <w:r w:rsidR="004949C7">
              <w:rPr>
                <w:noProof/>
                <w:webHidden/>
              </w:rPr>
            </w:r>
            <w:r w:rsidR="004949C7">
              <w:rPr>
                <w:noProof/>
                <w:webHidden/>
              </w:rPr>
              <w:fldChar w:fldCharType="separate"/>
            </w:r>
            <w:r w:rsidR="004949C7">
              <w:rPr>
                <w:noProof/>
                <w:webHidden/>
              </w:rPr>
              <w:t>84</w:t>
            </w:r>
            <w:r w:rsidR="004949C7">
              <w:rPr>
                <w:noProof/>
                <w:webHidden/>
              </w:rPr>
              <w:fldChar w:fldCharType="end"/>
            </w:r>
          </w:hyperlink>
        </w:p>
        <w:p w:rsidR="008C6F3B" w:rsidRPr="0019406C" w:rsidRDefault="002E214C" w:rsidP="00D95E9E">
          <w:pPr>
            <w:pStyle w:val="TOC1"/>
            <w:tabs>
              <w:tab w:val="right" w:pos="9062"/>
            </w:tabs>
            <w:ind w:left="0" w:firstLine="0"/>
            <w:rPr>
              <w:rFonts w:asciiTheme="majorHAnsi" w:hAnsiTheme="majorHAnsi"/>
              <w:lang w:val="lv-LV"/>
            </w:rPr>
          </w:pPr>
          <w:r w:rsidRPr="0019406C">
            <w:rPr>
              <w:rFonts w:asciiTheme="majorHAnsi" w:hAnsiTheme="majorHAnsi"/>
              <w:lang w:val="lv-LV"/>
            </w:rPr>
            <w:fldChar w:fldCharType="end"/>
          </w:r>
        </w:p>
      </w:sdtContent>
    </w:sdt>
    <w:p w:rsidR="0068777A" w:rsidRPr="0019406C" w:rsidRDefault="003420A1" w:rsidP="000A3EF2">
      <w:pPr>
        <w:rPr>
          <w:lang w:val="lv-LV"/>
        </w:rPr>
      </w:pPr>
      <w:bookmarkStart w:id="0" w:name="_Toc373835050"/>
      <w:bookmarkStart w:id="1" w:name="_Toc376419496"/>
      <w:bookmarkStart w:id="2" w:name="_Toc381343936"/>
      <w:bookmarkStart w:id="3" w:name="_Toc381463890"/>
      <w:bookmarkStart w:id="4" w:name="_Toc381483887"/>
      <w:bookmarkStart w:id="5" w:name="_Toc381635991"/>
      <w:bookmarkStart w:id="6" w:name="_Toc381703611"/>
      <w:bookmarkStart w:id="7" w:name="_Toc381856462"/>
      <w:bookmarkStart w:id="8" w:name="_Toc381871705"/>
      <w:bookmarkStart w:id="9" w:name="_Toc381950446"/>
      <w:bookmarkStart w:id="10" w:name="_Toc381950597"/>
      <w:bookmarkStart w:id="11" w:name="_Toc381968875"/>
      <w:bookmarkStart w:id="12" w:name="_Toc381978983"/>
      <w:bookmarkStart w:id="13" w:name="_Toc381979636"/>
      <w:bookmarkStart w:id="14" w:name="_Toc381980461"/>
      <w:r w:rsidRPr="0019406C">
        <w:rPr>
          <w:lang w:val="lv-LV"/>
        </w:rPr>
        <w:t xml:space="preserve"> </w:t>
      </w:r>
    </w:p>
    <w:p w:rsidR="00D11F61" w:rsidRPr="0019406C" w:rsidRDefault="003420A1" w:rsidP="003420A1">
      <w:pPr>
        <w:pStyle w:val="Heading1"/>
        <w:numPr>
          <w:ilvl w:val="0"/>
          <w:numId w:val="0"/>
        </w:numPr>
        <w:ind w:left="432" w:hanging="432"/>
        <w:rPr>
          <w:lang w:val="lv-LV"/>
        </w:rPr>
      </w:pPr>
      <w:r w:rsidRPr="0019406C">
        <w:rPr>
          <w:lang w:val="lv-LV"/>
        </w:rPr>
        <w:lastRenderedPageBreak/>
        <w:t xml:space="preserve"> </w:t>
      </w:r>
      <w:bookmarkStart w:id="15" w:name="_Toc389226064"/>
      <w:r w:rsidR="00D11F61" w:rsidRPr="0019406C">
        <w:rPr>
          <w:lang w:val="lv-LV"/>
        </w:rPr>
        <w:t>Tabulu saraksts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rsidR="002424B9" w:rsidRDefault="002E214C">
      <w:pPr>
        <w:pStyle w:val="TableofFigures"/>
        <w:tabs>
          <w:tab w:val="right" w:leader="dot" w:pos="9854"/>
        </w:tabs>
        <w:rPr>
          <w:rFonts w:asciiTheme="minorHAnsi" w:eastAsiaTheme="minorEastAsia" w:hAnsiTheme="minorHAnsi"/>
          <w:noProof/>
          <w:sz w:val="22"/>
          <w:szCs w:val="22"/>
          <w:lang w:eastAsia="en-GB"/>
        </w:rPr>
      </w:pPr>
      <w:r w:rsidRPr="0019406C">
        <w:rPr>
          <w:rFonts w:asciiTheme="majorHAnsi" w:hAnsiTheme="majorHAnsi"/>
          <w:b/>
          <w:bCs/>
          <w:i/>
          <w:lang w:val="lv-LV"/>
        </w:rPr>
        <w:fldChar w:fldCharType="begin"/>
      </w:r>
      <w:r w:rsidR="00BA0F6C" w:rsidRPr="0019406C">
        <w:rPr>
          <w:rFonts w:asciiTheme="majorHAnsi" w:hAnsiTheme="majorHAnsi"/>
          <w:lang w:val="lv-LV"/>
        </w:rPr>
        <w:instrText xml:space="preserve"> TOC \h \z \c "Tabula" </w:instrText>
      </w:r>
      <w:r w:rsidRPr="0019406C">
        <w:rPr>
          <w:rFonts w:asciiTheme="majorHAnsi" w:hAnsiTheme="majorHAnsi"/>
          <w:b/>
          <w:bCs/>
          <w:i/>
          <w:lang w:val="lv-LV"/>
        </w:rPr>
        <w:fldChar w:fldCharType="separate"/>
      </w:r>
      <w:hyperlink w:anchor="_Toc389225075" w:history="1">
        <w:r w:rsidR="002424B9" w:rsidRPr="00481395">
          <w:rPr>
            <w:rStyle w:val="Hyperlink"/>
            <w:noProof/>
            <w:lang w:val="lv-LV"/>
          </w:rPr>
          <w:t>Tabula 1 Latvijas uzņēmumu statistika un aptaujas izlases raksturojums (CSP sagatavotā informācija)</w:t>
        </w:r>
        <w:r w:rsidR="002424B9">
          <w:rPr>
            <w:noProof/>
            <w:webHidden/>
          </w:rPr>
          <w:tab/>
        </w:r>
        <w:r w:rsidR="002424B9">
          <w:rPr>
            <w:noProof/>
            <w:webHidden/>
          </w:rPr>
          <w:fldChar w:fldCharType="begin"/>
        </w:r>
        <w:r w:rsidR="002424B9">
          <w:rPr>
            <w:noProof/>
            <w:webHidden/>
          </w:rPr>
          <w:instrText xml:space="preserve"> PAGEREF _Toc389225075 \h </w:instrText>
        </w:r>
        <w:r w:rsidR="002424B9">
          <w:rPr>
            <w:noProof/>
            <w:webHidden/>
          </w:rPr>
        </w:r>
        <w:r w:rsidR="002424B9">
          <w:rPr>
            <w:noProof/>
            <w:webHidden/>
          </w:rPr>
          <w:fldChar w:fldCharType="separate"/>
        </w:r>
        <w:r w:rsidR="004949C7">
          <w:rPr>
            <w:noProof/>
            <w:webHidden/>
          </w:rPr>
          <w:t>9</w:t>
        </w:r>
        <w:r w:rsidR="002424B9">
          <w:rPr>
            <w:noProof/>
            <w:webHidden/>
          </w:rPr>
          <w:fldChar w:fldCharType="end"/>
        </w:r>
      </w:hyperlink>
    </w:p>
    <w:p w:rsidR="002424B9" w:rsidRDefault="00B360A7">
      <w:pPr>
        <w:pStyle w:val="TableofFigures"/>
        <w:tabs>
          <w:tab w:val="right" w:leader="dot" w:pos="9854"/>
        </w:tabs>
        <w:rPr>
          <w:rFonts w:asciiTheme="minorHAnsi" w:eastAsiaTheme="minorEastAsia" w:hAnsiTheme="minorHAnsi"/>
          <w:noProof/>
          <w:sz w:val="22"/>
          <w:szCs w:val="22"/>
          <w:lang w:eastAsia="en-GB"/>
        </w:rPr>
      </w:pPr>
      <w:hyperlink w:anchor="_Toc389225076" w:history="1">
        <w:r w:rsidR="002424B9" w:rsidRPr="00481395">
          <w:rPr>
            <w:rStyle w:val="Hyperlink"/>
            <w:noProof/>
            <w:lang w:val="lv-LV"/>
          </w:rPr>
          <w:t>Tabula 2 Sasniegtās izlases raksturojums</w:t>
        </w:r>
        <w:r w:rsidR="002424B9">
          <w:rPr>
            <w:noProof/>
            <w:webHidden/>
          </w:rPr>
          <w:tab/>
        </w:r>
        <w:r w:rsidR="002424B9">
          <w:rPr>
            <w:noProof/>
            <w:webHidden/>
          </w:rPr>
          <w:fldChar w:fldCharType="begin"/>
        </w:r>
        <w:r w:rsidR="002424B9">
          <w:rPr>
            <w:noProof/>
            <w:webHidden/>
          </w:rPr>
          <w:instrText xml:space="preserve"> PAGEREF _Toc389225076 \h </w:instrText>
        </w:r>
        <w:r w:rsidR="002424B9">
          <w:rPr>
            <w:noProof/>
            <w:webHidden/>
          </w:rPr>
        </w:r>
        <w:r w:rsidR="002424B9">
          <w:rPr>
            <w:noProof/>
            <w:webHidden/>
          </w:rPr>
          <w:fldChar w:fldCharType="separate"/>
        </w:r>
        <w:r w:rsidR="004949C7">
          <w:rPr>
            <w:noProof/>
            <w:webHidden/>
          </w:rPr>
          <w:t>11</w:t>
        </w:r>
        <w:r w:rsidR="002424B9">
          <w:rPr>
            <w:noProof/>
            <w:webHidden/>
          </w:rPr>
          <w:fldChar w:fldCharType="end"/>
        </w:r>
      </w:hyperlink>
    </w:p>
    <w:p w:rsidR="002424B9" w:rsidRDefault="00B360A7">
      <w:pPr>
        <w:pStyle w:val="TableofFigures"/>
        <w:tabs>
          <w:tab w:val="right" w:leader="dot" w:pos="9854"/>
        </w:tabs>
        <w:rPr>
          <w:rFonts w:asciiTheme="minorHAnsi" w:eastAsiaTheme="minorEastAsia" w:hAnsiTheme="minorHAnsi"/>
          <w:noProof/>
          <w:sz w:val="22"/>
          <w:szCs w:val="22"/>
          <w:lang w:eastAsia="en-GB"/>
        </w:rPr>
      </w:pPr>
      <w:hyperlink w:anchor="_Toc389225077" w:history="1">
        <w:r w:rsidR="002424B9" w:rsidRPr="00481395">
          <w:rPr>
            <w:rStyle w:val="Hyperlink"/>
            <w:noProof/>
            <w:lang w:val="lv-LV"/>
          </w:rPr>
          <w:t>Tabula 3 Kopējais nerespondences raksturojums</w:t>
        </w:r>
        <w:r w:rsidR="002424B9">
          <w:rPr>
            <w:noProof/>
            <w:webHidden/>
          </w:rPr>
          <w:tab/>
        </w:r>
        <w:r w:rsidR="002424B9">
          <w:rPr>
            <w:noProof/>
            <w:webHidden/>
          </w:rPr>
          <w:fldChar w:fldCharType="begin"/>
        </w:r>
        <w:r w:rsidR="002424B9">
          <w:rPr>
            <w:noProof/>
            <w:webHidden/>
          </w:rPr>
          <w:instrText xml:space="preserve"> PAGEREF _Toc389225077 \h </w:instrText>
        </w:r>
        <w:r w:rsidR="002424B9">
          <w:rPr>
            <w:noProof/>
            <w:webHidden/>
          </w:rPr>
        </w:r>
        <w:r w:rsidR="002424B9">
          <w:rPr>
            <w:noProof/>
            <w:webHidden/>
          </w:rPr>
          <w:fldChar w:fldCharType="separate"/>
        </w:r>
        <w:r w:rsidR="004949C7">
          <w:rPr>
            <w:noProof/>
            <w:webHidden/>
          </w:rPr>
          <w:t>14</w:t>
        </w:r>
        <w:r w:rsidR="002424B9">
          <w:rPr>
            <w:noProof/>
            <w:webHidden/>
          </w:rPr>
          <w:fldChar w:fldCharType="end"/>
        </w:r>
      </w:hyperlink>
    </w:p>
    <w:p w:rsidR="002424B9" w:rsidRDefault="00B360A7">
      <w:pPr>
        <w:pStyle w:val="TableofFigures"/>
        <w:tabs>
          <w:tab w:val="right" w:leader="dot" w:pos="9854"/>
        </w:tabs>
        <w:rPr>
          <w:rFonts w:asciiTheme="minorHAnsi" w:eastAsiaTheme="minorEastAsia" w:hAnsiTheme="minorHAnsi"/>
          <w:noProof/>
          <w:sz w:val="22"/>
          <w:szCs w:val="22"/>
          <w:lang w:eastAsia="en-GB"/>
        </w:rPr>
      </w:pPr>
      <w:hyperlink w:anchor="_Toc389225078" w:history="1">
        <w:r w:rsidR="002424B9" w:rsidRPr="00481395">
          <w:rPr>
            <w:rStyle w:val="Hyperlink"/>
            <w:rFonts w:asciiTheme="majorHAnsi" w:hAnsiTheme="majorHAnsi"/>
            <w:noProof/>
            <w:lang w:val="lv-LV"/>
          </w:rPr>
          <w:t>Tabula 4 „Starting a business”, uzņēmējdarbības uzsākšanas indekss</w:t>
        </w:r>
        <w:r w:rsidR="002424B9">
          <w:rPr>
            <w:noProof/>
            <w:webHidden/>
          </w:rPr>
          <w:tab/>
        </w:r>
        <w:r w:rsidR="002424B9">
          <w:rPr>
            <w:noProof/>
            <w:webHidden/>
          </w:rPr>
          <w:fldChar w:fldCharType="begin"/>
        </w:r>
        <w:r w:rsidR="002424B9">
          <w:rPr>
            <w:noProof/>
            <w:webHidden/>
          </w:rPr>
          <w:instrText xml:space="preserve"> PAGEREF _Toc389225078 \h </w:instrText>
        </w:r>
        <w:r w:rsidR="002424B9">
          <w:rPr>
            <w:noProof/>
            <w:webHidden/>
          </w:rPr>
        </w:r>
        <w:r w:rsidR="002424B9">
          <w:rPr>
            <w:noProof/>
            <w:webHidden/>
          </w:rPr>
          <w:fldChar w:fldCharType="separate"/>
        </w:r>
        <w:r w:rsidR="004949C7">
          <w:rPr>
            <w:noProof/>
            <w:webHidden/>
          </w:rPr>
          <w:t>19</w:t>
        </w:r>
        <w:r w:rsidR="002424B9">
          <w:rPr>
            <w:noProof/>
            <w:webHidden/>
          </w:rPr>
          <w:fldChar w:fldCharType="end"/>
        </w:r>
      </w:hyperlink>
    </w:p>
    <w:p w:rsidR="002424B9" w:rsidRDefault="00B360A7">
      <w:pPr>
        <w:pStyle w:val="TableofFigures"/>
        <w:tabs>
          <w:tab w:val="right" w:leader="dot" w:pos="9854"/>
        </w:tabs>
        <w:rPr>
          <w:rFonts w:asciiTheme="minorHAnsi" w:eastAsiaTheme="minorEastAsia" w:hAnsiTheme="minorHAnsi"/>
          <w:noProof/>
          <w:sz w:val="22"/>
          <w:szCs w:val="22"/>
          <w:lang w:eastAsia="en-GB"/>
        </w:rPr>
      </w:pPr>
      <w:hyperlink w:anchor="_Toc389225079" w:history="1">
        <w:r w:rsidR="002424B9" w:rsidRPr="00481395">
          <w:rPr>
            <w:rStyle w:val="Hyperlink"/>
            <w:rFonts w:asciiTheme="majorHAnsi" w:hAnsiTheme="majorHAnsi"/>
            <w:noProof/>
            <w:lang w:val="lv-LV"/>
          </w:rPr>
          <w:t>Tabula 5 Uzņēmējdarbības reģistrēšanas procesa ilguma salīdzinājums</w:t>
        </w:r>
        <w:r w:rsidR="002424B9">
          <w:rPr>
            <w:noProof/>
            <w:webHidden/>
          </w:rPr>
          <w:tab/>
        </w:r>
        <w:r w:rsidR="002424B9">
          <w:rPr>
            <w:noProof/>
            <w:webHidden/>
          </w:rPr>
          <w:fldChar w:fldCharType="begin"/>
        </w:r>
        <w:r w:rsidR="002424B9">
          <w:rPr>
            <w:noProof/>
            <w:webHidden/>
          </w:rPr>
          <w:instrText xml:space="preserve"> PAGEREF _Toc389225079 \h </w:instrText>
        </w:r>
        <w:r w:rsidR="002424B9">
          <w:rPr>
            <w:noProof/>
            <w:webHidden/>
          </w:rPr>
        </w:r>
        <w:r w:rsidR="002424B9">
          <w:rPr>
            <w:noProof/>
            <w:webHidden/>
          </w:rPr>
          <w:fldChar w:fldCharType="separate"/>
        </w:r>
        <w:r w:rsidR="004949C7">
          <w:rPr>
            <w:noProof/>
            <w:webHidden/>
          </w:rPr>
          <w:t>20</w:t>
        </w:r>
        <w:r w:rsidR="002424B9">
          <w:rPr>
            <w:noProof/>
            <w:webHidden/>
          </w:rPr>
          <w:fldChar w:fldCharType="end"/>
        </w:r>
      </w:hyperlink>
    </w:p>
    <w:p w:rsidR="002424B9" w:rsidRDefault="00B360A7">
      <w:pPr>
        <w:pStyle w:val="TableofFigures"/>
        <w:tabs>
          <w:tab w:val="right" w:leader="dot" w:pos="9854"/>
        </w:tabs>
        <w:rPr>
          <w:rFonts w:asciiTheme="minorHAnsi" w:eastAsiaTheme="minorEastAsia" w:hAnsiTheme="minorHAnsi"/>
          <w:noProof/>
          <w:sz w:val="22"/>
          <w:szCs w:val="22"/>
          <w:lang w:eastAsia="en-GB"/>
        </w:rPr>
      </w:pPr>
      <w:hyperlink w:anchor="_Toc389225080" w:history="1">
        <w:r w:rsidR="002424B9" w:rsidRPr="00481395">
          <w:rPr>
            <w:rStyle w:val="Hyperlink"/>
            <w:rFonts w:asciiTheme="majorHAnsi" w:hAnsiTheme="majorHAnsi"/>
            <w:noProof/>
            <w:lang w:val="lv-LV"/>
          </w:rPr>
          <w:t>Tabula 6 Uzņēmējdarbības reģistrēšanas laika un izmaksu attīstības salīdzinājums kopš iepriekšējā pētījuma</w:t>
        </w:r>
        <w:r w:rsidR="002424B9">
          <w:rPr>
            <w:noProof/>
            <w:webHidden/>
          </w:rPr>
          <w:tab/>
        </w:r>
        <w:r w:rsidR="002424B9">
          <w:rPr>
            <w:noProof/>
            <w:webHidden/>
          </w:rPr>
          <w:fldChar w:fldCharType="begin"/>
        </w:r>
        <w:r w:rsidR="002424B9">
          <w:rPr>
            <w:noProof/>
            <w:webHidden/>
          </w:rPr>
          <w:instrText xml:space="preserve"> PAGEREF _Toc389225080 \h </w:instrText>
        </w:r>
        <w:r w:rsidR="002424B9">
          <w:rPr>
            <w:noProof/>
            <w:webHidden/>
          </w:rPr>
        </w:r>
        <w:r w:rsidR="002424B9">
          <w:rPr>
            <w:noProof/>
            <w:webHidden/>
          </w:rPr>
          <w:fldChar w:fldCharType="separate"/>
        </w:r>
        <w:r w:rsidR="004949C7">
          <w:rPr>
            <w:noProof/>
            <w:webHidden/>
          </w:rPr>
          <w:t>20</w:t>
        </w:r>
        <w:r w:rsidR="002424B9">
          <w:rPr>
            <w:noProof/>
            <w:webHidden/>
          </w:rPr>
          <w:fldChar w:fldCharType="end"/>
        </w:r>
      </w:hyperlink>
    </w:p>
    <w:p w:rsidR="002424B9" w:rsidRDefault="00B360A7">
      <w:pPr>
        <w:pStyle w:val="TableofFigures"/>
        <w:tabs>
          <w:tab w:val="right" w:leader="dot" w:pos="9854"/>
        </w:tabs>
        <w:rPr>
          <w:rFonts w:asciiTheme="minorHAnsi" w:eastAsiaTheme="minorEastAsia" w:hAnsiTheme="minorHAnsi"/>
          <w:noProof/>
          <w:sz w:val="22"/>
          <w:szCs w:val="22"/>
          <w:lang w:eastAsia="en-GB"/>
        </w:rPr>
      </w:pPr>
      <w:hyperlink w:anchor="_Toc389225081" w:history="1">
        <w:r w:rsidR="002424B9" w:rsidRPr="00481395">
          <w:rPr>
            <w:rStyle w:val="Hyperlink"/>
            <w:rFonts w:asciiTheme="majorHAnsi" w:hAnsiTheme="majorHAnsi"/>
            <w:noProof/>
            <w:lang w:val="lv-LV"/>
          </w:rPr>
          <w:t>Tabula 7 „Dealing with construction permits”, būvniecības procesa uzsākšanas indekss</w:t>
        </w:r>
        <w:r w:rsidR="002424B9">
          <w:rPr>
            <w:noProof/>
            <w:webHidden/>
          </w:rPr>
          <w:tab/>
        </w:r>
        <w:r w:rsidR="002424B9">
          <w:rPr>
            <w:noProof/>
            <w:webHidden/>
          </w:rPr>
          <w:fldChar w:fldCharType="begin"/>
        </w:r>
        <w:r w:rsidR="002424B9">
          <w:rPr>
            <w:noProof/>
            <w:webHidden/>
          </w:rPr>
          <w:instrText xml:space="preserve"> PAGEREF _Toc389225081 \h </w:instrText>
        </w:r>
        <w:r w:rsidR="002424B9">
          <w:rPr>
            <w:noProof/>
            <w:webHidden/>
          </w:rPr>
        </w:r>
        <w:r w:rsidR="002424B9">
          <w:rPr>
            <w:noProof/>
            <w:webHidden/>
          </w:rPr>
          <w:fldChar w:fldCharType="separate"/>
        </w:r>
        <w:r w:rsidR="004949C7">
          <w:rPr>
            <w:noProof/>
            <w:webHidden/>
          </w:rPr>
          <w:t>26</w:t>
        </w:r>
        <w:r w:rsidR="002424B9">
          <w:rPr>
            <w:noProof/>
            <w:webHidden/>
          </w:rPr>
          <w:fldChar w:fldCharType="end"/>
        </w:r>
      </w:hyperlink>
    </w:p>
    <w:p w:rsidR="002424B9" w:rsidRDefault="00B360A7">
      <w:pPr>
        <w:pStyle w:val="TableofFigures"/>
        <w:tabs>
          <w:tab w:val="right" w:leader="dot" w:pos="9854"/>
        </w:tabs>
        <w:rPr>
          <w:rFonts w:asciiTheme="minorHAnsi" w:eastAsiaTheme="minorEastAsia" w:hAnsiTheme="minorHAnsi"/>
          <w:noProof/>
          <w:sz w:val="22"/>
          <w:szCs w:val="22"/>
          <w:lang w:eastAsia="en-GB"/>
        </w:rPr>
      </w:pPr>
      <w:hyperlink w:anchor="_Toc389225082" w:history="1">
        <w:r w:rsidR="002424B9" w:rsidRPr="00481395">
          <w:rPr>
            <w:rStyle w:val="Hyperlink"/>
            <w:rFonts w:asciiTheme="majorHAnsi" w:hAnsiTheme="majorHAnsi"/>
            <w:noProof/>
            <w:lang w:val="lv-LV"/>
          </w:rPr>
          <w:t>Tabula 8 DB būvniecības procesa rādītāju salīdzinājums</w:t>
        </w:r>
        <w:r w:rsidR="002424B9">
          <w:rPr>
            <w:noProof/>
            <w:webHidden/>
          </w:rPr>
          <w:tab/>
        </w:r>
        <w:r w:rsidR="002424B9">
          <w:rPr>
            <w:noProof/>
            <w:webHidden/>
          </w:rPr>
          <w:fldChar w:fldCharType="begin"/>
        </w:r>
        <w:r w:rsidR="002424B9">
          <w:rPr>
            <w:noProof/>
            <w:webHidden/>
          </w:rPr>
          <w:instrText xml:space="preserve"> PAGEREF _Toc389225082 \h </w:instrText>
        </w:r>
        <w:r w:rsidR="002424B9">
          <w:rPr>
            <w:noProof/>
            <w:webHidden/>
          </w:rPr>
        </w:r>
        <w:r w:rsidR="002424B9">
          <w:rPr>
            <w:noProof/>
            <w:webHidden/>
          </w:rPr>
          <w:fldChar w:fldCharType="separate"/>
        </w:r>
        <w:r w:rsidR="004949C7">
          <w:rPr>
            <w:noProof/>
            <w:webHidden/>
          </w:rPr>
          <w:t>26</w:t>
        </w:r>
        <w:r w:rsidR="002424B9">
          <w:rPr>
            <w:noProof/>
            <w:webHidden/>
          </w:rPr>
          <w:fldChar w:fldCharType="end"/>
        </w:r>
      </w:hyperlink>
    </w:p>
    <w:p w:rsidR="002424B9" w:rsidRDefault="00B360A7">
      <w:pPr>
        <w:pStyle w:val="TableofFigures"/>
        <w:tabs>
          <w:tab w:val="right" w:leader="dot" w:pos="9854"/>
        </w:tabs>
        <w:rPr>
          <w:rFonts w:asciiTheme="minorHAnsi" w:eastAsiaTheme="minorEastAsia" w:hAnsiTheme="minorHAnsi"/>
          <w:noProof/>
          <w:sz w:val="22"/>
          <w:szCs w:val="22"/>
          <w:lang w:eastAsia="en-GB"/>
        </w:rPr>
      </w:pPr>
      <w:hyperlink w:anchor="_Toc389225083" w:history="1">
        <w:r w:rsidR="002424B9" w:rsidRPr="00481395">
          <w:rPr>
            <w:rStyle w:val="Hyperlink"/>
            <w:rFonts w:asciiTheme="majorHAnsi" w:hAnsiTheme="majorHAnsi"/>
            <w:noProof/>
            <w:lang w:val="lv-LV"/>
          </w:rPr>
          <w:t>Tabula 9 Doing Business labā prakse būvniecības procesa jomā</w:t>
        </w:r>
        <w:r w:rsidR="002424B9">
          <w:rPr>
            <w:noProof/>
            <w:webHidden/>
          </w:rPr>
          <w:tab/>
        </w:r>
        <w:r w:rsidR="002424B9">
          <w:rPr>
            <w:noProof/>
            <w:webHidden/>
          </w:rPr>
          <w:fldChar w:fldCharType="begin"/>
        </w:r>
        <w:r w:rsidR="002424B9">
          <w:rPr>
            <w:noProof/>
            <w:webHidden/>
          </w:rPr>
          <w:instrText xml:space="preserve"> PAGEREF _Toc389225083 \h </w:instrText>
        </w:r>
        <w:r w:rsidR="002424B9">
          <w:rPr>
            <w:noProof/>
            <w:webHidden/>
          </w:rPr>
        </w:r>
        <w:r w:rsidR="002424B9">
          <w:rPr>
            <w:noProof/>
            <w:webHidden/>
          </w:rPr>
          <w:fldChar w:fldCharType="separate"/>
        </w:r>
        <w:r w:rsidR="004949C7">
          <w:rPr>
            <w:noProof/>
            <w:webHidden/>
          </w:rPr>
          <w:t>26</w:t>
        </w:r>
        <w:r w:rsidR="002424B9">
          <w:rPr>
            <w:noProof/>
            <w:webHidden/>
          </w:rPr>
          <w:fldChar w:fldCharType="end"/>
        </w:r>
      </w:hyperlink>
    </w:p>
    <w:p w:rsidR="002424B9" w:rsidRDefault="00B360A7">
      <w:pPr>
        <w:pStyle w:val="TableofFigures"/>
        <w:tabs>
          <w:tab w:val="right" w:leader="dot" w:pos="9854"/>
        </w:tabs>
        <w:rPr>
          <w:rFonts w:asciiTheme="minorHAnsi" w:eastAsiaTheme="minorEastAsia" w:hAnsiTheme="minorHAnsi"/>
          <w:noProof/>
          <w:sz w:val="22"/>
          <w:szCs w:val="22"/>
          <w:lang w:eastAsia="en-GB"/>
        </w:rPr>
      </w:pPr>
      <w:hyperlink w:anchor="_Toc389225084" w:history="1">
        <w:r w:rsidR="002424B9" w:rsidRPr="00481395">
          <w:rPr>
            <w:rStyle w:val="Hyperlink"/>
            <w:rFonts w:asciiTheme="majorHAnsi" w:hAnsiTheme="majorHAnsi"/>
            <w:noProof/>
            <w:lang w:val="lv-LV"/>
          </w:rPr>
          <w:t>Tabula 10 “Registering Property”, nekustamā īpašuma reģistrācijas indekss</w:t>
        </w:r>
        <w:r w:rsidR="002424B9">
          <w:rPr>
            <w:noProof/>
            <w:webHidden/>
          </w:rPr>
          <w:tab/>
        </w:r>
        <w:r w:rsidR="002424B9">
          <w:rPr>
            <w:noProof/>
            <w:webHidden/>
          </w:rPr>
          <w:fldChar w:fldCharType="begin"/>
        </w:r>
        <w:r w:rsidR="002424B9">
          <w:rPr>
            <w:noProof/>
            <w:webHidden/>
          </w:rPr>
          <w:instrText xml:space="preserve"> PAGEREF _Toc389225084 \h </w:instrText>
        </w:r>
        <w:r w:rsidR="002424B9">
          <w:rPr>
            <w:noProof/>
            <w:webHidden/>
          </w:rPr>
        </w:r>
        <w:r w:rsidR="002424B9">
          <w:rPr>
            <w:noProof/>
            <w:webHidden/>
          </w:rPr>
          <w:fldChar w:fldCharType="separate"/>
        </w:r>
        <w:r w:rsidR="004949C7">
          <w:rPr>
            <w:noProof/>
            <w:webHidden/>
          </w:rPr>
          <w:t>30</w:t>
        </w:r>
        <w:r w:rsidR="002424B9">
          <w:rPr>
            <w:noProof/>
            <w:webHidden/>
          </w:rPr>
          <w:fldChar w:fldCharType="end"/>
        </w:r>
      </w:hyperlink>
    </w:p>
    <w:p w:rsidR="002424B9" w:rsidRDefault="00B360A7">
      <w:pPr>
        <w:pStyle w:val="TableofFigures"/>
        <w:tabs>
          <w:tab w:val="right" w:leader="dot" w:pos="9854"/>
        </w:tabs>
        <w:rPr>
          <w:rFonts w:asciiTheme="minorHAnsi" w:eastAsiaTheme="minorEastAsia" w:hAnsiTheme="minorHAnsi"/>
          <w:noProof/>
          <w:sz w:val="22"/>
          <w:szCs w:val="22"/>
          <w:lang w:eastAsia="en-GB"/>
        </w:rPr>
      </w:pPr>
      <w:hyperlink w:anchor="_Toc389225085" w:history="1">
        <w:r w:rsidR="002424B9" w:rsidRPr="00481395">
          <w:rPr>
            <w:rStyle w:val="Hyperlink"/>
            <w:rFonts w:asciiTheme="majorHAnsi" w:hAnsiTheme="majorHAnsi"/>
            <w:noProof/>
            <w:lang w:val="lv-LV"/>
          </w:rPr>
          <w:t>Tabula 11 Nekustamā īpašuma reģistrācijas procesa ilguma salīdzinājums</w:t>
        </w:r>
        <w:r w:rsidR="002424B9">
          <w:rPr>
            <w:noProof/>
            <w:webHidden/>
          </w:rPr>
          <w:tab/>
        </w:r>
        <w:r w:rsidR="002424B9">
          <w:rPr>
            <w:noProof/>
            <w:webHidden/>
          </w:rPr>
          <w:fldChar w:fldCharType="begin"/>
        </w:r>
        <w:r w:rsidR="002424B9">
          <w:rPr>
            <w:noProof/>
            <w:webHidden/>
          </w:rPr>
          <w:instrText xml:space="preserve"> PAGEREF _Toc389225085 \h </w:instrText>
        </w:r>
        <w:r w:rsidR="002424B9">
          <w:rPr>
            <w:noProof/>
            <w:webHidden/>
          </w:rPr>
        </w:r>
        <w:r w:rsidR="002424B9">
          <w:rPr>
            <w:noProof/>
            <w:webHidden/>
          </w:rPr>
          <w:fldChar w:fldCharType="separate"/>
        </w:r>
        <w:r w:rsidR="004949C7">
          <w:rPr>
            <w:noProof/>
            <w:webHidden/>
          </w:rPr>
          <w:t>30</w:t>
        </w:r>
        <w:r w:rsidR="002424B9">
          <w:rPr>
            <w:noProof/>
            <w:webHidden/>
          </w:rPr>
          <w:fldChar w:fldCharType="end"/>
        </w:r>
      </w:hyperlink>
    </w:p>
    <w:p w:rsidR="002424B9" w:rsidRDefault="00B360A7">
      <w:pPr>
        <w:pStyle w:val="TableofFigures"/>
        <w:tabs>
          <w:tab w:val="right" w:leader="dot" w:pos="9854"/>
        </w:tabs>
        <w:rPr>
          <w:rFonts w:asciiTheme="minorHAnsi" w:eastAsiaTheme="minorEastAsia" w:hAnsiTheme="minorHAnsi"/>
          <w:noProof/>
          <w:sz w:val="22"/>
          <w:szCs w:val="22"/>
          <w:lang w:eastAsia="en-GB"/>
        </w:rPr>
      </w:pPr>
      <w:hyperlink w:anchor="_Toc389225086" w:history="1">
        <w:r w:rsidR="002424B9" w:rsidRPr="00481395">
          <w:rPr>
            <w:rStyle w:val="Hyperlink"/>
            <w:rFonts w:asciiTheme="majorHAnsi" w:hAnsiTheme="majorHAnsi"/>
            <w:noProof/>
            <w:lang w:val="lv-LV"/>
          </w:rPr>
          <w:t>Tabula 12 "Paying Taxes", nodokļu sloga indekss</w:t>
        </w:r>
        <w:r w:rsidR="002424B9">
          <w:rPr>
            <w:noProof/>
            <w:webHidden/>
          </w:rPr>
          <w:tab/>
        </w:r>
        <w:r w:rsidR="002424B9">
          <w:rPr>
            <w:noProof/>
            <w:webHidden/>
          </w:rPr>
          <w:fldChar w:fldCharType="begin"/>
        </w:r>
        <w:r w:rsidR="002424B9">
          <w:rPr>
            <w:noProof/>
            <w:webHidden/>
          </w:rPr>
          <w:instrText xml:space="preserve"> PAGEREF _Toc389225086 \h </w:instrText>
        </w:r>
        <w:r w:rsidR="002424B9">
          <w:rPr>
            <w:noProof/>
            <w:webHidden/>
          </w:rPr>
        </w:r>
        <w:r w:rsidR="002424B9">
          <w:rPr>
            <w:noProof/>
            <w:webHidden/>
          </w:rPr>
          <w:fldChar w:fldCharType="separate"/>
        </w:r>
        <w:r w:rsidR="004949C7">
          <w:rPr>
            <w:noProof/>
            <w:webHidden/>
          </w:rPr>
          <w:t>33</w:t>
        </w:r>
        <w:r w:rsidR="002424B9">
          <w:rPr>
            <w:noProof/>
            <w:webHidden/>
          </w:rPr>
          <w:fldChar w:fldCharType="end"/>
        </w:r>
      </w:hyperlink>
    </w:p>
    <w:p w:rsidR="002424B9" w:rsidRDefault="00B360A7">
      <w:pPr>
        <w:pStyle w:val="TableofFigures"/>
        <w:tabs>
          <w:tab w:val="right" w:leader="dot" w:pos="9854"/>
        </w:tabs>
        <w:rPr>
          <w:rFonts w:asciiTheme="minorHAnsi" w:eastAsiaTheme="minorEastAsia" w:hAnsiTheme="minorHAnsi"/>
          <w:noProof/>
          <w:sz w:val="22"/>
          <w:szCs w:val="22"/>
          <w:lang w:eastAsia="en-GB"/>
        </w:rPr>
      </w:pPr>
      <w:hyperlink w:anchor="_Toc389225087" w:history="1">
        <w:r w:rsidR="002424B9" w:rsidRPr="00481395">
          <w:rPr>
            <w:rStyle w:val="Hyperlink"/>
            <w:rFonts w:asciiTheme="majorHAnsi" w:hAnsiTheme="majorHAnsi"/>
            <w:noProof/>
            <w:lang w:val="lv-LV"/>
          </w:rPr>
          <w:t>Tabula 13 Nodokļu reģistrēšanas procesa rādītāju salīdzinājums 2014. gadā</w:t>
        </w:r>
        <w:r w:rsidR="002424B9">
          <w:rPr>
            <w:noProof/>
            <w:webHidden/>
          </w:rPr>
          <w:tab/>
        </w:r>
        <w:r w:rsidR="002424B9">
          <w:rPr>
            <w:noProof/>
            <w:webHidden/>
          </w:rPr>
          <w:fldChar w:fldCharType="begin"/>
        </w:r>
        <w:r w:rsidR="002424B9">
          <w:rPr>
            <w:noProof/>
            <w:webHidden/>
          </w:rPr>
          <w:instrText xml:space="preserve"> PAGEREF _Toc389225087 \h </w:instrText>
        </w:r>
        <w:r w:rsidR="002424B9">
          <w:rPr>
            <w:noProof/>
            <w:webHidden/>
          </w:rPr>
        </w:r>
        <w:r w:rsidR="002424B9">
          <w:rPr>
            <w:noProof/>
            <w:webHidden/>
          </w:rPr>
          <w:fldChar w:fldCharType="separate"/>
        </w:r>
        <w:r w:rsidR="004949C7">
          <w:rPr>
            <w:noProof/>
            <w:webHidden/>
          </w:rPr>
          <w:t>34</w:t>
        </w:r>
        <w:r w:rsidR="002424B9">
          <w:rPr>
            <w:noProof/>
            <w:webHidden/>
          </w:rPr>
          <w:fldChar w:fldCharType="end"/>
        </w:r>
      </w:hyperlink>
    </w:p>
    <w:p w:rsidR="002424B9" w:rsidRDefault="00B360A7">
      <w:pPr>
        <w:pStyle w:val="TableofFigures"/>
        <w:tabs>
          <w:tab w:val="right" w:leader="dot" w:pos="9854"/>
        </w:tabs>
        <w:rPr>
          <w:rFonts w:asciiTheme="minorHAnsi" w:eastAsiaTheme="minorEastAsia" w:hAnsiTheme="minorHAnsi"/>
          <w:noProof/>
          <w:sz w:val="22"/>
          <w:szCs w:val="22"/>
          <w:lang w:eastAsia="en-GB"/>
        </w:rPr>
      </w:pPr>
      <w:hyperlink w:anchor="_Toc389225088" w:history="1">
        <w:r w:rsidR="002424B9" w:rsidRPr="00481395">
          <w:rPr>
            <w:rStyle w:val="Hyperlink"/>
            <w:rFonts w:asciiTheme="majorHAnsi" w:hAnsiTheme="majorHAnsi"/>
            <w:noProof/>
            <w:lang w:val="lv-LV"/>
          </w:rPr>
          <w:t>Tabula 14 GKI nodokļu apmēra un politikas ietekmes salīdzinājums</w:t>
        </w:r>
        <w:r w:rsidR="002424B9">
          <w:rPr>
            <w:noProof/>
            <w:webHidden/>
          </w:rPr>
          <w:tab/>
        </w:r>
        <w:r w:rsidR="002424B9">
          <w:rPr>
            <w:noProof/>
            <w:webHidden/>
          </w:rPr>
          <w:fldChar w:fldCharType="begin"/>
        </w:r>
        <w:r w:rsidR="002424B9">
          <w:rPr>
            <w:noProof/>
            <w:webHidden/>
          </w:rPr>
          <w:instrText xml:space="preserve"> PAGEREF _Toc389225088 \h </w:instrText>
        </w:r>
        <w:r w:rsidR="002424B9">
          <w:rPr>
            <w:noProof/>
            <w:webHidden/>
          </w:rPr>
        </w:r>
        <w:r w:rsidR="002424B9">
          <w:rPr>
            <w:noProof/>
            <w:webHidden/>
          </w:rPr>
          <w:fldChar w:fldCharType="separate"/>
        </w:r>
        <w:r w:rsidR="004949C7">
          <w:rPr>
            <w:noProof/>
            <w:webHidden/>
          </w:rPr>
          <w:t>34</w:t>
        </w:r>
        <w:r w:rsidR="002424B9">
          <w:rPr>
            <w:noProof/>
            <w:webHidden/>
          </w:rPr>
          <w:fldChar w:fldCharType="end"/>
        </w:r>
      </w:hyperlink>
    </w:p>
    <w:p w:rsidR="002424B9" w:rsidRDefault="00B360A7">
      <w:pPr>
        <w:pStyle w:val="TableofFigures"/>
        <w:tabs>
          <w:tab w:val="right" w:leader="dot" w:pos="9854"/>
        </w:tabs>
        <w:rPr>
          <w:rFonts w:asciiTheme="minorHAnsi" w:eastAsiaTheme="minorEastAsia" w:hAnsiTheme="minorHAnsi"/>
          <w:noProof/>
          <w:sz w:val="22"/>
          <w:szCs w:val="22"/>
          <w:lang w:eastAsia="en-GB"/>
        </w:rPr>
      </w:pPr>
      <w:hyperlink w:anchor="_Toc389225089" w:history="1">
        <w:r w:rsidR="002424B9" w:rsidRPr="00481395">
          <w:rPr>
            <w:rStyle w:val="Hyperlink"/>
            <w:rFonts w:asciiTheme="majorHAnsi" w:hAnsiTheme="majorHAnsi"/>
            <w:noProof/>
            <w:lang w:val="lv-LV"/>
          </w:rPr>
          <w:t>Tabula 15 “Protecting Investors”, investoru aizsardzības indekss</w:t>
        </w:r>
        <w:r w:rsidR="002424B9">
          <w:rPr>
            <w:noProof/>
            <w:webHidden/>
          </w:rPr>
          <w:tab/>
        </w:r>
        <w:r w:rsidR="002424B9">
          <w:rPr>
            <w:noProof/>
            <w:webHidden/>
          </w:rPr>
          <w:fldChar w:fldCharType="begin"/>
        </w:r>
        <w:r w:rsidR="002424B9">
          <w:rPr>
            <w:noProof/>
            <w:webHidden/>
          </w:rPr>
          <w:instrText xml:space="preserve"> PAGEREF _Toc389225089 \h </w:instrText>
        </w:r>
        <w:r w:rsidR="002424B9">
          <w:rPr>
            <w:noProof/>
            <w:webHidden/>
          </w:rPr>
        </w:r>
        <w:r w:rsidR="002424B9">
          <w:rPr>
            <w:noProof/>
            <w:webHidden/>
          </w:rPr>
          <w:fldChar w:fldCharType="separate"/>
        </w:r>
        <w:r w:rsidR="004949C7">
          <w:rPr>
            <w:noProof/>
            <w:webHidden/>
          </w:rPr>
          <w:t>37</w:t>
        </w:r>
        <w:r w:rsidR="002424B9">
          <w:rPr>
            <w:noProof/>
            <w:webHidden/>
          </w:rPr>
          <w:fldChar w:fldCharType="end"/>
        </w:r>
      </w:hyperlink>
    </w:p>
    <w:p w:rsidR="002424B9" w:rsidRDefault="00B360A7">
      <w:pPr>
        <w:pStyle w:val="TableofFigures"/>
        <w:tabs>
          <w:tab w:val="right" w:leader="dot" w:pos="9854"/>
        </w:tabs>
        <w:rPr>
          <w:rFonts w:asciiTheme="minorHAnsi" w:eastAsiaTheme="minorEastAsia" w:hAnsiTheme="minorHAnsi"/>
          <w:noProof/>
          <w:sz w:val="22"/>
          <w:szCs w:val="22"/>
          <w:lang w:eastAsia="en-GB"/>
        </w:rPr>
      </w:pPr>
      <w:hyperlink w:anchor="_Toc389225090" w:history="1">
        <w:r w:rsidR="002424B9" w:rsidRPr="00481395">
          <w:rPr>
            <w:rStyle w:val="Hyperlink"/>
            <w:rFonts w:asciiTheme="majorHAnsi" w:hAnsiTheme="majorHAnsi"/>
            <w:noProof/>
            <w:lang w:val="lv-LV"/>
          </w:rPr>
          <w:t>Tabula 16 Investoru aizsardzības kritēriju salīdzinājums</w:t>
        </w:r>
        <w:r w:rsidR="002424B9">
          <w:rPr>
            <w:noProof/>
            <w:webHidden/>
          </w:rPr>
          <w:tab/>
        </w:r>
        <w:r w:rsidR="002424B9">
          <w:rPr>
            <w:noProof/>
            <w:webHidden/>
          </w:rPr>
          <w:fldChar w:fldCharType="begin"/>
        </w:r>
        <w:r w:rsidR="002424B9">
          <w:rPr>
            <w:noProof/>
            <w:webHidden/>
          </w:rPr>
          <w:instrText xml:space="preserve"> PAGEREF _Toc389225090 \h </w:instrText>
        </w:r>
        <w:r w:rsidR="002424B9">
          <w:rPr>
            <w:noProof/>
            <w:webHidden/>
          </w:rPr>
        </w:r>
        <w:r w:rsidR="002424B9">
          <w:rPr>
            <w:noProof/>
            <w:webHidden/>
          </w:rPr>
          <w:fldChar w:fldCharType="separate"/>
        </w:r>
        <w:r w:rsidR="004949C7">
          <w:rPr>
            <w:noProof/>
            <w:webHidden/>
          </w:rPr>
          <w:t>38</w:t>
        </w:r>
        <w:r w:rsidR="002424B9">
          <w:rPr>
            <w:noProof/>
            <w:webHidden/>
          </w:rPr>
          <w:fldChar w:fldCharType="end"/>
        </w:r>
      </w:hyperlink>
    </w:p>
    <w:p w:rsidR="002424B9" w:rsidRDefault="00B360A7">
      <w:pPr>
        <w:pStyle w:val="TableofFigures"/>
        <w:tabs>
          <w:tab w:val="right" w:leader="dot" w:pos="9854"/>
        </w:tabs>
        <w:rPr>
          <w:rFonts w:asciiTheme="minorHAnsi" w:eastAsiaTheme="minorEastAsia" w:hAnsiTheme="minorHAnsi"/>
          <w:noProof/>
          <w:sz w:val="22"/>
          <w:szCs w:val="22"/>
          <w:lang w:eastAsia="en-GB"/>
        </w:rPr>
      </w:pPr>
      <w:hyperlink w:anchor="_Toc389225091" w:history="1">
        <w:r w:rsidR="002424B9" w:rsidRPr="00481395">
          <w:rPr>
            <w:rStyle w:val="Hyperlink"/>
            <w:rFonts w:asciiTheme="majorHAnsi" w:hAnsiTheme="majorHAnsi"/>
            <w:noProof/>
            <w:lang w:val="lv-LV"/>
          </w:rPr>
          <w:t>Tabula 17 GKI investoru aizsardzības indekss (vieta rangā)</w:t>
        </w:r>
        <w:r w:rsidR="002424B9">
          <w:rPr>
            <w:noProof/>
            <w:webHidden/>
          </w:rPr>
          <w:tab/>
        </w:r>
        <w:r w:rsidR="002424B9">
          <w:rPr>
            <w:noProof/>
            <w:webHidden/>
          </w:rPr>
          <w:fldChar w:fldCharType="begin"/>
        </w:r>
        <w:r w:rsidR="002424B9">
          <w:rPr>
            <w:noProof/>
            <w:webHidden/>
          </w:rPr>
          <w:instrText xml:space="preserve"> PAGEREF _Toc389225091 \h </w:instrText>
        </w:r>
        <w:r w:rsidR="002424B9">
          <w:rPr>
            <w:noProof/>
            <w:webHidden/>
          </w:rPr>
        </w:r>
        <w:r w:rsidR="002424B9">
          <w:rPr>
            <w:noProof/>
            <w:webHidden/>
          </w:rPr>
          <w:fldChar w:fldCharType="separate"/>
        </w:r>
        <w:r w:rsidR="004949C7">
          <w:rPr>
            <w:noProof/>
            <w:webHidden/>
          </w:rPr>
          <w:t>38</w:t>
        </w:r>
        <w:r w:rsidR="002424B9">
          <w:rPr>
            <w:noProof/>
            <w:webHidden/>
          </w:rPr>
          <w:fldChar w:fldCharType="end"/>
        </w:r>
      </w:hyperlink>
    </w:p>
    <w:p w:rsidR="002424B9" w:rsidRDefault="00B360A7">
      <w:pPr>
        <w:pStyle w:val="TableofFigures"/>
        <w:tabs>
          <w:tab w:val="right" w:leader="dot" w:pos="9854"/>
        </w:tabs>
        <w:rPr>
          <w:rFonts w:asciiTheme="minorHAnsi" w:eastAsiaTheme="minorEastAsia" w:hAnsiTheme="minorHAnsi"/>
          <w:noProof/>
          <w:sz w:val="22"/>
          <w:szCs w:val="22"/>
          <w:lang w:eastAsia="en-GB"/>
        </w:rPr>
      </w:pPr>
      <w:hyperlink w:anchor="_Toc389225092" w:history="1">
        <w:r w:rsidR="002424B9" w:rsidRPr="00481395">
          <w:rPr>
            <w:rStyle w:val="Hyperlink"/>
            <w:rFonts w:asciiTheme="majorHAnsi" w:hAnsiTheme="majorHAnsi"/>
            <w:noProof/>
            <w:lang w:val="lv-LV"/>
          </w:rPr>
          <w:t>Tabula 18 “Trading Across Borders”, pārrobežu tirdzniecības indekss</w:t>
        </w:r>
        <w:r w:rsidR="002424B9">
          <w:rPr>
            <w:noProof/>
            <w:webHidden/>
          </w:rPr>
          <w:tab/>
        </w:r>
        <w:r w:rsidR="002424B9">
          <w:rPr>
            <w:noProof/>
            <w:webHidden/>
          </w:rPr>
          <w:fldChar w:fldCharType="begin"/>
        </w:r>
        <w:r w:rsidR="002424B9">
          <w:rPr>
            <w:noProof/>
            <w:webHidden/>
          </w:rPr>
          <w:instrText xml:space="preserve"> PAGEREF _Toc389225092 \h </w:instrText>
        </w:r>
        <w:r w:rsidR="002424B9">
          <w:rPr>
            <w:noProof/>
            <w:webHidden/>
          </w:rPr>
        </w:r>
        <w:r w:rsidR="002424B9">
          <w:rPr>
            <w:noProof/>
            <w:webHidden/>
          </w:rPr>
          <w:fldChar w:fldCharType="separate"/>
        </w:r>
        <w:r w:rsidR="004949C7">
          <w:rPr>
            <w:noProof/>
            <w:webHidden/>
          </w:rPr>
          <w:t>41</w:t>
        </w:r>
        <w:r w:rsidR="002424B9">
          <w:rPr>
            <w:noProof/>
            <w:webHidden/>
          </w:rPr>
          <w:fldChar w:fldCharType="end"/>
        </w:r>
      </w:hyperlink>
    </w:p>
    <w:p w:rsidR="002424B9" w:rsidRDefault="00B360A7">
      <w:pPr>
        <w:pStyle w:val="TableofFigures"/>
        <w:tabs>
          <w:tab w:val="right" w:leader="dot" w:pos="9854"/>
        </w:tabs>
        <w:rPr>
          <w:rFonts w:asciiTheme="minorHAnsi" w:eastAsiaTheme="minorEastAsia" w:hAnsiTheme="minorHAnsi"/>
          <w:noProof/>
          <w:sz w:val="22"/>
          <w:szCs w:val="22"/>
          <w:lang w:eastAsia="en-GB"/>
        </w:rPr>
      </w:pPr>
      <w:hyperlink w:anchor="_Toc389225093" w:history="1">
        <w:r w:rsidR="002424B9" w:rsidRPr="00481395">
          <w:rPr>
            <w:rStyle w:val="Hyperlink"/>
            <w:rFonts w:asciiTheme="majorHAnsi" w:hAnsiTheme="majorHAnsi"/>
            <w:noProof/>
            <w:lang w:val="lv-LV"/>
          </w:rPr>
          <w:t>Tabula 19 Atmuitošanas procesa ilguma salīdzinājums</w:t>
        </w:r>
        <w:r w:rsidR="002424B9">
          <w:rPr>
            <w:noProof/>
            <w:webHidden/>
          </w:rPr>
          <w:tab/>
        </w:r>
        <w:r w:rsidR="002424B9">
          <w:rPr>
            <w:noProof/>
            <w:webHidden/>
          </w:rPr>
          <w:fldChar w:fldCharType="begin"/>
        </w:r>
        <w:r w:rsidR="002424B9">
          <w:rPr>
            <w:noProof/>
            <w:webHidden/>
          </w:rPr>
          <w:instrText xml:space="preserve"> PAGEREF _Toc389225093 \h </w:instrText>
        </w:r>
        <w:r w:rsidR="002424B9">
          <w:rPr>
            <w:noProof/>
            <w:webHidden/>
          </w:rPr>
        </w:r>
        <w:r w:rsidR="002424B9">
          <w:rPr>
            <w:noProof/>
            <w:webHidden/>
          </w:rPr>
          <w:fldChar w:fldCharType="separate"/>
        </w:r>
        <w:r w:rsidR="004949C7">
          <w:rPr>
            <w:noProof/>
            <w:webHidden/>
          </w:rPr>
          <w:t>41</w:t>
        </w:r>
        <w:r w:rsidR="002424B9">
          <w:rPr>
            <w:noProof/>
            <w:webHidden/>
          </w:rPr>
          <w:fldChar w:fldCharType="end"/>
        </w:r>
      </w:hyperlink>
    </w:p>
    <w:p w:rsidR="002424B9" w:rsidRDefault="00B360A7">
      <w:pPr>
        <w:pStyle w:val="TableofFigures"/>
        <w:tabs>
          <w:tab w:val="right" w:leader="dot" w:pos="9854"/>
        </w:tabs>
        <w:rPr>
          <w:rFonts w:asciiTheme="minorHAnsi" w:eastAsiaTheme="minorEastAsia" w:hAnsiTheme="minorHAnsi"/>
          <w:noProof/>
          <w:sz w:val="22"/>
          <w:szCs w:val="22"/>
          <w:lang w:eastAsia="en-GB"/>
        </w:rPr>
      </w:pPr>
      <w:hyperlink w:anchor="_Toc389225094" w:history="1">
        <w:r w:rsidR="002424B9" w:rsidRPr="00481395">
          <w:rPr>
            <w:rStyle w:val="Hyperlink"/>
            <w:rFonts w:asciiTheme="majorHAnsi" w:hAnsiTheme="majorHAnsi"/>
            <w:noProof/>
            <w:lang w:val="lv-LV"/>
          </w:rPr>
          <w:t>Tabula 20 "Enforcing Contracts", līgumu izpildes indekss</w:t>
        </w:r>
        <w:r w:rsidR="002424B9">
          <w:rPr>
            <w:noProof/>
            <w:webHidden/>
          </w:rPr>
          <w:tab/>
        </w:r>
        <w:r w:rsidR="002424B9">
          <w:rPr>
            <w:noProof/>
            <w:webHidden/>
          </w:rPr>
          <w:fldChar w:fldCharType="begin"/>
        </w:r>
        <w:r w:rsidR="002424B9">
          <w:rPr>
            <w:noProof/>
            <w:webHidden/>
          </w:rPr>
          <w:instrText xml:space="preserve"> PAGEREF _Toc389225094 \h </w:instrText>
        </w:r>
        <w:r w:rsidR="002424B9">
          <w:rPr>
            <w:noProof/>
            <w:webHidden/>
          </w:rPr>
        </w:r>
        <w:r w:rsidR="002424B9">
          <w:rPr>
            <w:noProof/>
            <w:webHidden/>
          </w:rPr>
          <w:fldChar w:fldCharType="separate"/>
        </w:r>
        <w:r w:rsidR="004949C7">
          <w:rPr>
            <w:noProof/>
            <w:webHidden/>
          </w:rPr>
          <w:t>42</w:t>
        </w:r>
        <w:r w:rsidR="002424B9">
          <w:rPr>
            <w:noProof/>
            <w:webHidden/>
          </w:rPr>
          <w:fldChar w:fldCharType="end"/>
        </w:r>
      </w:hyperlink>
    </w:p>
    <w:p w:rsidR="002424B9" w:rsidRDefault="00B360A7">
      <w:pPr>
        <w:pStyle w:val="TableofFigures"/>
        <w:tabs>
          <w:tab w:val="right" w:leader="dot" w:pos="9854"/>
        </w:tabs>
        <w:rPr>
          <w:rFonts w:asciiTheme="minorHAnsi" w:eastAsiaTheme="minorEastAsia" w:hAnsiTheme="minorHAnsi"/>
          <w:noProof/>
          <w:sz w:val="22"/>
          <w:szCs w:val="22"/>
          <w:lang w:eastAsia="en-GB"/>
        </w:rPr>
      </w:pPr>
      <w:hyperlink w:anchor="_Toc389225095" w:history="1">
        <w:r w:rsidR="002424B9" w:rsidRPr="00481395">
          <w:rPr>
            <w:rStyle w:val="Hyperlink"/>
            <w:rFonts w:asciiTheme="majorHAnsi" w:hAnsiTheme="majorHAnsi"/>
            <w:noProof/>
            <w:lang w:val="lv-LV"/>
          </w:rPr>
          <w:t>Tabula 21 Līgumu izpildes ilguma salīdzinājums</w:t>
        </w:r>
        <w:r w:rsidR="002424B9">
          <w:rPr>
            <w:noProof/>
            <w:webHidden/>
          </w:rPr>
          <w:tab/>
        </w:r>
        <w:r w:rsidR="002424B9">
          <w:rPr>
            <w:noProof/>
            <w:webHidden/>
          </w:rPr>
          <w:fldChar w:fldCharType="begin"/>
        </w:r>
        <w:r w:rsidR="002424B9">
          <w:rPr>
            <w:noProof/>
            <w:webHidden/>
          </w:rPr>
          <w:instrText xml:space="preserve"> PAGEREF _Toc389225095 \h </w:instrText>
        </w:r>
        <w:r w:rsidR="002424B9">
          <w:rPr>
            <w:noProof/>
            <w:webHidden/>
          </w:rPr>
        </w:r>
        <w:r w:rsidR="002424B9">
          <w:rPr>
            <w:noProof/>
            <w:webHidden/>
          </w:rPr>
          <w:fldChar w:fldCharType="separate"/>
        </w:r>
        <w:r w:rsidR="004949C7">
          <w:rPr>
            <w:noProof/>
            <w:webHidden/>
          </w:rPr>
          <w:t>42</w:t>
        </w:r>
        <w:r w:rsidR="002424B9">
          <w:rPr>
            <w:noProof/>
            <w:webHidden/>
          </w:rPr>
          <w:fldChar w:fldCharType="end"/>
        </w:r>
      </w:hyperlink>
    </w:p>
    <w:p w:rsidR="002424B9" w:rsidRDefault="00B360A7">
      <w:pPr>
        <w:pStyle w:val="TableofFigures"/>
        <w:tabs>
          <w:tab w:val="right" w:leader="dot" w:pos="9854"/>
        </w:tabs>
        <w:rPr>
          <w:rFonts w:asciiTheme="minorHAnsi" w:eastAsiaTheme="minorEastAsia" w:hAnsiTheme="minorHAnsi"/>
          <w:noProof/>
          <w:sz w:val="22"/>
          <w:szCs w:val="22"/>
          <w:lang w:eastAsia="en-GB"/>
        </w:rPr>
      </w:pPr>
      <w:hyperlink w:anchor="_Toc389225096" w:history="1">
        <w:r w:rsidR="002424B9" w:rsidRPr="00481395">
          <w:rPr>
            <w:rStyle w:val="Hyperlink"/>
            <w:rFonts w:asciiTheme="majorHAnsi" w:hAnsiTheme="majorHAnsi"/>
            <w:noProof/>
            <w:lang w:val="lv-LV"/>
          </w:rPr>
          <w:t>Tabula 22 "Resolving Inslovency", uzņēmējdarbības izbeigšanas indekss</w:t>
        </w:r>
        <w:r w:rsidR="002424B9">
          <w:rPr>
            <w:noProof/>
            <w:webHidden/>
          </w:rPr>
          <w:tab/>
        </w:r>
        <w:r w:rsidR="002424B9">
          <w:rPr>
            <w:noProof/>
            <w:webHidden/>
          </w:rPr>
          <w:fldChar w:fldCharType="begin"/>
        </w:r>
        <w:r w:rsidR="002424B9">
          <w:rPr>
            <w:noProof/>
            <w:webHidden/>
          </w:rPr>
          <w:instrText xml:space="preserve"> PAGEREF _Toc389225096 \h </w:instrText>
        </w:r>
        <w:r w:rsidR="002424B9">
          <w:rPr>
            <w:noProof/>
            <w:webHidden/>
          </w:rPr>
        </w:r>
        <w:r w:rsidR="002424B9">
          <w:rPr>
            <w:noProof/>
            <w:webHidden/>
          </w:rPr>
          <w:fldChar w:fldCharType="separate"/>
        </w:r>
        <w:r w:rsidR="004949C7">
          <w:rPr>
            <w:noProof/>
            <w:webHidden/>
          </w:rPr>
          <w:t>44</w:t>
        </w:r>
        <w:r w:rsidR="002424B9">
          <w:rPr>
            <w:noProof/>
            <w:webHidden/>
          </w:rPr>
          <w:fldChar w:fldCharType="end"/>
        </w:r>
      </w:hyperlink>
    </w:p>
    <w:p w:rsidR="002424B9" w:rsidRDefault="00B360A7">
      <w:pPr>
        <w:pStyle w:val="TableofFigures"/>
        <w:tabs>
          <w:tab w:val="right" w:leader="dot" w:pos="9854"/>
        </w:tabs>
        <w:rPr>
          <w:rFonts w:asciiTheme="minorHAnsi" w:eastAsiaTheme="minorEastAsia" w:hAnsiTheme="minorHAnsi"/>
          <w:noProof/>
          <w:sz w:val="22"/>
          <w:szCs w:val="22"/>
          <w:lang w:eastAsia="en-GB"/>
        </w:rPr>
      </w:pPr>
      <w:hyperlink w:anchor="_Toc389225097" w:history="1">
        <w:r w:rsidR="002424B9" w:rsidRPr="00481395">
          <w:rPr>
            <w:rStyle w:val="Hyperlink"/>
            <w:rFonts w:asciiTheme="majorHAnsi" w:hAnsiTheme="majorHAnsi"/>
            <w:noProof/>
            <w:lang w:val="lv-LV"/>
          </w:rPr>
          <w:t>Tabula 23 Uzņēmējdarbības izbeigšanas ilguma salīdzinājums</w:t>
        </w:r>
        <w:r w:rsidR="002424B9">
          <w:rPr>
            <w:noProof/>
            <w:webHidden/>
          </w:rPr>
          <w:tab/>
        </w:r>
        <w:r w:rsidR="002424B9">
          <w:rPr>
            <w:noProof/>
            <w:webHidden/>
          </w:rPr>
          <w:fldChar w:fldCharType="begin"/>
        </w:r>
        <w:r w:rsidR="002424B9">
          <w:rPr>
            <w:noProof/>
            <w:webHidden/>
          </w:rPr>
          <w:instrText xml:space="preserve"> PAGEREF _Toc389225097 \h </w:instrText>
        </w:r>
        <w:r w:rsidR="002424B9">
          <w:rPr>
            <w:noProof/>
            <w:webHidden/>
          </w:rPr>
        </w:r>
        <w:r w:rsidR="002424B9">
          <w:rPr>
            <w:noProof/>
            <w:webHidden/>
          </w:rPr>
          <w:fldChar w:fldCharType="separate"/>
        </w:r>
        <w:r w:rsidR="004949C7">
          <w:rPr>
            <w:noProof/>
            <w:webHidden/>
          </w:rPr>
          <w:t>45</w:t>
        </w:r>
        <w:r w:rsidR="002424B9">
          <w:rPr>
            <w:noProof/>
            <w:webHidden/>
          </w:rPr>
          <w:fldChar w:fldCharType="end"/>
        </w:r>
      </w:hyperlink>
    </w:p>
    <w:p w:rsidR="002424B9" w:rsidRDefault="00B360A7">
      <w:pPr>
        <w:pStyle w:val="TableofFigures"/>
        <w:tabs>
          <w:tab w:val="right" w:leader="dot" w:pos="9854"/>
        </w:tabs>
        <w:rPr>
          <w:rFonts w:asciiTheme="minorHAnsi" w:eastAsiaTheme="minorEastAsia" w:hAnsiTheme="minorHAnsi"/>
          <w:noProof/>
          <w:sz w:val="22"/>
          <w:szCs w:val="22"/>
          <w:lang w:eastAsia="en-GB"/>
        </w:rPr>
      </w:pPr>
      <w:hyperlink w:anchor="_Toc389225098" w:history="1">
        <w:r w:rsidR="002424B9" w:rsidRPr="00481395">
          <w:rPr>
            <w:rStyle w:val="Hyperlink"/>
            <w:rFonts w:asciiTheme="majorHAnsi" w:hAnsiTheme="majorHAnsi"/>
            <w:noProof/>
            <w:lang w:val="lv-LV"/>
          </w:rPr>
          <w:t>Tabula 24 DB2014 darba tiesisko attiecību rādītāju salīdzinājums</w:t>
        </w:r>
        <w:r w:rsidR="002424B9">
          <w:rPr>
            <w:noProof/>
            <w:webHidden/>
          </w:rPr>
          <w:tab/>
        </w:r>
        <w:r w:rsidR="002424B9">
          <w:rPr>
            <w:noProof/>
            <w:webHidden/>
          </w:rPr>
          <w:fldChar w:fldCharType="begin"/>
        </w:r>
        <w:r w:rsidR="002424B9">
          <w:rPr>
            <w:noProof/>
            <w:webHidden/>
          </w:rPr>
          <w:instrText xml:space="preserve"> PAGEREF _Toc389225098 \h </w:instrText>
        </w:r>
        <w:r w:rsidR="002424B9">
          <w:rPr>
            <w:noProof/>
            <w:webHidden/>
          </w:rPr>
        </w:r>
        <w:r w:rsidR="002424B9">
          <w:rPr>
            <w:noProof/>
            <w:webHidden/>
          </w:rPr>
          <w:fldChar w:fldCharType="separate"/>
        </w:r>
        <w:r w:rsidR="004949C7">
          <w:rPr>
            <w:noProof/>
            <w:webHidden/>
          </w:rPr>
          <w:t>49</w:t>
        </w:r>
        <w:r w:rsidR="002424B9">
          <w:rPr>
            <w:noProof/>
            <w:webHidden/>
          </w:rPr>
          <w:fldChar w:fldCharType="end"/>
        </w:r>
      </w:hyperlink>
    </w:p>
    <w:p w:rsidR="002424B9" w:rsidRDefault="00B360A7">
      <w:pPr>
        <w:pStyle w:val="TableofFigures"/>
        <w:tabs>
          <w:tab w:val="right" w:leader="dot" w:pos="9854"/>
        </w:tabs>
        <w:rPr>
          <w:rFonts w:asciiTheme="minorHAnsi" w:eastAsiaTheme="minorEastAsia" w:hAnsiTheme="minorHAnsi"/>
          <w:noProof/>
          <w:sz w:val="22"/>
          <w:szCs w:val="22"/>
          <w:lang w:eastAsia="en-GB"/>
        </w:rPr>
      </w:pPr>
      <w:hyperlink w:anchor="_Toc389225099" w:history="1">
        <w:r w:rsidR="002424B9" w:rsidRPr="00481395">
          <w:rPr>
            <w:rStyle w:val="Hyperlink"/>
            <w:rFonts w:asciiTheme="majorHAnsi" w:hAnsiTheme="majorHAnsi"/>
            <w:noProof/>
            <w:lang w:val="lv-LV"/>
          </w:rPr>
          <w:t>Tabula 25 Latvijas GKI indeksu nodarbinātībai salīdzinājums</w:t>
        </w:r>
        <w:r w:rsidR="002424B9">
          <w:rPr>
            <w:noProof/>
            <w:webHidden/>
          </w:rPr>
          <w:tab/>
        </w:r>
        <w:r w:rsidR="002424B9">
          <w:rPr>
            <w:noProof/>
            <w:webHidden/>
          </w:rPr>
          <w:fldChar w:fldCharType="begin"/>
        </w:r>
        <w:r w:rsidR="002424B9">
          <w:rPr>
            <w:noProof/>
            <w:webHidden/>
          </w:rPr>
          <w:instrText xml:space="preserve"> PAGEREF _Toc389225099 \h </w:instrText>
        </w:r>
        <w:r w:rsidR="002424B9">
          <w:rPr>
            <w:noProof/>
            <w:webHidden/>
          </w:rPr>
        </w:r>
        <w:r w:rsidR="002424B9">
          <w:rPr>
            <w:noProof/>
            <w:webHidden/>
          </w:rPr>
          <w:fldChar w:fldCharType="separate"/>
        </w:r>
        <w:r w:rsidR="004949C7">
          <w:rPr>
            <w:noProof/>
            <w:webHidden/>
          </w:rPr>
          <w:t>50</w:t>
        </w:r>
        <w:r w:rsidR="002424B9">
          <w:rPr>
            <w:noProof/>
            <w:webHidden/>
          </w:rPr>
          <w:fldChar w:fldCharType="end"/>
        </w:r>
      </w:hyperlink>
    </w:p>
    <w:p w:rsidR="002424B9" w:rsidRDefault="00B360A7">
      <w:pPr>
        <w:pStyle w:val="TableofFigures"/>
        <w:tabs>
          <w:tab w:val="right" w:leader="dot" w:pos="9854"/>
        </w:tabs>
        <w:rPr>
          <w:rFonts w:asciiTheme="minorHAnsi" w:eastAsiaTheme="minorEastAsia" w:hAnsiTheme="minorHAnsi"/>
          <w:noProof/>
          <w:sz w:val="22"/>
          <w:szCs w:val="22"/>
          <w:lang w:eastAsia="en-GB"/>
        </w:rPr>
      </w:pPr>
      <w:hyperlink w:anchor="_Toc389225100" w:history="1">
        <w:r w:rsidR="002424B9" w:rsidRPr="00481395">
          <w:rPr>
            <w:rStyle w:val="Hyperlink"/>
            <w:rFonts w:asciiTheme="majorHAnsi" w:hAnsiTheme="majorHAnsi"/>
            <w:noProof/>
            <w:lang w:val="lv-LV"/>
          </w:rPr>
          <w:t>Tabula 26 "Getting electricity", elektrības pieslēguma iegūšanas indekss</w:t>
        </w:r>
        <w:r w:rsidR="002424B9">
          <w:rPr>
            <w:noProof/>
            <w:webHidden/>
          </w:rPr>
          <w:tab/>
        </w:r>
        <w:r w:rsidR="002424B9">
          <w:rPr>
            <w:noProof/>
            <w:webHidden/>
          </w:rPr>
          <w:fldChar w:fldCharType="begin"/>
        </w:r>
        <w:r w:rsidR="002424B9">
          <w:rPr>
            <w:noProof/>
            <w:webHidden/>
          </w:rPr>
          <w:instrText xml:space="preserve"> PAGEREF _Toc389225100 \h </w:instrText>
        </w:r>
        <w:r w:rsidR="002424B9">
          <w:rPr>
            <w:noProof/>
            <w:webHidden/>
          </w:rPr>
        </w:r>
        <w:r w:rsidR="002424B9">
          <w:rPr>
            <w:noProof/>
            <w:webHidden/>
          </w:rPr>
          <w:fldChar w:fldCharType="separate"/>
        </w:r>
        <w:r w:rsidR="004949C7">
          <w:rPr>
            <w:noProof/>
            <w:webHidden/>
          </w:rPr>
          <w:t>52</w:t>
        </w:r>
        <w:r w:rsidR="002424B9">
          <w:rPr>
            <w:noProof/>
            <w:webHidden/>
          </w:rPr>
          <w:fldChar w:fldCharType="end"/>
        </w:r>
      </w:hyperlink>
    </w:p>
    <w:p w:rsidR="002424B9" w:rsidRDefault="00B360A7">
      <w:pPr>
        <w:pStyle w:val="TableofFigures"/>
        <w:tabs>
          <w:tab w:val="right" w:leader="dot" w:pos="9854"/>
        </w:tabs>
        <w:rPr>
          <w:rFonts w:asciiTheme="minorHAnsi" w:eastAsiaTheme="minorEastAsia" w:hAnsiTheme="minorHAnsi"/>
          <w:noProof/>
          <w:sz w:val="22"/>
          <w:szCs w:val="22"/>
          <w:lang w:eastAsia="en-GB"/>
        </w:rPr>
      </w:pPr>
      <w:hyperlink w:anchor="_Toc389225101" w:history="1">
        <w:r w:rsidR="002424B9" w:rsidRPr="00481395">
          <w:rPr>
            <w:rStyle w:val="Hyperlink"/>
            <w:rFonts w:asciiTheme="majorHAnsi" w:hAnsiTheme="majorHAnsi"/>
            <w:noProof/>
            <w:lang w:val="lv-LV"/>
          </w:rPr>
          <w:t>Tabula 27 Elektrības pieslēguma efektivitātes salīdzinājums</w:t>
        </w:r>
        <w:r w:rsidR="002424B9">
          <w:rPr>
            <w:noProof/>
            <w:webHidden/>
          </w:rPr>
          <w:tab/>
        </w:r>
        <w:r w:rsidR="002424B9">
          <w:rPr>
            <w:noProof/>
            <w:webHidden/>
          </w:rPr>
          <w:fldChar w:fldCharType="begin"/>
        </w:r>
        <w:r w:rsidR="002424B9">
          <w:rPr>
            <w:noProof/>
            <w:webHidden/>
          </w:rPr>
          <w:instrText xml:space="preserve"> PAGEREF _Toc389225101 \h </w:instrText>
        </w:r>
        <w:r w:rsidR="002424B9">
          <w:rPr>
            <w:noProof/>
            <w:webHidden/>
          </w:rPr>
        </w:r>
        <w:r w:rsidR="002424B9">
          <w:rPr>
            <w:noProof/>
            <w:webHidden/>
          </w:rPr>
          <w:fldChar w:fldCharType="separate"/>
        </w:r>
        <w:r w:rsidR="004949C7">
          <w:rPr>
            <w:noProof/>
            <w:webHidden/>
          </w:rPr>
          <w:t>53</w:t>
        </w:r>
        <w:r w:rsidR="002424B9">
          <w:rPr>
            <w:noProof/>
            <w:webHidden/>
          </w:rPr>
          <w:fldChar w:fldCharType="end"/>
        </w:r>
      </w:hyperlink>
    </w:p>
    <w:p w:rsidR="002424B9" w:rsidRDefault="00B360A7">
      <w:pPr>
        <w:pStyle w:val="TableofFigures"/>
        <w:tabs>
          <w:tab w:val="right" w:leader="dot" w:pos="9854"/>
        </w:tabs>
        <w:rPr>
          <w:rFonts w:asciiTheme="minorHAnsi" w:eastAsiaTheme="minorEastAsia" w:hAnsiTheme="minorHAnsi"/>
          <w:noProof/>
          <w:sz w:val="22"/>
          <w:szCs w:val="22"/>
          <w:lang w:eastAsia="en-GB"/>
        </w:rPr>
      </w:pPr>
      <w:hyperlink w:anchor="_Toc389225102" w:history="1">
        <w:r w:rsidR="002424B9" w:rsidRPr="00481395">
          <w:rPr>
            <w:rStyle w:val="Hyperlink"/>
            <w:rFonts w:asciiTheme="majorHAnsi" w:hAnsiTheme="majorHAnsi"/>
            <w:noProof/>
            <w:lang w:val="lv-LV"/>
          </w:rPr>
          <w:t>Tabula 28 Doing Business labā prakse elektroenerģijas pieslēguma procesa jomā</w:t>
        </w:r>
        <w:r w:rsidR="002424B9">
          <w:rPr>
            <w:noProof/>
            <w:webHidden/>
          </w:rPr>
          <w:tab/>
        </w:r>
        <w:r w:rsidR="002424B9">
          <w:rPr>
            <w:noProof/>
            <w:webHidden/>
          </w:rPr>
          <w:fldChar w:fldCharType="begin"/>
        </w:r>
        <w:r w:rsidR="002424B9">
          <w:rPr>
            <w:noProof/>
            <w:webHidden/>
          </w:rPr>
          <w:instrText xml:space="preserve"> PAGEREF _Toc389225102 \h </w:instrText>
        </w:r>
        <w:r w:rsidR="002424B9">
          <w:rPr>
            <w:noProof/>
            <w:webHidden/>
          </w:rPr>
        </w:r>
        <w:r w:rsidR="002424B9">
          <w:rPr>
            <w:noProof/>
            <w:webHidden/>
          </w:rPr>
          <w:fldChar w:fldCharType="separate"/>
        </w:r>
        <w:r w:rsidR="004949C7">
          <w:rPr>
            <w:noProof/>
            <w:webHidden/>
          </w:rPr>
          <w:t>53</w:t>
        </w:r>
        <w:r w:rsidR="002424B9">
          <w:rPr>
            <w:noProof/>
            <w:webHidden/>
          </w:rPr>
          <w:fldChar w:fldCharType="end"/>
        </w:r>
      </w:hyperlink>
    </w:p>
    <w:p w:rsidR="002424B9" w:rsidRDefault="00B360A7">
      <w:pPr>
        <w:pStyle w:val="TableofFigures"/>
        <w:tabs>
          <w:tab w:val="right" w:leader="dot" w:pos="9854"/>
        </w:tabs>
        <w:rPr>
          <w:rFonts w:asciiTheme="minorHAnsi" w:eastAsiaTheme="minorEastAsia" w:hAnsiTheme="minorHAnsi"/>
          <w:noProof/>
          <w:sz w:val="22"/>
          <w:szCs w:val="22"/>
          <w:lang w:eastAsia="en-GB"/>
        </w:rPr>
      </w:pPr>
      <w:hyperlink w:anchor="_Toc389225103" w:history="1">
        <w:r w:rsidR="002424B9" w:rsidRPr="00481395">
          <w:rPr>
            <w:rStyle w:val="Hyperlink"/>
            <w:rFonts w:asciiTheme="majorHAnsi" w:hAnsiTheme="majorHAnsi"/>
            <w:noProof/>
            <w:lang w:val="lv-LV"/>
          </w:rPr>
          <w:t>Tabula 29 GKI elektrības pieslēguma kvalitātes indekss</w:t>
        </w:r>
        <w:r w:rsidR="002424B9">
          <w:rPr>
            <w:noProof/>
            <w:webHidden/>
          </w:rPr>
          <w:tab/>
        </w:r>
        <w:r w:rsidR="002424B9">
          <w:rPr>
            <w:noProof/>
            <w:webHidden/>
          </w:rPr>
          <w:fldChar w:fldCharType="begin"/>
        </w:r>
        <w:r w:rsidR="002424B9">
          <w:rPr>
            <w:noProof/>
            <w:webHidden/>
          </w:rPr>
          <w:instrText xml:space="preserve"> PAGEREF _Toc389225103 \h </w:instrText>
        </w:r>
        <w:r w:rsidR="002424B9">
          <w:rPr>
            <w:noProof/>
            <w:webHidden/>
          </w:rPr>
        </w:r>
        <w:r w:rsidR="002424B9">
          <w:rPr>
            <w:noProof/>
            <w:webHidden/>
          </w:rPr>
          <w:fldChar w:fldCharType="separate"/>
        </w:r>
        <w:r w:rsidR="004949C7">
          <w:rPr>
            <w:noProof/>
            <w:webHidden/>
          </w:rPr>
          <w:t>54</w:t>
        </w:r>
        <w:r w:rsidR="002424B9">
          <w:rPr>
            <w:noProof/>
            <w:webHidden/>
          </w:rPr>
          <w:fldChar w:fldCharType="end"/>
        </w:r>
      </w:hyperlink>
    </w:p>
    <w:p w:rsidR="002424B9" w:rsidRDefault="00B360A7">
      <w:pPr>
        <w:pStyle w:val="TableofFigures"/>
        <w:tabs>
          <w:tab w:val="right" w:leader="dot" w:pos="9854"/>
        </w:tabs>
        <w:rPr>
          <w:rFonts w:asciiTheme="minorHAnsi" w:eastAsiaTheme="minorEastAsia" w:hAnsiTheme="minorHAnsi"/>
          <w:noProof/>
          <w:sz w:val="22"/>
          <w:szCs w:val="22"/>
          <w:lang w:eastAsia="en-GB"/>
        </w:rPr>
      </w:pPr>
      <w:hyperlink w:anchor="_Toc389225104" w:history="1">
        <w:r w:rsidR="002424B9" w:rsidRPr="00481395">
          <w:rPr>
            <w:rStyle w:val="Hyperlink"/>
            <w:noProof/>
            <w:lang w:val="lv-LV"/>
          </w:rPr>
          <w:t>Tabula 30 Doing Business pētījuma 2014. gada kopsavilkums Latvijai</w:t>
        </w:r>
        <w:r w:rsidR="002424B9">
          <w:rPr>
            <w:noProof/>
            <w:webHidden/>
          </w:rPr>
          <w:tab/>
        </w:r>
        <w:r w:rsidR="002424B9">
          <w:rPr>
            <w:noProof/>
            <w:webHidden/>
          </w:rPr>
          <w:fldChar w:fldCharType="begin"/>
        </w:r>
        <w:r w:rsidR="002424B9">
          <w:rPr>
            <w:noProof/>
            <w:webHidden/>
          </w:rPr>
          <w:instrText xml:space="preserve"> PAGEREF _Toc389225104 \h </w:instrText>
        </w:r>
        <w:r w:rsidR="002424B9">
          <w:rPr>
            <w:noProof/>
            <w:webHidden/>
          </w:rPr>
        </w:r>
        <w:r w:rsidR="002424B9">
          <w:rPr>
            <w:noProof/>
            <w:webHidden/>
          </w:rPr>
          <w:fldChar w:fldCharType="separate"/>
        </w:r>
        <w:r w:rsidR="004949C7">
          <w:rPr>
            <w:noProof/>
            <w:webHidden/>
          </w:rPr>
          <w:t>62</w:t>
        </w:r>
        <w:r w:rsidR="002424B9">
          <w:rPr>
            <w:noProof/>
            <w:webHidden/>
          </w:rPr>
          <w:fldChar w:fldCharType="end"/>
        </w:r>
      </w:hyperlink>
    </w:p>
    <w:p w:rsidR="002424B9" w:rsidRDefault="00B360A7">
      <w:pPr>
        <w:pStyle w:val="TableofFigures"/>
        <w:tabs>
          <w:tab w:val="right" w:leader="dot" w:pos="9854"/>
        </w:tabs>
        <w:rPr>
          <w:rFonts w:asciiTheme="minorHAnsi" w:eastAsiaTheme="minorEastAsia" w:hAnsiTheme="minorHAnsi"/>
          <w:noProof/>
          <w:sz w:val="22"/>
          <w:szCs w:val="22"/>
          <w:lang w:eastAsia="en-GB"/>
        </w:rPr>
      </w:pPr>
      <w:hyperlink w:anchor="_Toc389225105" w:history="1">
        <w:r w:rsidR="002424B9" w:rsidRPr="00481395">
          <w:rPr>
            <w:rStyle w:val="Hyperlink"/>
            <w:noProof/>
            <w:lang w:val="lv-LV"/>
          </w:rPr>
          <w:t>Tabula 31 Globālās konkurētspējas indekss Latvijai</w:t>
        </w:r>
        <w:r w:rsidR="002424B9">
          <w:rPr>
            <w:noProof/>
            <w:webHidden/>
          </w:rPr>
          <w:tab/>
        </w:r>
        <w:r w:rsidR="002424B9">
          <w:rPr>
            <w:noProof/>
            <w:webHidden/>
          </w:rPr>
          <w:fldChar w:fldCharType="begin"/>
        </w:r>
        <w:r w:rsidR="002424B9">
          <w:rPr>
            <w:noProof/>
            <w:webHidden/>
          </w:rPr>
          <w:instrText xml:space="preserve"> PAGEREF _Toc389225105 \h </w:instrText>
        </w:r>
        <w:r w:rsidR="002424B9">
          <w:rPr>
            <w:noProof/>
            <w:webHidden/>
          </w:rPr>
        </w:r>
        <w:r w:rsidR="002424B9">
          <w:rPr>
            <w:noProof/>
            <w:webHidden/>
          </w:rPr>
          <w:fldChar w:fldCharType="separate"/>
        </w:r>
        <w:r w:rsidR="004949C7">
          <w:rPr>
            <w:noProof/>
            <w:webHidden/>
          </w:rPr>
          <w:t>63</w:t>
        </w:r>
        <w:r w:rsidR="002424B9">
          <w:rPr>
            <w:noProof/>
            <w:webHidden/>
          </w:rPr>
          <w:fldChar w:fldCharType="end"/>
        </w:r>
      </w:hyperlink>
    </w:p>
    <w:p w:rsidR="002424B9" w:rsidRDefault="00B360A7">
      <w:pPr>
        <w:pStyle w:val="TableofFigures"/>
        <w:tabs>
          <w:tab w:val="right" w:leader="dot" w:pos="9854"/>
        </w:tabs>
        <w:rPr>
          <w:rFonts w:asciiTheme="minorHAnsi" w:eastAsiaTheme="minorEastAsia" w:hAnsiTheme="minorHAnsi"/>
          <w:noProof/>
          <w:sz w:val="22"/>
          <w:szCs w:val="22"/>
          <w:lang w:eastAsia="en-GB"/>
        </w:rPr>
      </w:pPr>
      <w:hyperlink w:anchor="_Toc389225106" w:history="1">
        <w:r w:rsidR="002424B9" w:rsidRPr="00481395">
          <w:rPr>
            <w:rStyle w:val="Hyperlink"/>
            <w:rFonts w:asciiTheme="majorHAnsi" w:hAnsiTheme="majorHAnsi"/>
            <w:noProof/>
            <w:lang w:val="lv-LV"/>
          </w:rPr>
          <w:t>Tabula 32 Priekšlikumi Uzņēmējdarbības vides uzlabošanas pasākumu plānam</w:t>
        </w:r>
        <w:r w:rsidR="002424B9">
          <w:rPr>
            <w:noProof/>
            <w:webHidden/>
          </w:rPr>
          <w:tab/>
        </w:r>
        <w:r w:rsidR="002424B9">
          <w:rPr>
            <w:noProof/>
            <w:webHidden/>
          </w:rPr>
          <w:fldChar w:fldCharType="begin"/>
        </w:r>
        <w:r w:rsidR="002424B9">
          <w:rPr>
            <w:noProof/>
            <w:webHidden/>
          </w:rPr>
          <w:instrText xml:space="preserve"> PAGEREF _Toc389225106 \h </w:instrText>
        </w:r>
        <w:r w:rsidR="002424B9">
          <w:rPr>
            <w:noProof/>
            <w:webHidden/>
          </w:rPr>
        </w:r>
        <w:r w:rsidR="002424B9">
          <w:rPr>
            <w:noProof/>
            <w:webHidden/>
          </w:rPr>
          <w:fldChar w:fldCharType="separate"/>
        </w:r>
        <w:r w:rsidR="004949C7">
          <w:rPr>
            <w:noProof/>
            <w:webHidden/>
          </w:rPr>
          <w:t>68</w:t>
        </w:r>
        <w:r w:rsidR="002424B9">
          <w:rPr>
            <w:noProof/>
            <w:webHidden/>
          </w:rPr>
          <w:fldChar w:fldCharType="end"/>
        </w:r>
      </w:hyperlink>
    </w:p>
    <w:p w:rsidR="00BA0F6C" w:rsidRPr="0019406C" w:rsidRDefault="002E214C" w:rsidP="001542A8">
      <w:pPr>
        <w:pStyle w:val="BodyText"/>
        <w:spacing w:line="276" w:lineRule="auto"/>
        <w:rPr>
          <w:rFonts w:asciiTheme="majorHAnsi" w:hAnsiTheme="majorHAnsi"/>
          <w:lang w:val="lv-LV"/>
        </w:rPr>
      </w:pPr>
      <w:r w:rsidRPr="0019406C">
        <w:rPr>
          <w:rFonts w:asciiTheme="majorHAnsi" w:hAnsiTheme="majorHAnsi"/>
          <w:lang w:val="lv-LV"/>
        </w:rPr>
        <w:fldChar w:fldCharType="end"/>
      </w:r>
    </w:p>
    <w:p w:rsidR="00C44630" w:rsidRPr="0019406C" w:rsidRDefault="00C44630" w:rsidP="00BB46C6">
      <w:pPr>
        <w:pStyle w:val="BodyText"/>
        <w:spacing w:after="0" w:line="276" w:lineRule="auto"/>
        <w:rPr>
          <w:rFonts w:asciiTheme="majorHAnsi" w:hAnsiTheme="majorHAnsi"/>
          <w:lang w:val="lv-LV"/>
        </w:rPr>
      </w:pPr>
    </w:p>
    <w:p w:rsidR="00436892" w:rsidRPr="0019406C" w:rsidRDefault="00436892" w:rsidP="000C4154">
      <w:pPr>
        <w:rPr>
          <w:rFonts w:asciiTheme="majorHAnsi" w:eastAsiaTheme="majorEastAsia" w:hAnsiTheme="majorHAnsi" w:cstheme="majorBidi"/>
          <w:b/>
          <w:bCs/>
          <w:i/>
          <w:sz w:val="56"/>
          <w:szCs w:val="28"/>
          <w:lang w:val="lv-LV"/>
        </w:rPr>
      </w:pPr>
      <w:bookmarkStart w:id="16" w:name="_Toc373835053"/>
      <w:bookmarkStart w:id="17" w:name="_Toc381343938"/>
      <w:r w:rsidRPr="0019406C">
        <w:rPr>
          <w:rFonts w:asciiTheme="majorHAnsi" w:hAnsiTheme="majorHAnsi"/>
          <w:lang w:val="lv-LV"/>
        </w:rPr>
        <w:br w:type="page"/>
      </w:r>
    </w:p>
    <w:p w:rsidR="007C7542" w:rsidRPr="0019406C" w:rsidRDefault="009B44FE" w:rsidP="007C7542">
      <w:pPr>
        <w:pStyle w:val="Heading1"/>
        <w:numPr>
          <w:ilvl w:val="0"/>
          <w:numId w:val="0"/>
        </w:numPr>
        <w:spacing w:after="240"/>
        <w:ind w:left="431"/>
        <w:rPr>
          <w:lang w:val="lv-LV"/>
        </w:rPr>
      </w:pPr>
      <w:bookmarkStart w:id="18" w:name="_Toc381483888"/>
      <w:bookmarkStart w:id="19" w:name="_Toc381635992"/>
      <w:bookmarkStart w:id="20" w:name="_Toc381703612"/>
      <w:bookmarkStart w:id="21" w:name="_Toc381856463"/>
      <w:bookmarkStart w:id="22" w:name="_Toc381871706"/>
      <w:bookmarkStart w:id="23" w:name="_Toc381950447"/>
      <w:bookmarkStart w:id="24" w:name="_Toc381950598"/>
      <w:bookmarkStart w:id="25" w:name="_Toc381968876"/>
      <w:bookmarkStart w:id="26" w:name="_Toc381978984"/>
      <w:bookmarkStart w:id="27" w:name="_Toc381979637"/>
      <w:bookmarkStart w:id="28" w:name="_Toc381980462"/>
      <w:bookmarkStart w:id="29" w:name="_Toc389226065"/>
      <w:r w:rsidRPr="0019406C">
        <w:rPr>
          <w:lang w:val="lv-LV"/>
        </w:rPr>
        <w:lastRenderedPageBreak/>
        <w:t>Izmantotie saīsinājumi</w:t>
      </w:r>
      <w:r w:rsidR="004876A4" w:rsidRPr="0019406C">
        <w:rPr>
          <w:lang w:val="lv-LV"/>
        </w:rPr>
        <w:t xml:space="preserve"> un termini</w:t>
      </w:r>
      <w:bookmarkEnd w:id="16"/>
      <w:bookmarkEnd w:id="17"/>
      <w:bookmarkEnd w:id="18"/>
      <w:bookmarkEnd w:id="19"/>
      <w:bookmarkEnd w:id="20"/>
      <w:bookmarkEnd w:id="21"/>
      <w:bookmarkEnd w:id="22"/>
      <w:bookmarkEnd w:id="23"/>
      <w:bookmarkEnd w:id="24"/>
      <w:bookmarkEnd w:id="25"/>
      <w:bookmarkEnd w:id="26"/>
      <w:bookmarkEnd w:id="27"/>
      <w:bookmarkEnd w:id="28"/>
      <w:bookmarkEnd w:id="29"/>
    </w:p>
    <w:tbl>
      <w:tblPr>
        <w:tblpPr w:leftFromText="180" w:rightFromText="180" w:vertAnchor="text" w:horzAnchor="margin" w:tblpXSpec="center" w:tblpY="328"/>
        <w:tblOverlap w:val="never"/>
        <w:tblW w:w="9040" w:type="dxa"/>
        <w:tblBorders>
          <w:insideH w:val="dotted" w:sz="4" w:space="0" w:color="DC6900"/>
        </w:tblBorders>
        <w:tblLook w:val="04E0" w:firstRow="1" w:lastRow="1" w:firstColumn="1" w:lastColumn="0" w:noHBand="0" w:noVBand="1"/>
      </w:tblPr>
      <w:tblGrid>
        <w:gridCol w:w="2441"/>
        <w:gridCol w:w="6599"/>
      </w:tblGrid>
      <w:tr w:rsidR="007C7542" w:rsidRPr="0019406C" w:rsidTr="006C25A4">
        <w:trPr>
          <w:tblHeader/>
        </w:trPr>
        <w:tc>
          <w:tcPr>
            <w:tcW w:w="2441" w:type="dxa"/>
            <w:tcBorders>
              <w:top w:val="single" w:sz="6" w:space="0" w:color="DC6900"/>
              <w:bottom w:val="single" w:sz="6" w:space="0" w:color="DC6900"/>
            </w:tcBorders>
          </w:tcPr>
          <w:p w:rsidR="007C7542" w:rsidRPr="0019406C" w:rsidRDefault="007C7542" w:rsidP="006C25A4">
            <w:pPr>
              <w:spacing w:after="0"/>
              <w:jc w:val="both"/>
              <w:rPr>
                <w:rFonts w:asciiTheme="majorHAnsi" w:hAnsiTheme="majorHAnsi"/>
                <w:b/>
                <w:lang w:val="lv-LV"/>
              </w:rPr>
            </w:pPr>
            <w:r w:rsidRPr="0019406C">
              <w:rPr>
                <w:rFonts w:asciiTheme="majorHAnsi" w:hAnsiTheme="majorHAnsi"/>
                <w:b/>
                <w:lang w:val="lv-LV"/>
              </w:rPr>
              <w:t>Saīsinājums/Termins</w:t>
            </w:r>
          </w:p>
        </w:tc>
        <w:tc>
          <w:tcPr>
            <w:tcW w:w="6599" w:type="dxa"/>
            <w:tcBorders>
              <w:top w:val="single" w:sz="6" w:space="0" w:color="DC6900"/>
              <w:bottom w:val="single" w:sz="6" w:space="0" w:color="DC6900"/>
            </w:tcBorders>
          </w:tcPr>
          <w:p w:rsidR="007C7542" w:rsidRPr="0019406C" w:rsidRDefault="007C7542" w:rsidP="006C25A4">
            <w:pPr>
              <w:spacing w:after="0"/>
              <w:jc w:val="both"/>
              <w:rPr>
                <w:rFonts w:asciiTheme="majorHAnsi" w:hAnsiTheme="majorHAnsi"/>
                <w:b/>
                <w:lang w:val="lv-LV"/>
              </w:rPr>
            </w:pPr>
            <w:r w:rsidRPr="0019406C">
              <w:rPr>
                <w:rFonts w:asciiTheme="majorHAnsi" w:hAnsiTheme="majorHAnsi"/>
                <w:b/>
                <w:lang w:val="lv-LV"/>
              </w:rPr>
              <w:t>Skaidrojums</w:t>
            </w:r>
          </w:p>
        </w:tc>
      </w:tr>
      <w:tr w:rsidR="00170578" w:rsidRPr="0019406C" w:rsidTr="006C25A4">
        <w:tc>
          <w:tcPr>
            <w:tcW w:w="2441" w:type="dxa"/>
          </w:tcPr>
          <w:p w:rsidR="00170578" w:rsidRPr="0019406C" w:rsidRDefault="00170578" w:rsidP="006C25A4">
            <w:pPr>
              <w:spacing w:after="0" w:line="276" w:lineRule="auto"/>
              <w:jc w:val="both"/>
              <w:rPr>
                <w:rFonts w:asciiTheme="majorHAnsi" w:hAnsiTheme="majorHAnsi"/>
                <w:lang w:val="lv-LV"/>
              </w:rPr>
            </w:pPr>
            <w:r w:rsidRPr="0019406C">
              <w:rPr>
                <w:rFonts w:asciiTheme="majorHAnsi" w:hAnsiTheme="majorHAnsi"/>
                <w:lang w:val="lv-LV"/>
              </w:rPr>
              <w:t>CSP</w:t>
            </w:r>
          </w:p>
        </w:tc>
        <w:tc>
          <w:tcPr>
            <w:tcW w:w="6599" w:type="dxa"/>
          </w:tcPr>
          <w:p w:rsidR="00170578" w:rsidRPr="0019406C" w:rsidRDefault="00170578" w:rsidP="006C25A4">
            <w:pPr>
              <w:spacing w:after="0" w:line="276" w:lineRule="auto"/>
              <w:jc w:val="both"/>
              <w:rPr>
                <w:rFonts w:asciiTheme="majorHAnsi" w:hAnsiTheme="majorHAnsi"/>
                <w:lang w:val="lv-LV"/>
              </w:rPr>
            </w:pPr>
            <w:r w:rsidRPr="0019406C">
              <w:rPr>
                <w:rFonts w:asciiTheme="majorHAnsi" w:hAnsiTheme="majorHAnsi"/>
                <w:lang w:val="lv-LV"/>
              </w:rPr>
              <w:t>Centrālās statistikas pārvalde</w:t>
            </w:r>
          </w:p>
        </w:tc>
      </w:tr>
      <w:tr w:rsidR="00170578" w:rsidRPr="0019406C" w:rsidTr="006C25A4">
        <w:tc>
          <w:tcPr>
            <w:tcW w:w="2441" w:type="dxa"/>
          </w:tcPr>
          <w:p w:rsidR="00170578" w:rsidRPr="0019406C" w:rsidRDefault="00170578" w:rsidP="006C25A4">
            <w:pPr>
              <w:spacing w:after="0" w:line="276" w:lineRule="auto"/>
              <w:jc w:val="both"/>
              <w:rPr>
                <w:rFonts w:asciiTheme="majorHAnsi" w:hAnsiTheme="majorHAnsi"/>
                <w:lang w:val="lv-LV"/>
              </w:rPr>
            </w:pPr>
            <w:r w:rsidRPr="0019406C">
              <w:rPr>
                <w:rFonts w:asciiTheme="majorHAnsi" w:hAnsiTheme="majorHAnsi"/>
                <w:lang w:val="lv-LV"/>
              </w:rPr>
              <w:t>DB</w:t>
            </w:r>
          </w:p>
        </w:tc>
        <w:tc>
          <w:tcPr>
            <w:tcW w:w="6599" w:type="dxa"/>
          </w:tcPr>
          <w:p w:rsidR="00170578" w:rsidRPr="0019406C" w:rsidRDefault="00170578" w:rsidP="006C25A4">
            <w:pPr>
              <w:spacing w:after="0" w:line="276" w:lineRule="auto"/>
              <w:jc w:val="both"/>
              <w:rPr>
                <w:rFonts w:asciiTheme="majorHAnsi" w:hAnsiTheme="majorHAnsi"/>
                <w:lang w:val="lv-LV"/>
              </w:rPr>
            </w:pPr>
            <w:r w:rsidRPr="0019406C">
              <w:rPr>
                <w:rFonts w:asciiTheme="majorHAnsi" w:hAnsiTheme="majorHAnsi"/>
                <w:lang w:val="lv-LV"/>
              </w:rPr>
              <w:t>Pasaules Bankas veiktais ikgad</w:t>
            </w:r>
            <w:r w:rsidR="00981C87">
              <w:rPr>
                <w:rFonts w:asciiTheme="majorHAnsi" w:hAnsiTheme="majorHAnsi"/>
                <w:lang w:val="lv-LV"/>
              </w:rPr>
              <w:t>ējais „Doing Business” pētījums</w:t>
            </w:r>
          </w:p>
        </w:tc>
      </w:tr>
      <w:tr w:rsidR="00170578" w:rsidRPr="0019406C" w:rsidTr="006C25A4">
        <w:tc>
          <w:tcPr>
            <w:tcW w:w="2441" w:type="dxa"/>
          </w:tcPr>
          <w:p w:rsidR="00170578" w:rsidRPr="0019406C" w:rsidRDefault="00170578" w:rsidP="006C25A4">
            <w:pPr>
              <w:spacing w:after="0" w:line="276" w:lineRule="auto"/>
              <w:jc w:val="both"/>
              <w:rPr>
                <w:rFonts w:asciiTheme="majorHAnsi" w:hAnsiTheme="majorHAnsi"/>
                <w:lang w:val="lv-LV"/>
              </w:rPr>
            </w:pPr>
            <w:r w:rsidRPr="0019406C">
              <w:rPr>
                <w:rFonts w:asciiTheme="majorHAnsi" w:hAnsiTheme="majorHAnsi"/>
                <w:lang w:val="lv-LV"/>
              </w:rPr>
              <w:t>DB2013</w:t>
            </w:r>
          </w:p>
        </w:tc>
        <w:tc>
          <w:tcPr>
            <w:tcW w:w="6599" w:type="dxa"/>
          </w:tcPr>
          <w:p w:rsidR="00170578" w:rsidRPr="0019406C" w:rsidRDefault="00170578" w:rsidP="006C25A4">
            <w:pPr>
              <w:spacing w:after="0" w:line="276" w:lineRule="auto"/>
              <w:jc w:val="both"/>
              <w:rPr>
                <w:rFonts w:asciiTheme="majorHAnsi" w:hAnsiTheme="majorHAnsi"/>
                <w:lang w:val="lv-LV"/>
              </w:rPr>
            </w:pPr>
            <w:r w:rsidRPr="0019406C">
              <w:rPr>
                <w:rFonts w:asciiTheme="majorHAnsi" w:hAnsiTheme="majorHAnsi"/>
                <w:lang w:val="lv-LV"/>
              </w:rPr>
              <w:t>Pasaules Bankas veiktais ikgadējais „Doing Business” pētījums par 2013. gadu</w:t>
            </w:r>
          </w:p>
        </w:tc>
      </w:tr>
      <w:tr w:rsidR="00170578" w:rsidRPr="0019406C" w:rsidTr="006C25A4">
        <w:tc>
          <w:tcPr>
            <w:tcW w:w="2441" w:type="dxa"/>
          </w:tcPr>
          <w:p w:rsidR="00170578" w:rsidRPr="0019406C" w:rsidRDefault="00170578" w:rsidP="006C25A4">
            <w:pPr>
              <w:spacing w:after="0" w:line="276" w:lineRule="auto"/>
              <w:jc w:val="both"/>
              <w:rPr>
                <w:rFonts w:asciiTheme="majorHAnsi" w:hAnsiTheme="majorHAnsi"/>
                <w:lang w:val="lv-LV"/>
              </w:rPr>
            </w:pPr>
            <w:r w:rsidRPr="0019406C">
              <w:rPr>
                <w:rFonts w:asciiTheme="majorHAnsi" w:hAnsiTheme="majorHAnsi"/>
                <w:lang w:val="lv-LV"/>
              </w:rPr>
              <w:t>DB2014</w:t>
            </w:r>
          </w:p>
        </w:tc>
        <w:tc>
          <w:tcPr>
            <w:tcW w:w="6599" w:type="dxa"/>
          </w:tcPr>
          <w:p w:rsidR="00170578" w:rsidRPr="0019406C" w:rsidRDefault="00170578" w:rsidP="006C25A4">
            <w:pPr>
              <w:spacing w:after="0" w:line="276" w:lineRule="auto"/>
              <w:jc w:val="both"/>
              <w:rPr>
                <w:rFonts w:asciiTheme="majorHAnsi" w:hAnsiTheme="majorHAnsi"/>
                <w:lang w:val="lv-LV"/>
              </w:rPr>
            </w:pPr>
            <w:r w:rsidRPr="0019406C">
              <w:rPr>
                <w:rFonts w:asciiTheme="majorHAnsi" w:hAnsiTheme="majorHAnsi"/>
                <w:lang w:val="lv-LV"/>
              </w:rPr>
              <w:t>Pasaules Bankas veiktais ikgadējais „Doing Business” pētījums par 2014. gadu.</w:t>
            </w:r>
          </w:p>
        </w:tc>
      </w:tr>
      <w:tr w:rsidR="00170578" w:rsidRPr="0019406C" w:rsidTr="006C25A4">
        <w:tc>
          <w:tcPr>
            <w:tcW w:w="2441" w:type="dxa"/>
          </w:tcPr>
          <w:p w:rsidR="00170578" w:rsidRPr="0019406C" w:rsidRDefault="00170578" w:rsidP="006C25A4">
            <w:pPr>
              <w:spacing w:after="0" w:line="276" w:lineRule="auto"/>
              <w:jc w:val="both"/>
              <w:rPr>
                <w:rFonts w:asciiTheme="majorHAnsi" w:hAnsiTheme="majorHAnsi"/>
                <w:lang w:val="lv-LV"/>
              </w:rPr>
            </w:pPr>
            <w:r w:rsidRPr="0019406C">
              <w:rPr>
                <w:rFonts w:asciiTheme="majorHAnsi" w:hAnsiTheme="majorHAnsi"/>
                <w:lang w:val="lv-LV"/>
              </w:rPr>
              <w:t>EDS</w:t>
            </w:r>
          </w:p>
        </w:tc>
        <w:tc>
          <w:tcPr>
            <w:tcW w:w="6599" w:type="dxa"/>
          </w:tcPr>
          <w:p w:rsidR="00170578" w:rsidRPr="0019406C" w:rsidRDefault="00170578" w:rsidP="006C25A4">
            <w:pPr>
              <w:spacing w:after="0" w:line="276" w:lineRule="auto"/>
              <w:jc w:val="both"/>
              <w:rPr>
                <w:rFonts w:asciiTheme="majorHAnsi" w:hAnsiTheme="majorHAnsi"/>
                <w:lang w:val="lv-LV"/>
              </w:rPr>
            </w:pPr>
            <w:r w:rsidRPr="0019406C">
              <w:rPr>
                <w:rFonts w:asciiTheme="majorHAnsi" w:hAnsiTheme="majorHAnsi"/>
                <w:lang w:val="lv-LV"/>
              </w:rPr>
              <w:t>Elektroniskās deklarēšanās sistēma</w:t>
            </w:r>
          </w:p>
        </w:tc>
      </w:tr>
      <w:tr w:rsidR="00170578" w:rsidRPr="0019406C" w:rsidTr="006C25A4">
        <w:tc>
          <w:tcPr>
            <w:tcW w:w="2441" w:type="dxa"/>
          </w:tcPr>
          <w:p w:rsidR="00170578" w:rsidRPr="0019406C" w:rsidRDefault="00170578" w:rsidP="006C25A4">
            <w:pPr>
              <w:spacing w:after="0" w:line="276" w:lineRule="auto"/>
              <w:jc w:val="both"/>
              <w:rPr>
                <w:rFonts w:asciiTheme="majorHAnsi" w:hAnsiTheme="majorHAnsi"/>
                <w:lang w:val="lv-LV"/>
              </w:rPr>
            </w:pPr>
            <w:r w:rsidRPr="0019406C">
              <w:rPr>
                <w:rFonts w:asciiTheme="majorHAnsi" w:hAnsiTheme="majorHAnsi"/>
                <w:lang w:val="lv-LV"/>
              </w:rPr>
              <w:t>EM</w:t>
            </w:r>
          </w:p>
        </w:tc>
        <w:tc>
          <w:tcPr>
            <w:tcW w:w="6599" w:type="dxa"/>
          </w:tcPr>
          <w:p w:rsidR="00170578" w:rsidRPr="0019406C" w:rsidRDefault="00170578" w:rsidP="006C25A4">
            <w:pPr>
              <w:spacing w:after="0" w:line="276" w:lineRule="auto"/>
              <w:jc w:val="both"/>
              <w:rPr>
                <w:rFonts w:asciiTheme="majorHAnsi" w:hAnsiTheme="majorHAnsi"/>
                <w:lang w:val="lv-LV"/>
              </w:rPr>
            </w:pPr>
            <w:r w:rsidRPr="0019406C">
              <w:rPr>
                <w:rFonts w:asciiTheme="majorHAnsi" w:hAnsiTheme="majorHAnsi"/>
                <w:lang w:val="lv-LV"/>
              </w:rPr>
              <w:t>Latvijas Republikas Ekonomikas ministrija</w:t>
            </w:r>
          </w:p>
        </w:tc>
      </w:tr>
      <w:tr w:rsidR="00170578" w:rsidRPr="0019406C" w:rsidTr="006C25A4">
        <w:tc>
          <w:tcPr>
            <w:tcW w:w="2441" w:type="dxa"/>
          </w:tcPr>
          <w:p w:rsidR="00170578" w:rsidRPr="0019406C" w:rsidRDefault="00170578" w:rsidP="006C25A4">
            <w:pPr>
              <w:spacing w:after="0" w:line="276" w:lineRule="auto"/>
              <w:jc w:val="both"/>
              <w:rPr>
                <w:rFonts w:asciiTheme="majorHAnsi" w:hAnsiTheme="majorHAnsi"/>
                <w:lang w:val="lv-LV"/>
              </w:rPr>
            </w:pPr>
            <w:r w:rsidRPr="0019406C">
              <w:rPr>
                <w:rFonts w:asciiTheme="majorHAnsi" w:hAnsiTheme="majorHAnsi"/>
                <w:lang w:val="lv-LV"/>
              </w:rPr>
              <w:t>ES</w:t>
            </w:r>
          </w:p>
        </w:tc>
        <w:tc>
          <w:tcPr>
            <w:tcW w:w="6599" w:type="dxa"/>
          </w:tcPr>
          <w:p w:rsidR="00170578" w:rsidRPr="0019406C" w:rsidRDefault="00170578" w:rsidP="006C25A4">
            <w:pPr>
              <w:spacing w:after="0" w:line="276" w:lineRule="auto"/>
              <w:jc w:val="both"/>
              <w:rPr>
                <w:rFonts w:asciiTheme="majorHAnsi" w:hAnsiTheme="majorHAnsi"/>
                <w:lang w:val="lv-LV"/>
              </w:rPr>
            </w:pPr>
            <w:r w:rsidRPr="0019406C">
              <w:rPr>
                <w:rFonts w:asciiTheme="majorHAnsi" w:hAnsiTheme="majorHAnsi"/>
                <w:lang w:val="lv-LV"/>
              </w:rPr>
              <w:t>Eiropas Savienība</w:t>
            </w:r>
          </w:p>
        </w:tc>
      </w:tr>
      <w:tr w:rsidR="00170578" w:rsidRPr="0019406C" w:rsidTr="006C25A4">
        <w:tc>
          <w:tcPr>
            <w:tcW w:w="2441" w:type="dxa"/>
          </w:tcPr>
          <w:p w:rsidR="00170578" w:rsidRPr="0019406C" w:rsidRDefault="00170578" w:rsidP="006C25A4">
            <w:pPr>
              <w:spacing w:after="0" w:line="276" w:lineRule="auto"/>
              <w:jc w:val="both"/>
              <w:rPr>
                <w:rFonts w:asciiTheme="majorHAnsi" w:hAnsiTheme="majorHAnsi"/>
                <w:lang w:val="lv-LV"/>
              </w:rPr>
            </w:pPr>
            <w:r w:rsidRPr="0019406C">
              <w:rPr>
                <w:rFonts w:asciiTheme="majorHAnsi" w:hAnsiTheme="majorHAnsi"/>
                <w:lang w:val="lv-LV"/>
              </w:rPr>
              <w:t>EUR</w:t>
            </w:r>
          </w:p>
        </w:tc>
        <w:tc>
          <w:tcPr>
            <w:tcW w:w="6599" w:type="dxa"/>
          </w:tcPr>
          <w:p w:rsidR="00170578" w:rsidRPr="0019406C" w:rsidRDefault="00170578" w:rsidP="006C25A4">
            <w:pPr>
              <w:spacing w:after="0" w:line="276" w:lineRule="auto"/>
              <w:jc w:val="both"/>
              <w:rPr>
                <w:rFonts w:asciiTheme="majorHAnsi" w:hAnsiTheme="majorHAnsi"/>
                <w:lang w:val="lv-LV"/>
              </w:rPr>
            </w:pPr>
            <w:r w:rsidRPr="0019406C">
              <w:rPr>
                <w:rFonts w:asciiTheme="majorHAnsi" w:hAnsiTheme="majorHAnsi"/>
                <w:lang w:val="lv-LV"/>
              </w:rPr>
              <w:t>Eiro valūta</w:t>
            </w:r>
          </w:p>
        </w:tc>
      </w:tr>
      <w:tr w:rsidR="00170578" w:rsidRPr="00BB0049" w:rsidTr="006C25A4">
        <w:tc>
          <w:tcPr>
            <w:tcW w:w="2441" w:type="dxa"/>
          </w:tcPr>
          <w:p w:rsidR="00170578" w:rsidRPr="0019406C" w:rsidRDefault="00170578" w:rsidP="006C25A4">
            <w:pPr>
              <w:spacing w:after="0" w:line="276" w:lineRule="auto"/>
              <w:jc w:val="both"/>
              <w:rPr>
                <w:rFonts w:asciiTheme="majorHAnsi" w:hAnsiTheme="majorHAnsi"/>
                <w:lang w:val="lv-LV"/>
              </w:rPr>
            </w:pPr>
            <w:r w:rsidRPr="0019406C">
              <w:rPr>
                <w:rFonts w:asciiTheme="majorHAnsi" w:hAnsiTheme="majorHAnsi"/>
                <w:lang w:val="lv-LV"/>
              </w:rPr>
              <w:t xml:space="preserve">GKI </w:t>
            </w:r>
          </w:p>
        </w:tc>
        <w:tc>
          <w:tcPr>
            <w:tcW w:w="6599" w:type="dxa"/>
          </w:tcPr>
          <w:p w:rsidR="00170578" w:rsidRPr="0019406C" w:rsidRDefault="00170578" w:rsidP="006C25A4">
            <w:pPr>
              <w:spacing w:after="0" w:line="276" w:lineRule="auto"/>
              <w:jc w:val="both"/>
              <w:rPr>
                <w:rFonts w:asciiTheme="majorHAnsi" w:hAnsiTheme="majorHAnsi"/>
                <w:lang w:val="lv-LV"/>
              </w:rPr>
            </w:pPr>
            <w:r w:rsidRPr="0019406C">
              <w:rPr>
                <w:rFonts w:asciiTheme="majorHAnsi" w:hAnsiTheme="majorHAnsi"/>
                <w:lang w:val="lv-LV"/>
              </w:rPr>
              <w:t>Pasaules Ekonomikas Foruma ikgadējais „Globālās kon</w:t>
            </w:r>
            <w:r w:rsidR="00981C87">
              <w:rPr>
                <w:rFonts w:asciiTheme="majorHAnsi" w:hAnsiTheme="majorHAnsi"/>
                <w:lang w:val="lv-LV"/>
              </w:rPr>
              <w:t>kurētspējas ziņojums 2013 – 2014”</w:t>
            </w:r>
          </w:p>
        </w:tc>
      </w:tr>
      <w:tr w:rsidR="00170578" w:rsidRPr="0019406C" w:rsidTr="006C25A4">
        <w:tc>
          <w:tcPr>
            <w:tcW w:w="2441" w:type="dxa"/>
          </w:tcPr>
          <w:p w:rsidR="00170578" w:rsidRPr="0019406C" w:rsidRDefault="00170578" w:rsidP="006C25A4">
            <w:pPr>
              <w:spacing w:after="0" w:line="276" w:lineRule="auto"/>
              <w:jc w:val="both"/>
              <w:rPr>
                <w:rFonts w:asciiTheme="majorHAnsi" w:hAnsiTheme="majorHAnsi"/>
                <w:lang w:val="lv-LV"/>
              </w:rPr>
            </w:pPr>
            <w:r w:rsidRPr="0019406C">
              <w:rPr>
                <w:rFonts w:asciiTheme="majorHAnsi" w:hAnsiTheme="majorHAnsi"/>
                <w:lang w:val="lv-LV"/>
              </w:rPr>
              <w:t>LTRK</w:t>
            </w:r>
          </w:p>
        </w:tc>
        <w:tc>
          <w:tcPr>
            <w:tcW w:w="6599" w:type="dxa"/>
          </w:tcPr>
          <w:p w:rsidR="00170578" w:rsidRPr="0019406C" w:rsidRDefault="00170578" w:rsidP="006C25A4">
            <w:pPr>
              <w:spacing w:after="0" w:line="276" w:lineRule="auto"/>
              <w:jc w:val="both"/>
              <w:rPr>
                <w:rFonts w:asciiTheme="majorHAnsi" w:hAnsiTheme="majorHAnsi"/>
                <w:lang w:val="lv-LV"/>
              </w:rPr>
            </w:pPr>
            <w:r w:rsidRPr="0019406C">
              <w:rPr>
                <w:rFonts w:asciiTheme="majorHAnsi" w:hAnsiTheme="majorHAnsi"/>
                <w:lang w:val="lv-LV"/>
              </w:rPr>
              <w:t>Latvijas Tirdzniecības un rūpniecības kamera</w:t>
            </w:r>
          </w:p>
        </w:tc>
      </w:tr>
      <w:tr w:rsidR="00170578" w:rsidRPr="0019406C" w:rsidTr="006C25A4">
        <w:tc>
          <w:tcPr>
            <w:tcW w:w="2441" w:type="dxa"/>
          </w:tcPr>
          <w:p w:rsidR="00170578" w:rsidRPr="0019406C" w:rsidRDefault="00170578" w:rsidP="006C25A4">
            <w:pPr>
              <w:spacing w:after="0" w:line="276" w:lineRule="auto"/>
              <w:jc w:val="both"/>
              <w:rPr>
                <w:rFonts w:asciiTheme="majorHAnsi" w:hAnsiTheme="majorHAnsi"/>
                <w:lang w:val="lv-LV"/>
              </w:rPr>
            </w:pPr>
            <w:r w:rsidRPr="0019406C">
              <w:rPr>
                <w:rFonts w:asciiTheme="majorHAnsi" w:hAnsiTheme="majorHAnsi"/>
                <w:lang w:val="lv-LV"/>
              </w:rPr>
              <w:t>MK</w:t>
            </w:r>
          </w:p>
        </w:tc>
        <w:tc>
          <w:tcPr>
            <w:tcW w:w="6599" w:type="dxa"/>
          </w:tcPr>
          <w:p w:rsidR="00170578" w:rsidRPr="0019406C" w:rsidRDefault="00170578" w:rsidP="006C25A4">
            <w:pPr>
              <w:spacing w:after="0" w:line="276" w:lineRule="auto"/>
              <w:jc w:val="both"/>
              <w:rPr>
                <w:rFonts w:asciiTheme="majorHAnsi" w:hAnsiTheme="majorHAnsi"/>
                <w:lang w:val="lv-LV"/>
              </w:rPr>
            </w:pPr>
            <w:r w:rsidRPr="0019406C">
              <w:rPr>
                <w:rFonts w:asciiTheme="majorHAnsi" w:hAnsiTheme="majorHAnsi"/>
                <w:lang w:val="lv-LV"/>
              </w:rPr>
              <w:t>Latvijas Republikas Ministru Kabinets</w:t>
            </w:r>
          </w:p>
        </w:tc>
      </w:tr>
      <w:tr w:rsidR="00CB6A9C" w:rsidRPr="00BB0049" w:rsidTr="006C25A4">
        <w:tc>
          <w:tcPr>
            <w:tcW w:w="2441" w:type="dxa"/>
          </w:tcPr>
          <w:p w:rsidR="00CB6A9C" w:rsidRPr="0019406C" w:rsidRDefault="00CB6A9C" w:rsidP="006C25A4">
            <w:pPr>
              <w:spacing w:after="0" w:line="276" w:lineRule="auto"/>
              <w:jc w:val="both"/>
              <w:rPr>
                <w:rFonts w:asciiTheme="majorHAnsi" w:hAnsiTheme="majorHAnsi"/>
                <w:lang w:val="lv-LV"/>
              </w:rPr>
            </w:pPr>
            <w:r w:rsidRPr="0019406C">
              <w:rPr>
                <w:rFonts w:asciiTheme="majorHAnsi" w:hAnsiTheme="majorHAnsi"/>
                <w:lang w:val="lv-LV"/>
              </w:rPr>
              <w:t>n</w:t>
            </w:r>
          </w:p>
        </w:tc>
        <w:tc>
          <w:tcPr>
            <w:tcW w:w="6599" w:type="dxa"/>
          </w:tcPr>
          <w:p w:rsidR="00CB6A9C" w:rsidRPr="0019406C" w:rsidRDefault="00CB6A9C" w:rsidP="000857A7">
            <w:pPr>
              <w:spacing w:after="0" w:line="276" w:lineRule="auto"/>
              <w:jc w:val="both"/>
              <w:rPr>
                <w:rFonts w:asciiTheme="majorHAnsi" w:hAnsiTheme="majorHAnsi"/>
                <w:lang w:val="lv-LV"/>
              </w:rPr>
            </w:pPr>
            <w:r w:rsidRPr="0019406C">
              <w:rPr>
                <w:rFonts w:asciiTheme="majorHAnsi" w:hAnsiTheme="majorHAnsi"/>
                <w:lang w:val="lv-LV"/>
              </w:rPr>
              <w:t>Respondentu skaits uzņēm</w:t>
            </w:r>
            <w:r w:rsidR="00627B52" w:rsidRPr="0019406C">
              <w:rPr>
                <w:rFonts w:asciiTheme="majorHAnsi" w:hAnsiTheme="majorHAnsi"/>
                <w:lang w:val="lv-LV"/>
              </w:rPr>
              <w:t xml:space="preserve">ēju </w:t>
            </w:r>
            <w:r w:rsidRPr="0019406C">
              <w:rPr>
                <w:rFonts w:asciiTheme="majorHAnsi" w:hAnsiTheme="majorHAnsi"/>
                <w:lang w:val="lv-LV"/>
              </w:rPr>
              <w:t>aptaujas konkrētajā jautājumā</w:t>
            </w:r>
          </w:p>
        </w:tc>
      </w:tr>
      <w:tr w:rsidR="00170578" w:rsidRPr="00BB0049" w:rsidTr="006C25A4">
        <w:tc>
          <w:tcPr>
            <w:tcW w:w="2441" w:type="dxa"/>
          </w:tcPr>
          <w:p w:rsidR="00170578" w:rsidRPr="0019406C" w:rsidRDefault="00170578" w:rsidP="006C25A4">
            <w:pPr>
              <w:spacing w:after="0" w:line="276" w:lineRule="auto"/>
              <w:jc w:val="both"/>
              <w:rPr>
                <w:rFonts w:asciiTheme="majorHAnsi" w:hAnsiTheme="majorHAnsi"/>
                <w:lang w:val="lv-LV"/>
              </w:rPr>
            </w:pPr>
            <w:r w:rsidRPr="0019406C">
              <w:rPr>
                <w:rFonts w:asciiTheme="majorHAnsi" w:hAnsiTheme="majorHAnsi"/>
                <w:lang w:val="lv-LV"/>
              </w:rPr>
              <w:t>OECD</w:t>
            </w:r>
          </w:p>
        </w:tc>
        <w:tc>
          <w:tcPr>
            <w:tcW w:w="6599" w:type="dxa"/>
          </w:tcPr>
          <w:p w:rsidR="00170578" w:rsidRPr="0019406C" w:rsidRDefault="00170578" w:rsidP="006C25A4">
            <w:pPr>
              <w:spacing w:after="0" w:line="276" w:lineRule="auto"/>
              <w:jc w:val="both"/>
              <w:rPr>
                <w:rFonts w:asciiTheme="majorHAnsi" w:hAnsiTheme="majorHAnsi"/>
                <w:lang w:val="lv-LV"/>
              </w:rPr>
            </w:pPr>
            <w:r w:rsidRPr="0019406C">
              <w:rPr>
                <w:rFonts w:asciiTheme="majorHAnsi" w:hAnsiTheme="majorHAnsi"/>
                <w:lang w:val="lv-LV"/>
              </w:rPr>
              <w:t>Ekonomiskās sadarbības un attīstības organizācijas dalībvalstis (ASV, Austrālija, Austrija, Beļģija, Čehija, Čīle, Dānija, Dienvidkoreja, Francija, Grieķija, Igaunija, Islande, Itālija, Īrija, Izraēla Japāna, Jaunzēlande, Kanāda, Lielbritānija, Luksemburga, Meksika, Nīderlande, Norvēģija, Polija, Portugāle, Slovākija, Slovēnija, Somija, Spānija, Šveice, Turcij</w:t>
            </w:r>
            <w:r w:rsidR="00981C87">
              <w:rPr>
                <w:rFonts w:asciiTheme="majorHAnsi" w:hAnsiTheme="majorHAnsi"/>
                <w:lang w:val="lv-LV"/>
              </w:rPr>
              <w:t>a, Ungārija, Vācija, Zviedrija)</w:t>
            </w:r>
          </w:p>
        </w:tc>
      </w:tr>
      <w:tr w:rsidR="00170578" w:rsidRPr="0019406C" w:rsidTr="006C25A4">
        <w:tc>
          <w:tcPr>
            <w:tcW w:w="2441" w:type="dxa"/>
          </w:tcPr>
          <w:p w:rsidR="00170578" w:rsidRPr="0019406C" w:rsidRDefault="00170578" w:rsidP="006C25A4">
            <w:pPr>
              <w:spacing w:after="0" w:line="276" w:lineRule="auto"/>
              <w:jc w:val="both"/>
              <w:rPr>
                <w:rFonts w:asciiTheme="majorHAnsi" w:hAnsiTheme="majorHAnsi"/>
                <w:lang w:val="lv-LV"/>
              </w:rPr>
            </w:pPr>
            <w:r w:rsidRPr="0019406C">
              <w:rPr>
                <w:rFonts w:asciiTheme="majorHAnsi" w:hAnsiTheme="majorHAnsi"/>
                <w:lang w:val="lv-LV"/>
              </w:rPr>
              <w:t xml:space="preserve">PVN </w:t>
            </w:r>
          </w:p>
        </w:tc>
        <w:tc>
          <w:tcPr>
            <w:tcW w:w="6599" w:type="dxa"/>
          </w:tcPr>
          <w:p w:rsidR="00170578" w:rsidRPr="0019406C" w:rsidRDefault="00170578" w:rsidP="006C25A4">
            <w:pPr>
              <w:spacing w:after="0" w:line="276" w:lineRule="auto"/>
              <w:jc w:val="both"/>
              <w:rPr>
                <w:rFonts w:asciiTheme="majorHAnsi" w:hAnsiTheme="majorHAnsi"/>
                <w:lang w:val="lv-LV"/>
              </w:rPr>
            </w:pPr>
            <w:r w:rsidRPr="0019406C">
              <w:rPr>
                <w:rFonts w:asciiTheme="majorHAnsi" w:hAnsiTheme="majorHAnsi"/>
                <w:lang w:val="lv-LV"/>
              </w:rPr>
              <w:t>Pievienotās vērtības nodoklis</w:t>
            </w:r>
          </w:p>
        </w:tc>
      </w:tr>
      <w:tr w:rsidR="00170578" w:rsidRPr="0019406C" w:rsidTr="006C25A4">
        <w:tc>
          <w:tcPr>
            <w:tcW w:w="2441" w:type="dxa"/>
          </w:tcPr>
          <w:p w:rsidR="00170578" w:rsidRPr="0019406C" w:rsidRDefault="00170578" w:rsidP="006C25A4">
            <w:pPr>
              <w:spacing w:after="0" w:line="276" w:lineRule="auto"/>
              <w:jc w:val="both"/>
              <w:rPr>
                <w:rFonts w:asciiTheme="majorHAnsi" w:hAnsiTheme="majorHAnsi"/>
                <w:lang w:val="lv-LV"/>
              </w:rPr>
            </w:pPr>
            <w:proofErr w:type="spellStart"/>
            <w:r w:rsidRPr="0019406C">
              <w:rPr>
                <w:rFonts w:asciiTheme="majorHAnsi" w:hAnsiTheme="majorHAnsi"/>
                <w:lang w:val="lv-LV"/>
              </w:rPr>
              <w:t>PwC</w:t>
            </w:r>
            <w:proofErr w:type="spellEnd"/>
          </w:p>
        </w:tc>
        <w:tc>
          <w:tcPr>
            <w:tcW w:w="6599" w:type="dxa"/>
          </w:tcPr>
          <w:p w:rsidR="00170578" w:rsidRPr="0019406C" w:rsidRDefault="00170578" w:rsidP="006C25A4">
            <w:pPr>
              <w:spacing w:after="0" w:line="276" w:lineRule="auto"/>
              <w:jc w:val="both"/>
              <w:rPr>
                <w:rFonts w:asciiTheme="majorHAnsi" w:hAnsiTheme="majorHAnsi"/>
                <w:lang w:val="lv-LV"/>
              </w:rPr>
            </w:pPr>
            <w:proofErr w:type="spellStart"/>
            <w:r w:rsidRPr="0019406C">
              <w:rPr>
                <w:rFonts w:asciiTheme="majorHAnsi" w:hAnsiTheme="majorHAnsi"/>
                <w:lang w:val="lv-LV"/>
              </w:rPr>
              <w:t>PricewaterhouseCoopers</w:t>
            </w:r>
            <w:proofErr w:type="spellEnd"/>
            <w:r w:rsidRPr="0019406C">
              <w:rPr>
                <w:rFonts w:asciiTheme="majorHAnsi" w:hAnsiTheme="majorHAnsi"/>
                <w:lang w:val="lv-LV"/>
              </w:rPr>
              <w:t xml:space="preserve"> SIA</w:t>
            </w:r>
          </w:p>
        </w:tc>
      </w:tr>
      <w:tr w:rsidR="00170578" w:rsidRPr="0019406C" w:rsidTr="006C25A4">
        <w:tc>
          <w:tcPr>
            <w:tcW w:w="2441" w:type="dxa"/>
          </w:tcPr>
          <w:p w:rsidR="00170578" w:rsidRPr="0019406C" w:rsidRDefault="00170578" w:rsidP="006C25A4">
            <w:pPr>
              <w:spacing w:after="0" w:line="276" w:lineRule="auto"/>
              <w:jc w:val="both"/>
              <w:rPr>
                <w:rFonts w:asciiTheme="majorHAnsi" w:hAnsiTheme="majorHAnsi"/>
                <w:lang w:val="lv-LV"/>
              </w:rPr>
            </w:pPr>
            <w:r w:rsidRPr="0019406C">
              <w:rPr>
                <w:rFonts w:asciiTheme="majorHAnsi" w:hAnsiTheme="majorHAnsi"/>
                <w:lang w:val="lv-LV"/>
              </w:rPr>
              <w:t>VID</w:t>
            </w:r>
          </w:p>
        </w:tc>
        <w:tc>
          <w:tcPr>
            <w:tcW w:w="6599" w:type="dxa"/>
          </w:tcPr>
          <w:p w:rsidR="00170578" w:rsidRPr="0019406C" w:rsidRDefault="00170578" w:rsidP="006C25A4">
            <w:pPr>
              <w:spacing w:after="0" w:line="276" w:lineRule="auto"/>
              <w:jc w:val="both"/>
              <w:rPr>
                <w:rFonts w:asciiTheme="majorHAnsi" w:hAnsiTheme="majorHAnsi"/>
                <w:lang w:val="lv-LV"/>
              </w:rPr>
            </w:pPr>
            <w:r w:rsidRPr="0019406C">
              <w:rPr>
                <w:rFonts w:asciiTheme="majorHAnsi" w:hAnsiTheme="majorHAnsi"/>
                <w:lang w:val="lv-LV"/>
              </w:rPr>
              <w:t>Valsts Ieņēmumu Dienests</w:t>
            </w:r>
          </w:p>
        </w:tc>
      </w:tr>
      <w:tr w:rsidR="00170578" w:rsidRPr="00BB0049" w:rsidTr="006C25A4">
        <w:tc>
          <w:tcPr>
            <w:tcW w:w="2441" w:type="dxa"/>
          </w:tcPr>
          <w:p w:rsidR="00170578" w:rsidRPr="0019406C" w:rsidRDefault="00170578" w:rsidP="006C25A4">
            <w:pPr>
              <w:spacing w:after="0" w:line="276" w:lineRule="auto"/>
              <w:jc w:val="both"/>
              <w:rPr>
                <w:rFonts w:asciiTheme="majorHAnsi" w:hAnsiTheme="majorHAnsi"/>
                <w:lang w:val="lv-LV"/>
              </w:rPr>
            </w:pPr>
            <w:r w:rsidRPr="0019406C">
              <w:rPr>
                <w:rFonts w:asciiTheme="majorHAnsi" w:hAnsiTheme="majorHAnsi"/>
                <w:lang w:val="lv-LV"/>
              </w:rPr>
              <w:t>VSAOI</w:t>
            </w:r>
          </w:p>
        </w:tc>
        <w:tc>
          <w:tcPr>
            <w:tcW w:w="6599" w:type="dxa"/>
          </w:tcPr>
          <w:p w:rsidR="00170578" w:rsidRPr="0019406C" w:rsidRDefault="00170578" w:rsidP="006C25A4">
            <w:pPr>
              <w:spacing w:after="0" w:line="276" w:lineRule="auto"/>
              <w:jc w:val="both"/>
              <w:rPr>
                <w:rFonts w:asciiTheme="majorHAnsi" w:hAnsiTheme="majorHAnsi"/>
                <w:lang w:val="lv-LV"/>
              </w:rPr>
            </w:pPr>
            <w:r w:rsidRPr="0019406C">
              <w:rPr>
                <w:rFonts w:asciiTheme="majorHAnsi" w:hAnsiTheme="majorHAnsi"/>
                <w:lang w:val="lv-LV"/>
              </w:rPr>
              <w:t>Valsts sociālās apdrošināšanas obligātās iemaksas</w:t>
            </w:r>
          </w:p>
        </w:tc>
      </w:tr>
    </w:tbl>
    <w:p w:rsidR="009B44FE" w:rsidRPr="0019406C" w:rsidRDefault="009B44FE">
      <w:pPr>
        <w:rPr>
          <w:rFonts w:asciiTheme="majorHAnsi" w:eastAsiaTheme="majorEastAsia" w:hAnsiTheme="majorHAnsi" w:cstheme="majorBidi"/>
          <w:b/>
          <w:bCs/>
          <w:i/>
          <w:sz w:val="56"/>
          <w:szCs w:val="28"/>
          <w:lang w:val="lv-LV"/>
        </w:rPr>
      </w:pPr>
    </w:p>
    <w:p w:rsidR="007C7542" w:rsidRPr="0019406C" w:rsidRDefault="007C7542">
      <w:pPr>
        <w:rPr>
          <w:rFonts w:asciiTheme="majorHAnsi" w:eastAsiaTheme="majorEastAsia" w:hAnsiTheme="majorHAnsi" w:cstheme="majorBidi"/>
          <w:b/>
          <w:bCs/>
          <w:i/>
          <w:sz w:val="56"/>
          <w:szCs w:val="28"/>
          <w:lang w:val="lv-LV"/>
        </w:rPr>
      </w:pPr>
      <w:r w:rsidRPr="0019406C">
        <w:rPr>
          <w:rFonts w:asciiTheme="majorHAnsi" w:hAnsiTheme="majorHAnsi"/>
          <w:lang w:val="lv-LV"/>
        </w:rPr>
        <w:br w:type="page"/>
      </w:r>
    </w:p>
    <w:p w:rsidR="0041493C" w:rsidRPr="0019406C" w:rsidRDefault="0041493C" w:rsidP="000857A7">
      <w:pPr>
        <w:pStyle w:val="Heading1"/>
        <w:numPr>
          <w:ilvl w:val="0"/>
          <w:numId w:val="0"/>
        </w:numPr>
        <w:rPr>
          <w:lang w:val="lv-LV"/>
        </w:rPr>
      </w:pPr>
      <w:bookmarkStart w:id="30" w:name="_Toc389226066"/>
      <w:r w:rsidRPr="0019406C">
        <w:rPr>
          <w:lang w:val="lv-LV"/>
        </w:rPr>
        <w:lastRenderedPageBreak/>
        <w:t>Ievads</w:t>
      </w:r>
      <w:bookmarkEnd w:id="30"/>
    </w:p>
    <w:p w:rsidR="00BC2B42" w:rsidRPr="0019406C" w:rsidRDefault="00BC2B42" w:rsidP="00BC2B42">
      <w:pPr>
        <w:pStyle w:val="BodyText"/>
        <w:spacing w:after="120" w:line="276" w:lineRule="auto"/>
        <w:jc w:val="both"/>
        <w:rPr>
          <w:rFonts w:asciiTheme="majorHAnsi" w:hAnsiTheme="majorHAnsi"/>
          <w:lang w:val="lv-LV"/>
        </w:rPr>
      </w:pPr>
      <w:r w:rsidRPr="0019406C">
        <w:rPr>
          <w:rFonts w:asciiTheme="majorHAnsi" w:hAnsiTheme="majorHAnsi"/>
          <w:lang w:val="lv-LV"/>
        </w:rPr>
        <w:t>Atbilstoši Pasūtītāja uzdevumam, uzņēmēju aptaujas mērķis ir ar stratificētās vienkāršās nejaušās izlases metodes palīdzību izzināt Latvijas uzņēmēju viedokli par valsts un pašvaldību administratīvajām procedūrām. Aptauja par administratīvo procedūru ietekmi uz uzņēmējdarbības vidi tiek turpināta no 2001.</w:t>
      </w:r>
      <w:r w:rsidR="00692573" w:rsidRPr="0019406C">
        <w:rPr>
          <w:rFonts w:asciiTheme="majorHAnsi" w:hAnsiTheme="majorHAnsi"/>
          <w:lang w:val="lv-LV"/>
        </w:rPr>
        <w:t xml:space="preserve"> </w:t>
      </w:r>
      <w:r w:rsidRPr="0019406C">
        <w:rPr>
          <w:rFonts w:asciiTheme="majorHAnsi" w:hAnsiTheme="majorHAnsi"/>
          <w:lang w:val="lv-LV"/>
        </w:rPr>
        <w:t>gada.</w:t>
      </w:r>
    </w:p>
    <w:p w:rsidR="0068777A" w:rsidRPr="0019406C" w:rsidRDefault="00BC2B42" w:rsidP="0068777A">
      <w:pPr>
        <w:pStyle w:val="BodyText"/>
        <w:spacing w:after="120" w:line="276" w:lineRule="auto"/>
        <w:jc w:val="both"/>
        <w:rPr>
          <w:rFonts w:asciiTheme="majorHAnsi" w:hAnsiTheme="majorHAnsi"/>
          <w:lang w:val="lv-LV"/>
        </w:rPr>
      </w:pPr>
      <w:r w:rsidRPr="0019406C">
        <w:rPr>
          <w:rFonts w:asciiTheme="majorHAnsi" w:hAnsiTheme="majorHAnsi"/>
          <w:lang w:val="lv-LV"/>
        </w:rPr>
        <w:t>Papildus uzņē</w:t>
      </w:r>
      <w:r w:rsidR="00627B52" w:rsidRPr="0019406C">
        <w:rPr>
          <w:rFonts w:asciiTheme="majorHAnsi" w:hAnsiTheme="majorHAnsi"/>
          <w:lang w:val="lv-LV"/>
        </w:rPr>
        <w:t xml:space="preserve">mēju </w:t>
      </w:r>
      <w:r w:rsidRPr="0019406C">
        <w:rPr>
          <w:rFonts w:asciiTheme="majorHAnsi" w:hAnsiTheme="majorHAnsi"/>
          <w:lang w:val="lv-LV"/>
        </w:rPr>
        <w:t>aptaujai z</w:t>
      </w:r>
      <w:r w:rsidR="0068777A" w:rsidRPr="0019406C">
        <w:rPr>
          <w:rFonts w:asciiTheme="majorHAnsi" w:hAnsiTheme="majorHAnsi"/>
          <w:lang w:val="lv-LV"/>
        </w:rPr>
        <w:t>iņojuma projektā veikta Pasaules Bankas pētījuma „Doing Business”, kā arī Pasaules Ekonomikas foruma veiktā pētījuma „Globālās konkurētspējas ziņojums 2013</w:t>
      </w:r>
      <w:r w:rsidR="00692573" w:rsidRPr="0019406C">
        <w:rPr>
          <w:rFonts w:asciiTheme="majorHAnsi" w:hAnsiTheme="majorHAnsi"/>
          <w:lang w:val="lv-LV"/>
        </w:rPr>
        <w:t xml:space="preserve"> – </w:t>
      </w:r>
      <w:r w:rsidR="0068777A" w:rsidRPr="0019406C">
        <w:rPr>
          <w:rFonts w:asciiTheme="majorHAnsi" w:hAnsiTheme="majorHAnsi"/>
          <w:lang w:val="lv-LV"/>
        </w:rPr>
        <w:t>2014” analīze, izvērtējot Latvijas uzņēmējdarbības vides konkurētspēju starptautiskā līmenī. Par salīdzināmām valstīm tika izvēlētas kā tuvākās valstis, ar kurām Latvija konkurē investīciju piesaistē, tā rangā augstāk esošās valstis, kuras ir veikušas reformas un no kurām var mācīties uzņēmējdarbības vides uzlabošanas jautājumu risināšanu. Tika izvēlētas arī valstis ar ievērojamiem uzlabojumiem pētījumos noteiktajos rādītājos.</w:t>
      </w:r>
    </w:p>
    <w:p w:rsidR="0068777A" w:rsidRPr="0019406C" w:rsidRDefault="0068777A" w:rsidP="0068777A">
      <w:pPr>
        <w:pStyle w:val="BodyText"/>
        <w:spacing w:after="120" w:line="276" w:lineRule="auto"/>
        <w:jc w:val="both"/>
        <w:rPr>
          <w:rFonts w:asciiTheme="majorHAnsi" w:hAnsiTheme="majorHAnsi"/>
          <w:lang w:val="lv-LV"/>
        </w:rPr>
      </w:pPr>
      <w:r w:rsidRPr="0019406C">
        <w:rPr>
          <w:rFonts w:asciiTheme="majorHAnsi" w:hAnsiTheme="majorHAnsi"/>
          <w:lang w:val="lv-LV"/>
        </w:rPr>
        <w:t xml:space="preserve">Papildus minēto pētījumu analīzei tika veiktas intervijas ar </w:t>
      </w:r>
      <w:r w:rsidR="00BC2B42" w:rsidRPr="0019406C">
        <w:rPr>
          <w:rFonts w:asciiTheme="majorHAnsi" w:hAnsiTheme="majorHAnsi"/>
          <w:lang w:val="lv-LV"/>
        </w:rPr>
        <w:t>Latvijas ekspertiem konkrētās uzņēmējdarbības jomās</w:t>
      </w:r>
      <w:r w:rsidR="00B80730" w:rsidRPr="0019406C">
        <w:rPr>
          <w:rFonts w:asciiTheme="majorHAnsi" w:hAnsiTheme="majorHAnsi"/>
          <w:lang w:val="lv-LV"/>
        </w:rPr>
        <w:t xml:space="preserve">, kā arī ar pieredzējušiem konsultāciju profesionāļiem no </w:t>
      </w:r>
      <w:proofErr w:type="spellStart"/>
      <w:r w:rsidR="00B80730" w:rsidRPr="0019406C">
        <w:rPr>
          <w:rFonts w:asciiTheme="majorHAnsi" w:hAnsiTheme="majorHAnsi"/>
          <w:lang w:val="lv-LV"/>
        </w:rPr>
        <w:t>PwC</w:t>
      </w:r>
      <w:proofErr w:type="spellEnd"/>
      <w:r w:rsidR="00B80730" w:rsidRPr="0019406C">
        <w:rPr>
          <w:rFonts w:asciiTheme="majorHAnsi" w:hAnsiTheme="majorHAnsi"/>
          <w:lang w:val="lv-LV"/>
        </w:rPr>
        <w:t xml:space="preserve"> birojiem citās Eiropas valstīs</w:t>
      </w:r>
      <w:r w:rsidRPr="0019406C">
        <w:rPr>
          <w:rFonts w:asciiTheme="majorHAnsi" w:hAnsiTheme="majorHAnsi"/>
          <w:lang w:val="lv-LV"/>
        </w:rPr>
        <w:t>. Tika veiktas intervijas ar sekojošu valstu ekspertiem</w:t>
      </w:r>
      <w:r w:rsidR="00B80730" w:rsidRPr="0019406C">
        <w:rPr>
          <w:rFonts w:asciiTheme="majorHAnsi" w:hAnsiTheme="majorHAnsi"/>
          <w:lang w:val="lv-LV"/>
        </w:rPr>
        <w:t xml:space="preserve"> no </w:t>
      </w:r>
      <w:proofErr w:type="spellStart"/>
      <w:r w:rsidR="00B80730" w:rsidRPr="0019406C">
        <w:rPr>
          <w:rFonts w:asciiTheme="majorHAnsi" w:hAnsiTheme="majorHAnsi"/>
          <w:lang w:val="lv-LV"/>
        </w:rPr>
        <w:t>PwC</w:t>
      </w:r>
      <w:proofErr w:type="spellEnd"/>
      <w:r w:rsidR="00B80730" w:rsidRPr="0019406C">
        <w:rPr>
          <w:rFonts w:asciiTheme="majorHAnsi" w:hAnsiTheme="majorHAnsi"/>
          <w:lang w:val="lv-LV"/>
        </w:rPr>
        <w:t xml:space="preserve"> tīkla uzņēmumiem</w:t>
      </w:r>
      <w:r w:rsidRPr="0019406C">
        <w:rPr>
          <w:rFonts w:asciiTheme="majorHAnsi" w:hAnsiTheme="majorHAnsi"/>
          <w:lang w:val="lv-LV"/>
        </w:rPr>
        <w:t>: Lietuva, Igaunija, Dānija, Nīderlande, Apvienotā Karaliste un Polija. Intervijās tika iegūts plašs ieskats citu valstu procedūrās, kā arī iegūti ekspertu viedokļi par Latvijā pastāvošajām procedūrām.</w:t>
      </w:r>
    </w:p>
    <w:p w:rsidR="0068777A" w:rsidRPr="0019406C" w:rsidRDefault="0068777A" w:rsidP="00E15DD7">
      <w:pPr>
        <w:pStyle w:val="BodyText"/>
        <w:spacing w:after="120" w:line="276" w:lineRule="auto"/>
        <w:jc w:val="both"/>
        <w:rPr>
          <w:rFonts w:asciiTheme="majorHAnsi" w:hAnsiTheme="majorHAnsi"/>
          <w:lang w:val="lv-LV"/>
        </w:rPr>
      </w:pPr>
      <w:r w:rsidRPr="0019406C">
        <w:rPr>
          <w:lang w:val="lv-LV"/>
        </w:rPr>
        <w:t xml:space="preserve">Šajā ziņojumā ietverta ziņojuma sagatavošanas metodoloģija, analīze pa tematiskajām nodaļā, secinājumu </w:t>
      </w:r>
      <w:r w:rsidRPr="0019406C">
        <w:rPr>
          <w:rFonts w:asciiTheme="majorHAnsi" w:hAnsiTheme="majorHAnsi"/>
          <w:lang w:val="lv-LV"/>
        </w:rPr>
        <w:t>kopsavilkums un priekšlikumu tabula.</w:t>
      </w:r>
    </w:p>
    <w:p w:rsidR="00686A3D" w:rsidRPr="0019406C" w:rsidRDefault="00686A3D">
      <w:pPr>
        <w:pStyle w:val="BodyText"/>
        <w:spacing w:after="120" w:line="276" w:lineRule="auto"/>
        <w:jc w:val="both"/>
        <w:rPr>
          <w:lang w:val="lv-LV"/>
        </w:rPr>
      </w:pPr>
      <w:r w:rsidRPr="0019406C">
        <w:rPr>
          <w:lang w:val="lv-LV"/>
        </w:rPr>
        <w:t>Pasūtītājs, ņemot vērā ziņojumā iekļautos priekšlikumus, iestrādās tos Uzņēmējdarbības vides uzlabošanas pasākumu plānā 2013.</w:t>
      </w:r>
      <w:r w:rsidR="00692573" w:rsidRPr="0019406C">
        <w:rPr>
          <w:lang w:val="lv-LV"/>
        </w:rPr>
        <w:t xml:space="preserve"> – </w:t>
      </w:r>
      <w:r w:rsidRPr="0019406C">
        <w:rPr>
          <w:lang w:val="lv-LV"/>
        </w:rPr>
        <w:t>2014.</w:t>
      </w:r>
      <w:r w:rsidR="00692573" w:rsidRPr="0019406C">
        <w:rPr>
          <w:lang w:val="lv-LV"/>
        </w:rPr>
        <w:t xml:space="preserve"> </w:t>
      </w:r>
      <w:r w:rsidRPr="0019406C">
        <w:rPr>
          <w:lang w:val="lv-LV"/>
        </w:rPr>
        <w:t>gadam un 2014.</w:t>
      </w:r>
      <w:r w:rsidR="00692573" w:rsidRPr="0019406C">
        <w:rPr>
          <w:lang w:val="lv-LV"/>
        </w:rPr>
        <w:t xml:space="preserve"> – </w:t>
      </w:r>
      <w:r w:rsidRPr="0019406C">
        <w:rPr>
          <w:lang w:val="lv-LV"/>
        </w:rPr>
        <w:t>2015.</w:t>
      </w:r>
      <w:r w:rsidR="00692573" w:rsidRPr="0019406C">
        <w:rPr>
          <w:lang w:val="lv-LV"/>
        </w:rPr>
        <w:t xml:space="preserve"> </w:t>
      </w:r>
      <w:r w:rsidRPr="0019406C">
        <w:rPr>
          <w:lang w:val="lv-LV"/>
        </w:rPr>
        <w:t>gadam.</w:t>
      </w:r>
    </w:p>
    <w:p w:rsidR="00A05250" w:rsidRPr="0019406C" w:rsidRDefault="00A05250">
      <w:pPr>
        <w:rPr>
          <w:rFonts w:asciiTheme="majorHAnsi" w:hAnsiTheme="majorHAnsi"/>
          <w:lang w:val="lv-LV"/>
        </w:rPr>
      </w:pPr>
      <w:r w:rsidRPr="0019406C">
        <w:rPr>
          <w:rFonts w:asciiTheme="majorHAnsi" w:hAnsiTheme="majorHAnsi"/>
          <w:lang w:val="lv-LV"/>
        </w:rPr>
        <w:br w:type="page"/>
      </w:r>
    </w:p>
    <w:p w:rsidR="00376B91" w:rsidRPr="0019406C" w:rsidRDefault="002008FE" w:rsidP="006D2EA5">
      <w:pPr>
        <w:pStyle w:val="Heading1"/>
        <w:rPr>
          <w:lang w:val="lv-LV"/>
        </w:rPr>
      </w:pPr>
      <w:bookmarkStart w:id="31" w:name="_Toc389226067"/>
      <w:r w:rsidRPr="0019406C">
        <w:rPr>
          <w:lang w:val="lv-LV"/>
        </w:rPr>
        <w:lastRenderedPageBreak/>
        <w:t xml:space="preserve">Pētījuma </w:t>
      </w:r>
      <w:r w:rsidR="00376B91" w:rsidRPr="0019406C">
        <w:rPr>
          <w:lang w:val="lv-LV"/>
        </w:rPr>
        <w:t>metodoloģija</w:t>
      </w:r>
      <w:bookmarkEnd w:id="31"/>
    </w:p>
    <w:p w:rsidR="002A58A8" w:rsidRPr="0019406C" w:rsidRDefault="004A6E92" w:rsidP="004A6E92">
      <w:pPr>
        <w:pStyle w:val="BodyText"/>
        <w:spacing w:line="276" w:lineRule="auto"/>
        <w:jc w:val="both"/>
        <w:rPr>
          <w:lang w:val="lv-LV"/>
        </w:rPr>
      </w:pPr>
      <w:r w:rsidRPr="0019406C">
        <w:rPr>
          <w:lang w:val="lv-LV"/>
        </w:rPr>
        <w:t xml:space="preserve">Lai nodrošinātu Pasūtītāja mērķa sasniegšanu, </w:t>
      </w:r>
      <w:proofErr w:type="spellStart"/>
      <w:r w:rsidRPr="0019406C">
        <w:rPr>
          <w:lang w:val="lv-LV"/>
        </w:rPr>
        <w:t>t.i</w:t>
      </w:r>
      <w:proofErr w:type="spellEnd"/>
      <w:r w:rsidRPr="0019406C">
        <w:rPr>
          <w:lang w:val="lv-LV"/>
        </w:rPr>
        <w:t>. veiktu uzņēmēju aptauju, lai uzzinātu Latvijas uzņēmēju viedokli par valsts un pašvaldību administratīvajām procedūrām, kā arī, lai nodrošinātu uzņēmēju viedokļa salīdzināšanu ar citiem veiktajiem pētījumiem un izstrādātu priekšlikumus, ko iekļaut Uzņēmējdarbības vides uzlabošanas pasākumu plānā, šī ziņojuma sagatavošanā izmantotās metodes ietver gan kvantitatīvu, gan kvalitatīvu informācijas analīzi.</w:t>
      </w:r>
    </w:p>
    <w:p w:rsidR="003407E7" w:rsidRPr="0019406C" w:rsidRDefault="003407E7" w:rsidP="003407E7">
      <w:pPr>
        <w:pStyle w:val="BodyText"/>
        <w:spacing w:after="0" w:line="276" w:lineRule="auto"/>
        <w:ind w:left="720"/>
        <w:jc w:val="both"/>
        <w:rPr>
          <w:lang w:val="lv-LV"/>
        </w:rPr>
      </w:pPr>
    </w:p>
    <w:p w:rsidR="004C51AE" w:rsidRPr="0019406C" w:rsidRDefault="004C51AE" w:rsidP="004C51AE">
      <w:pPr>
        <w:pStyle w:val="Heading2"/>
        <w:rPr>
          <w:lang w:val="lv-LV"/>
        </w:rPr>
      </w:pPr>
      <w:bookmarkStart w:id="32" w:name="_Toc389226068"/>
      <w:r w:rsidRPr="0019406C">
        <w:rPr>
          <w:lang w:val="lv-LV"/>
        </w:rPr>
        <w:t>Aptaujas metode un izvēles pamatojums</w:t>
      </w:r>
      <w:bookmarkEnd w:id="32"/>
    </w:p>
    <w:p w:rsidR="004C51AE" w:rsidRPr="0019406C" w:rsidRDefault="004C51AE" w:rsidP="008B0142">
      <w:pPr>
        <w:pStyle w:val="BodyText"/>
        <w:spacing w:line="276" w:lineRule="auto"/>
        <w:rPr>
          <w:lang w:val="lv-LV"/>
        </w:rPr>
      </w:pPr>
    </w:p>
    <w:p w:rsidR="004C51AE" w:rsidRPr="0019406C" w:rsidRDefault="004C51AE" w:rsidP="008B0142">
      <w:pPr>
        <w:spacing w:before="120" w:line="276" w:lineRule="auto"/>
        <w:jc w:val="both"/>
        <w:rPr>
          <w:rFonts w:asciiTheme="majorHAnsi" w:hAnsiTheme="majorHAnsi"/>
          <w:bCs/>
          <w:lang w:val="lv-LV"/>
        </w:rPr>
      </w:pPr>
      <w:r w:rsidRPr="0019406C">
        <w:rPr>
          <w:rFonts w:asciiTheme="majorHAnsi" w:hAnsiTheme="majorHAnsi"/>
          <w:bCs/>
          <w:lang w:val="lv-LV"/>
        </w:rPr>
        <w:t>Kā informācijas ieguves metode aptaujas „Administratīvās procedūras un uzņēmējdarbības vide Latvijā” veikšanā tika izmantotas tiešās intervijas respondentu darba vietās. Kā respondenti dalībai aptaujā tika aicināti uzņēmumu īpašnieki vai vadības pārstāvji (valdes locekļi, direktori).</w:t>
      </w:r>
    </w:p>
    <w:p w:rsidR="004C51AE" w:rsidRPr="0019406C" w:rsidRDefault="004C51AE" w:rsidP="008B0142">
      <w:pPr>
        <w:spacing w:before="120" w:line="276" w:lineRule="auto"/>
        <w:jc w:val="both"/>
        <w:rPr>
          <w:rFonts w:asciiTheme="majorHAnsi" w:hAnsiTheme="majorHAnsi"/>
          <w:bCs/>
          <w:lang w:val="lv-LV"/>
        </w:rPr>
      </w:pPr>
      <w:r w:rsidRPr="0019406C">
        <w:rPr>
          <w:rFonts w:asciiTheme="majorHAnsi" w:hAnsiTheme="majorHAnsi"/>
          <w:bCs/>
          <w:lang w:val="lv-LV"/>
        </w:rPr>
        <w:t>Tiešo interviju kā aptaujai atbilstošākās metodes izvēli noteica sekojoši faktori:</w:t>
      </w:r>
    </w:p>
    <w:p w:rsidR="004C51AE" w:rsidRPr="0019406C" w:rsidRDefault="004C51AE" w:rsidP="00E521EE">
      <w:pPr>
        <w:numPr>
          <w:ilvl w:val="0"/>
          <w:numId w:val="13"/>
        </w:numPr>
        <w:spacing w:after="0" w:line="276" w:lineRule="auto"/>
        <w:jc w:val="both"/>
        <w:rPr>
          <w:rFonts w:asciiTheme="majorHAnsi" w:hAnsiTheme="majorHAnsi"/>
          <w:bCs/>
          <w:lang w:val="lv-LV"/>
        </w:rPr>
      </w:pPr>
      <w:r w:rsidRPr="0019406C">
        <w:rPr>
          <w:rFonts w:asciiTheme="majorHAnsi" w:hAnsiTheme="majorHAnsi"/>
          <w:bCs/>
          <w:lang w:val="lv-LV"/>
        </w:rPr>
        <w:t>Šī aptauja tiek atkārtota ik pēc diviem gadiem (2013. gadā tā tika veikta septīto reizi). Katras nākamās aptaujas rezultāti tiek salīdzināti ar iepriekšējos gados iegūtajiem datiem. Rezultātu korektu salīdzināšanu nodrošina aptaujas instrumentārija un metodoloģijas pārmantojamība. Tāpēc arī 2013.</w:t>
      </w:r>
      <w:r w:rsidR="00863589">
        <w:rPr>
          <w:rFonts w:asciiTheme="majorHAnsi" w:hAnsiTheme="majorHAnsi"/>
          <w:bCs/>
          <w:lang w:val="lv-LV"/>
        </w:rPr>
        <w:t xml:space="preserve"> </w:t>
      </w:r>
      <w:r w:rsidRPr="0019406C">
        <w:rPr>
          <w:rFonts w:asciiTheme="majorHAnsi" w:hAnsiTheme="majorHAnsi"/>
          <w:bCs/>
          <w:lang w:val="lv-LV"/>
        </w:rPr>
        <w:t xml:space="preserve">gada aptauja tika realizēta pēc iepriekš veikto aptauju parauga, kā informācijas ieguves metodi izmantojot tiešās intervijas.   </w:t>
      </w:r>
    </w:p>
    <w:p w:rsidR="004C51AE" w:rsidRPr="0019406C" w:rsidRDefault="004C51AE" w:rsidP="00E521EE">
      <w:pPr>
        <w:numPr>
          <w:ilvl w:val="0"/>
          <w:numId w:val="13"/>
        </w:numPr>
        <w:spacing w:after="0" w:line="276" w:lineRule="auto"/>
        <w:jc w:val="both"/>
        <w:rPr>
          <w:rFonts w:asciiTheme="majorHAnsi" w:hAnsiTheme="majorHAnsi"/>
          <w:bCs/>
          <w:lang w:val="lv-LV"/>
        </w:rPr>
      </w:pPr>
      <w:r w:rsidRPr="0019406C">
        <w:rPr>
          <w:rFonts w:asciiTheme="majorHAnsi" w:hAnsiTheme="majorHAnsi"/>
          <w:bCs/>
          <w:lang w:val="lv-LV"/>
        </w:rPr>
        <w:t xml:space="preserve">Tiešo interviju izmantošanu nosaka arī aptaujas anketas apjoms un intervijas ilgums, kā arī anketas struktūra un saturs. Vidējais intervijas garums, kas ir apmēram 50 minūtes, kā arī anketas komplicētā struktūra (anketa ietver 16 nodaļas, kurās ietverto jautājumu aizpildīšanai nereti bija nepieciešams pieaicināt arī citus noteiktās administratīvajās procedūrās iesaistīto uzņēmuma nodaļu vadītājus/darbiniekus, jo respondents nepārzināja visas ar konkrēto procedūru saistītās nianses) ir noteicoši  argumenti par labu tiešajām intervijām kā informācijas ieguves metodei ar mērķi nodrošināt kvalitatīvu datu ieguves procesu. </w:t>
      </w:r>
      <w:r w:rsidR="00133318" w:rsidRPr="0019406C">
        <w:rPr>
          <w:rFonts w:asciiTheme="majorHAnsi" w:hAnsiTheme="majorHAnsi"/>
          <w:bCs/>
          <w:lang w:val="lv-LV"/>
        </w:rPr>
        <w:t xml:space="preserve">Papildus intervijas, kuru ietvaros tika kontaktēti jau aptaujātu uzņēmumu noteiktu struktūrvienību darbinieki (kuri tiešā veidā ir bijuši iesaistīti attiecīgo jautājumu risināšanā un labāk nekā aptaujas </w:t>
      </w:r>
      <w:proofErr w:type="spellStart"/>
      <w:r w:rsidR="00133318" w:rsidRPr="0019406C">
        <w:rPr>
          <w:rFonts w:asciiTheme="majorHAnsi" w:hAnsiTheme="majorHAnsi"/>
          <w:bCs/>
          <w:lang w:val="lv-LV"/>
        </w:rPr>
        <w:t>pamatrespondents</w:t>
      </w:r>
      <w:proofErr w:type="spellEnd"/>
      <w:r w:rsidR="00133318" w:rsidRPr="0019406C">
        <w:rPr>
          <w:rFonts w:asciiTheme="majorHAnsi" w:hAnsiTheme="majorHAnsi"/>
          <w:bCs/>
          <w:lang w:val="lv-LV"/>
        </w:rPr>
        <w:t xml:space="preserve"> pārzina konkrētās sfēras problemātiku, varēja novērtēt ar šo sfēru saistīto institūciju darbu </w:t>
      </w:r>
      <w:proofErr w:type="spellStart"/>
      <w:r w:rsidR="00133318" w:rsidRPr="0019406C">
        <w:rPr>
          <w:rFonts w:asciiTheme="majorHAnsi" w:hAnsiTheme="majorHAnsi"/>
          <w:bCs/>
          <w:lang w:val="lv-LV"/>
        </w:rPr>
        <w:t>u</w:t>
      </w:r>
      <w:r w:rsidR="0072729F">
        <w:rPr>
          <w:rFonts w:asciiTheme="majorHAnsi" w:hAnsiTheme="majorHAnsi"/>
          <w:bCs/>
          <w:lang w:val="lv-LV"/>
        </w:rPr>
        <w:t>.</w:t>
      </w:r>
      <w:r w:rsidR="00133318" w:rsidRPr="0019406C">
        <w:rPr>
          <w:rFonts w:asciiTheme="majorHAnsi" w:hAnsiTheme="majorHAnsi"/>
          <w:bCs/>
          <w:lang w:val="lv-LV"/>
        </w:rPr>
        <w:t>tml</w:t>
      </w:r>
      <w:proofErr w:type="spellEnd"/>
      <w:r w:rsidR="00133318" w:rsidRPr="0019406C">
        <w:rPr>
          <w:rFonts w:asciiTheme="majorHAnsi" w:hAnsiTheme="majorHAnsi"/>
          <w:bCs/>
          <w:lang w:val="lv-LV"/>
        </w:rPr>
        <w:t>.), tika veiktas telefoniski</w:t>
      </w:r>
      <w:r w:rsidR="00784D16" w:rsidRPr="0019406C">
        <w:rPr>
          <w:rFonts w:asciiTheme="majorHAnsi" w:hAnsiTheme="majorHAnsi"/>
          <w:bCs/>
          <w:lang w:val="lv-LV"/>
        </w:rPr>
        <w:t>,</w:t>
      </w:r>
      <w:r w:rsidR="00133318" w:rsidRPr="0019406C">
        <w:rPr>
          <w:rFonts w:asciiTheme="majorHAnsi" w:hAnsiTheme="majorHAnsi"/>
          <w:bCs/>
          <w:lang w:val="lv-LV"/>
        </w:rPr>
        <w:t xml:space="preserve"> izmantojot </w:t>
      </w:r>
      <w:proofErr w:type="spellStart"/>
      <w:r w:rsidR="00133318" w:rsidRPr="0019406C">
        <w:rPr>
          <w:rFonts w:asciiTheme="majorHAnsi" w:hAnsiTheme="majorHAnsi"/>
          <w:bCs/>
          <w:lang w:val="lv-LV"/>
        </w:rPr>
        <w:t>pamatrespondenta</w:t>
      </w:r>
      <w:proofErr w:type="spellEnd"/>
      <w:r w:rsidR="00133318" w:rsidRPr="0019406C">
        <w:rPr>
          <w:rFonts w:asciiTheme="majorHAnsi" w:hAnsiTheme="majorHAnsi"/>
          <w:bCs/>
          <w:lang w:val="lv-LV"/>
        </w:rPr>
        <w:t xml:space="preserve"> sniegto kontaktinformāciju.</w:t>
      </w:r>
    </w:p>
    <w:p w:rsidR="004C51AE" w:rsidRPr="0019406C" w:rsidRDefault="004C51AE" w:rsidP="004C51AE">
      <w:pPr>
        <w:spacing w:line="300" w:lineRule="auto"/>
        <w:rPr>
          <w:rFonts w:asciiTheme="majorHAnsi" w:hAnsiTheme="majorHAnsi"/>
          <w:lang w:val="lv-LV"/>
        </w:rPr>
      </w:pPr>
    </w:p>
    <w:p w:rsidR="00272122" w:rsidRPr="0019406C" w:rsidRDefault="00272122" w:rsidP="00272122">
      <w:pPr>
        <w:pStyle w:val="Heading2"/>
        <w:rPr>
          <w:lang w:val="lv-LV"/>
        </w:rPr>
      </w:pPr>
      <w:bookmarkStart w:id="33" w:name="_Toc389226069"/>
      <w:r w:rsidRPr="0019406C">
        <w:rPr>
          <w:lang w:val="lv-LV"/>
        </w:rPr>
        <w:t>Aptaujas instrumentārijs</w:t>
      </w:r>
      <w:bookmarkEnd w:id="33"/>
    </w:p>
    <w:p w:rsidR="00272122" w:rsidRPr="0019406C" w:rsidRDefault="00272122" w:rsidP="00272122">
      <w:pPr>
        <w:pStyle w:val="BodyText"/>
        <w:rPr>
          <w:lang w:val="lv-LV"/>
        </w:rPr>
      </w:pPr>
    </w:p>
    <w:p w:rsidR="00272122" w:rsidRPr="0019406C" w:rsidRDefault="00272122" w:rsidP="00031E71">
      <w:pPr>
        <w:spacing w:line="276" w:lineRule="auto"/>
        <w:jc w:val="both"/>
        <w:rPr>
          <w:lang w:val="lv-LV"/>
        </w:rPr>
      </w:pPr>
      <w:r w:rsidRPr="0019406C">
        <w:rPr>
          <w:lang w:val="lv-LV"/>
        </w:rPr>
        <w:t>Lai nodrošinātu pētījuma rezultātu salīdzināmību ar iepriekšējos periodos veiktajās aptaujās iegūtajiem datiem, 2013.</w:t>
      </w:r>
      <w:r w:rsidR="007B41BD" w:rsidRPr="0019406C">
        <w:rPr>
          <w:lang w:val="lv-LV"/>
        </w:rPr>
        <w:t xml:space="preserve"> </w:t>
      </w:r>
      <w:r w:rsidRPr="0019406C">
        <w:rPr>
          <w:lang w:val="lv-LV"/>
        </w:rPr>
        <w:t>gada aptaujas anketa tika veidota uz 2011.</w:t>
      </w:r>
      <w:r w:rsidR="007B41BD" w:rsidRPr="0019406C">
        <w:rPr>
          <w:lang w:val="lv-LV"/>
        </w:rPr>
        <w:t xml:space="preserve"> </w:t>
      </w:r>
      <w:r w:rsidRPr="0019406C">
        <w:rPr>
          <w:lang w:val="lv-LV"/>
        </w:rPr>
        <w:t>gada pētījuma izmantotās anketas pamata.  Sadarbībā ar Ekonomikas ministrijas ekspertiem tika veikta anketas satura izvērtēšana, jautājumu izslēgšana un papildināšana ar jauniem jautājumiem</w:t>
      </w:r>
      <w:r w:rsidR="002C4258" w:rsidRPr="0019406C">
        <w:rPr>
          <w:lang w:val="lv-LV"/>
        </w:rPr>
        <w:t>.</w:t>
      </w:r>
      <w:r w:rsidR="00922953" w:rsidRPr="0019406C">
        <w:rPr>
          <w:lang w:val="lv-LV"/>
        </w:rPr>
        <w:t xml:space="preserve"> Aptaujā saglabāta naudas vienība – lats.</w:t>
      </w:r>
    </w:p>
    <w:p w:rsidR="002A58A8" w:rsidRPr="0019406C" w:rsidRDefault="002A58A8" w:rsidP="00031E71">
      <w:pPr>
        <w:spacing w:line="276" w:lineRule="auto"/>
        <w:jc w:val="both"/>
        <w:rPr>
          <w:rFonts w:asciiTheme="majorHAnsi" w:hAnsiTheme="majorHAnsi"/>
          <w:lang w:val="lv-LV"/>
        </w:rPr>
      </w:pPr>
    </w:p>
    <w:p w:rsidR="00A16AE4" w:rsidRPr="0019406C" w:rsidRDefault="00A16AE4" w:rsidP="00031E71">
      <w:pPr>
        <w:spacing w:line="276" w:lineRule="auto"/>
        <w:jc w:val="both"/>
        <w:rPr>
          <w:rFonts w:asciiTheme="majorHAnsi" w:hAnsiTheme="majorHAnsi"/>
          <w:lang w:val="lv-LV"/>
        </w:rPr>
      </w:pPr>
    </w:p>
    <w:p w:rsidR="004C51AE" w:rsidRPr="0019406C" w:rsidRDefault="004C51AE" w:rsidP="004C51AE">
      <w:pPr>
        <w:pStyle w:val="Heading2"/>
        <w:rPr>
          <w:lang w:val="lv-LV"/>
        </w:rPr>
      </w:pPr>
      <w:bookmarkStart w:id="34" w:name="_Toc389226070"/>
      <w:r w:rsidRPr="0019406C">
        <w:rPr>
          <w:lang w:val="lv-LV"/>
        </w:rPr>
        <w:lastRenderedPageBreak/>
        <w:t>Izlases veidošanas metode un pamatojums</w:t>
      </w:r>
      <w:bookmarkEnd w:id="34"/>
    </w:p>
    <w:p w:rsidR="00151092" w:rsidRPr="0019406C" w:rsidRDefault="00151092" w:rsidP="00151092">
      <w:pPr>
        <w:pStyle w:val="BodyText"/>
        <w:rPr>
          <w:lang w:val="lv-LV"/>
        </w:rPr>
      </w:pPr>
    </w:p>
    <w:p w:rsidR="004C51AE" w:rsidRPr="0019406C" w:rsidRDefault="004C51AE" w:rsidP="003F48D5">
      <w:pPr>
        <w:pStyle w:val="BodyText"/>
        <w:spacing w:line="276" w:lineRule="auto"/>
        <w:rPr>
          <w:rFonts w:asciiTheme="majorHAnsi" w:hAnsiTheme="majorHAnsi"/>
          <w:b/>
          <w:sz w:val="22"/>
          <w:lang w:val="lv-LV"/>
        </w:rPr>
      </w:pPr>
      <w:r w:rsidRPr="0019406C">
        <w:rPr>
          <w:rFonts w:asciiTheme="majorHAnsi" w:hAnsiTheme="majorHAnsi"/>
          <w:b/>
          <w:sz w:val="22"/>
          <w:lang w:val="lv-LV"/>
        </w:rPr>
        <w:t>Izlases veids</w:t>
      </w:r>
    </w:p>
    <w:p w:rsidR="004C51AE" w:rsidRPr="0019406C" w:rsidRDefault="004C51AE" w:rsidP="003F48D5">
      <w:pPr>
        <w:spacing w:before="120" w:line="276" w:lineRule="auto"/>
        <w:jc w:val="both"/>
        <w:rPr>
          <w:rFonts w:asciiTheme="majorHAnsi" w:hAnsiTheme="majorHAnsi"/>
          <w:bCs/>
          <w:lang w:val="lv-LV"/>
        </w:rPr>
      </w:pPr>
      <w:r w:rsidRPr="0019406C">
        <w:rPr>
          <w:rFonts w:asciiTheme="majorHAnsi" w:hAnsiTheme="majorHAnsi"/>
          <w:bCs/>
          <w:lang w:val="lv-LV"/>
        </w:rPr>
        <w:t xml:space="preserve">Nejaušā stratificētā izlase. </w:t>
      </w:r>
    </w:p>
    <w:p w:rsidR="004C51AE" w:rsidRPr="0019406C" w:rsidRDefault="004C51AE" w:rsidP="003F48D5">
      <w:pPr>
        <w:pStyle w:val="BodyText"/>
        <w:spacing w:line="276" w:lineRule="auto"/>
        <w:rPr>
          <w:rFonts w:asciiTheme="majorHAnsi" w:hAnsiTheme="majorHAnsi"/>
          <w:b/>
          <w:sz w:val="22"/>
          <w:lang w:val="lv-LV"/>
        </w:rPr>
      </w:pPr>
      <w:r w:rsidRPr="0019406C">
        <w:rPr>
          <w:rFonts w:asciiTheme="majorHAnsi" w:hAnsiTheme="majorHAnsi"/>
          <w:b/>
          <w:sz w:val="22"/>
          <w:lang w:val="lv-LV"/>
        </w:rPr>
        <w:t>Ģenerālais kopums</w:t>
      </w:r>
    </w:p>
    <w:p w:rsidR="004C51AE" w:rsidRPr="0019406C" w:rsidRDefault="004C51AE" w:rsidP="003F48D5">
      <w:pPr>
        <w:spacing w:line="276" w:lineRule="auto"/>
        <w:jc w:val="both"/>
        <w:rPr>
          <w:rFonts w:asciiTheme="majorHAnsi" w:hAnsiTheme="majorHAnsi" w:cs="JCNFAE+Arial"/>
          <w:lang w:val="lv-LV"/>
        </w:rPr>
      </w:pPr>
      <w:r w:rsidRPr="0019406C">
        <w:rPr>
          <w:rFonts w:asciiTheme="majorHAnsi" w:hAnsiTheme="majorHAnsi" w:cs="JCNFAE+Arial"/>
          <w:lang w:val="lv-LV"/>
        </w:rPr>
        <w:t>Pētījuma ģenerālais kopums ir visi ekonomiski aktīvie uzņēmumi (komercsabiedrības un individuālie komersanti) Latvijā.</w:t>
      </w:r>
    </w:p>
    <w:p w:rsidR="004C51AE" w:rsidRPr="0019406C" w:rsidRDefault="004C51AE" w:rsidP="003F48D5">
      <w:pPr>
        <w:pStyle w:val="BodyText"/>
        <w:spacing w:line="276" w:lineRule="auto"/>
        <w:rPr>
          <w:rFonts w:asciiTheme="majorHAnsi" w:hAnsiTheme="majorHAnsi"/>
          <w:b/>
          <w:sz w:val="22"/>
          <w:lang w:val="lv-LV"/>
        </w:rPr>
      </w:pPr>
      <w:r w:rsidRPr="0019406C">
        <w:rPr>
          <w:rFonts w:asciiTheme="majorHAnsi" w:hAnsiTheme="majorHAnsi"/>
          <w:b/>
          <w:sz w:val="22"/>
          <w:lang w:val="lv-LV"/>
        </w:rPr>
        <w:t>Mērķa populācija</w:t>
      </w:r>
    </w:p>
    <w:p w:rsidR="004C51AE" w:rsidRPr="0019406C" w:rsidRDefault="004C51AE" w:rsidP="003F48D5">
      <w:pPr>
        <w:spacing w:line="276" w:lineRule="auto"/>
        <w:jc w:val="both"/>
        <w:rPr>
          <w:rFonts w:asciiTheme="majorHAnsi" w:hAnsiTheme="majorHAnsi"/>
          <w:lang w:val="lv-LV"/>
        </w:rPr>
      </w:pPr>
      <w:r w:rsidRPr="0019406C">
        <w:rPr>
          <w:rFonts w:asciiTheme="majorHAnsi" w:hAnsiTheme="majorHAnsi"/>
          <w:lang w:val="lv-LV"/>
        </w:rPr>
        <w:t xml:space="preserve">Mērķa populācijas vienības ir komercsabiedrības un individuālie komersanti, kuri izlases veidošanas brīdī ir ekonomiski aktīvi un pārstāv ekonomiskās darbības veidus no A līdz S (pēc NACE Rev.2 klasifikācijas). </w:t>
      </w:r>
    </w:p>
    <w:p w:rsidR="003407E7" w:rsidRPr="0019406C" w:rsidRDefault="004C51AE" w:rsidP="003F48D5">
      <w:pPr>
        <w:spacing w:before="120" w:line="276" w:lineRule="auto"/>
        <w:jc w:val="both"/>
        <w:rPr>
          <w:rFonts w:asciiTheme="majorHAnsi" w:hAnsiTheme="majorHAnsi"/>
          <w:lang w:val="lv-LV"/>
        </w:rPr>
      </w:pPr>
      <w:r w:rsidRPr="0019406C">
        <w:rPr>
          <w:rFonts w:asciiTheme="majorHAnsi" w:hAnsiTheme="majorHAnsi"/>
          <w:lang w:val="lv-LV"/>
        </w:rPr>
        <w:t>Izlases rāmja kopējais apjom</w:t>
      </w:r>
      <w:r w:rsidR="002A58A8" w:rsidRPr="0019406C">
        <w:rPr>
          <w:rFonts w:asciiTheme="majorHAnsi" w:hAnsiTheme="majorHAnsi"/>
          <w:lang w:val="lv-LV"/>
        </w:rPr>
        <w:t>s - 74 195 vienības (uzņēmumi).</w:t>
      </w:r>
    </w:p>
    <w:p w:rsidR="004C51AE" w:rsidRPr="0019406C" w:rsidRDefault="004C51AE" w:rsidP="003F48D5">
      <w:pPr>
        <w:pStyle w:val="BodyText"/>
        <w:spacing w:line="276" w:lineRule="auto"/>
        <w:rPr>
          <w:rFonts w:asciiTheme="majorHAnsi" w:hAnsiTheme="majorHAnsi"/>
          <w:b/>
          <w:sz w:val="22"/>
          <w:lang w:val="lv-LV"/>
        </w:rPr>
      </w:pPr>
      <w:r w:rsidRPr="0019406C">
        <w:rPr>
          <w:rFonts w:asciiTheme="majorHAnsi" w:hAnsiTheme="majorHAnsi"/>
          <w:b/>
          <w:sz w:val="22"/>
          <w:lang w:val="lv-LV"/>
        </w:rPr>
        <w:t>Izlases apjoms</w:t>
      </w:r>
    </w:p>
    <w:p w:rsidR="004C51AE" w:rsidRPr="0019406C" w:rsidRDefault="004C51AE" w:rsidP="003F48D5">
      <w:pPr>
        <w:spacing w:before="120" w:line="276" w:lineRule="auto"/>
        <w:jc w:val="both"/>
        <w:rPr>
          <w:rFonts w:asciiTheme="majorHAnsi" w:hAnsiTheme="majorHAnsi"/>
          <w:bCs/>
          <w:lang w:val="lv-LV"/>
        </w:rPr>
      </w:pPr>
      <w:r w:rsidRPr="0019406C">
        <w:rPr>
          <w:rFonts w:asciiTheme="majorHAnsi" w:hAnsiTheme="majorHAnsi"/>
          <w:bCs/>
          <w:lang w:val="lv-LV"/>
        </w:rPr>
        <w:t xml:space="preserve">Kopumā sasniedzamajai izlasei bija jāaptver 700 uzņēmumi. Kopējais sasniegtais izlases apjoms ir </w:t>
      </w:r>
      <w:r w:rsidR="00272122" w:rsidRPr="0019406C">
        <w:rPr>
          <w:rFonts w:asciiTheme="majorHAnsi" w:hAnsiTheme="majorHAnsi"/>
          <w:bCs/>
          <w:lang w:val="lv-LV"/>
        </w:rPr>
        <w:t>734</w:t>
      </w:r>
      <w:r w:rsidRPr="0019406C">
        <w:rPr>
          <w:rFonts w:asciiTheme="majorHAnsi" w:hAnsiTheme="majorHAnsi"/>
          <w:bCs/>
          <w:lang w:val="lv-LV"/>
        </w:rPr>
        <w:t xml:space="preserve"> respondentu. Izlases apjoms ir pietiekams, lai reprezentētu uzņēmumu pārstāvniecību dažādās apakšgrupās: uzņēmējdarbības sektori, uzņēmumu lielums, atrašanās vieta, īpašumtiesību piederības grupas, juridiskā forma </w:t>
      </w:r>
      <w:proofErr w:type="spellStart"/>
      <w:r w:rsidRPr="0019406C">
        <w:rPr>
          <w:rFonts w:asciiTheme="majorHAnsi" w:hAnsiTheme="majorHAnsi"/>
          <w:bCs/>
          <w:lang w:val="lv-LV"/>
        </w:rPr>
        <w:t>u.c</w:t>
      </w:r>
      <w:proofErr w:type="spellEnd"/>
      <w:r w:rsidRPr="0019406C">
        <w:rPr>
          <w:rFonts w:asciiTheme="majorHAnsi" w:hAnsiTheme="majorHAnsi"/>
          <w:bCs/>
          <w:lang w:val="lv-LV"/>
        </w:rPr>
        <w:t>. Pie esošā izlases apjoma rezultātu precizitāte ir ±3,6% ar 95% varbūtības līmeni. Detalizētu skaidrojumu par pētījuma rezultātu statistiskās kļūdas noteikšanu skatīt ziņojuma 1.pielikumā.</w:t>
      </w:r>
    </w:p>
    <w:p w:rsidR="004C51AE" w:rsidRPr="0019406C" w:rsidRDefault="004C51AE" w:rsidP="003F48D5">
      <w:pPr>
        <w:pStyle w:val="BodyText"/>
        <w:spacing w:line="276" w:lineRule="auto"/>
        <w:rPr>
          <w:rFonts w:asciiTheme="majorHAnsi" w:hAnsiTheme="majorHAnsi"/>
          <w:b/>
          <w:sz w:val="22"/>
          <w:lang w:val="lv-LV"/>
        </w:rPr>
      </w:pPr>
      <w:r w:rsidRPr="0019406C">
        <w:rPr>
          <w:rFonts w:asciiTheme="majorHAnsi" w:hAnsiTheme="majorHAnsi"/>
          <w:b/>
          <w:sz w:val="22"/>
          <w:lang w:val="lv-LV"/>
        </w:rPr>
        <w:t>Izlases stratifikācijas pazīmes</w:t>
      </w:r>
    </w:p>
    <w:p w:rsidR="004C51AE" w:rsidRPr="0019406C" w:rsidRDefault="004C51AE" w:rsidP="003F48D5">
      <w:pPr>
        <w:spacing w:before="120" w:line="276" w:lineRule="auto"/>
        <w:jc w:val="both"/>
        <w:rPr>
          <w:rFonts w:asciiTheme="majorHAnsi" w:hAnsiTheme="majorHAnsi"/>
          <w:bCs/>
          <w:lang w:val="lv-LV"/>
        </w:rPr>
      </w:pPr>
      <w:r w:rsidRPr="0019406C">
        <w:rPr>
          <w:rFonts w:asciiTheme="majorHAnsi" w:hAnsiTheme="majorHAnsi"/>
          <w:bCs/>
          <w:lang w:val="lv-LV"/>
        </w:rPr>
        <w:t xml:space="preserve">Lai sasniegtu reprezentatīvu Latvijas ekonomiski aktīvo uzņēmumu izlasi, tika izmantotas sešas izlases sastāvu raksturojošas stratifikācijas pazīmes: </w:t>
      </w:r>
    </w:p>
    <w:p w:rsidR="004C51AE" w:rsidRPr="0019406C" w:rsidRDefault="004C51AE" w:rsidP="003F48D5">
      <w:pPr>
        <w:numPr>
          <w:ilvl w:val="0"/>
          <w:numId w:val="13"/>
        </w:numPr>
        <w:spacing w:after="0" w:line="276" w:lineRule="auto"/>
        <w:jc w:val="both"/>
        <w:rPr>
          <w:rFonts w:asciiTheme="majorHAnsi" w:hAnsiTheme="majorHAnsi"/>
          <w:bCs/>
          <w:lang w:val="lv-LV"/>
        </w:rPr>
      </w:pPr>
      <w:r w:rsidRPr="0019406C">
        <w:rPr>
          <w:rFonts w:asciiTheme="majorHAnsi" w:hAnsiTheme="majorHAnsi"/>
          <w:bCs/>
          <w:lang w:val="lv-LV"/>
        </w:rPr>
        <w:t>Uzņēmējdarbības sektors (ražošana un rūpniecība, tirdzniecība, pakalpojumi, būvniecība).</w:t>
      </w:r>
    </w:p>
    <w:p w:rsidR="004C51AE" w:rsidRPr="0019406C" w:rsidRDefault="004C51AE" w:rsidP="003F48D5">
      <w:pPr>
        <w:numPr>
          <w:ilvl w:val="0"/>
          <w:numId w:val="13"/>
        </w:numPr>
        <w:spacing w:after="0" w:line="276" w:lineRule="auto"/>
        <w:jc w:val="both"/>
        <w:rPr>
          <w:rFonts w:asciiTheme="majorHAnsi" w:hAnsiTheme="majorHAnsi"/>
          <w:bCs/>
          <w:lang w:val="lv-LV"/>
        </w:rPr>
      </w:pPr>
      <w:r w:rsidRPr="0019406C">
        <w:rPr>
          <w:rFonts w:asciiTheme="majorHAnsi" w:hAnsiTheme="majorHAnsi"/>
          <w:bCs/>
          <w:lang w:val="lv-LV"/>
        </w:rPr>
        <w:t>Uzņēmuma juridiskā forma (SIA, akciju sabiedrības, individuālie komersanti)</w:t>
      </w:r>
    </w:p>
    <w:p w:rsidR="004C51AE" w:rsidRPr="0019406C" w:rsidRDefault="004C51AE" w:rsidP="003F48D5">
      <w:pPr>
        <w:numPr>
          <w:ilvl w:val="0"/>
          <w:numId w:val="13"/>
        </w:numPr>
        <w:spacing w:after="0" w:line="276" w:lineRule="auto"/>
        <w:jc w:val="both"/>
        <w:rPr>
          <w:rFonts w:asciiTheme="majorHAnsi" w:hAnsiTheme="majorHAnsi"/>
          <w:bCs/>
          <w:lang w:val="lv-LV"/>
        </w:rPr>
      </w:pPr>
      <w:r w:rsidRPr="0019406C">
        <w:rPr>
          <w:rFonts w:asciiTheme="majorHAnsi" w:hAnsiTheme="majorHAnsi"/>
          <w:bCs/>
          <w:lang w:val="lv-LV"/>
        </w:rPr>
        <w:t>Uzņēmuma lielums (mikro, mazie, vidējie un lielie).</w:t>
      </w:r>
    </w:p>
    <w:p w:rsidR="004C51AE" w:rsidRPr="0019406C" w:rsidRDefault="004C51AE" w:rsidP="003F48D5">
      <w:pPr>
        <w:numPr>
          <w:ilvl w:val="0"/>
          <w:numId w:val="13"/>
        </w:numPr>
        <w:spacing w:after="0" w:line="276" w:lineRule="auto"/>
        <w:jc w:val="both"/>
        <w:rPr>
          <w:rFonts w:asciiTheme="majorHAnsi" w:hAnsiTheme="majorHAnsi"/>
          <w:bCs/>
          <w:lang w:val="lv-LV"/>
        </w:rPr>
      </w:pPr>
      <w:r w:rsidRPr="0019406C">
        <w:rPr>
          <w:rFonts w:asciiTheme="majorHAnsi" w:hAnsiTheme="majorHAnsi"/>
          <w:bCs/>
          <w:lang w:val="lv-LV"/>
        </w:rPr>
        <w:t>Atrašanās vieta (Rīga, Pierīga, Vidzeme, Kurzeme, Zemgale, Latgale).</w:t>
      </w:r>
    </w:p>
    <w:p w:rsidR="004C51AE" w:rsidRPr="0019406C" w:rsidRDefault="004C51AE" w:rsidP="003F48D5">
      <w:pPr>
        <w:numPr>
          <w:ilvl w:val="0"/>
          <w:numId w:val="13"/>
        </w:numPr>
        <w:spacing w:after="0" w:line="276" w:lineRule="auto"/>
        <w:jc w:val="both"/>
        <w:rPr>
          <w:rFonts w:asciiTheme="majorHAnsi" w:hAnsiTheme="majorHAnsi"/>
          <w:bCs/>
          <w:lang w:val="lv-LV"/>
        </w:rPr>
      </w:pPr>
      <w:r w:rsidRPr="0019406C">
        <w:rPr>
          <w:rFonts w:asciiTheme="majorHAnsi" w:hAnsiTheme="majorHAnsi"/>
          <w:bCs/>
          <w:lang w:val="lv-LV"/>
        </w:rPr>
        <w:t>Teritoriālā piederība (Rīga, lielās pilsētas, citas pilsētas, ciemi un lauki).</w:t>
      </w:r>
    </w:p>
    <w:p w:rsidR="004C51AE" w:rsidRPr="0019406C" w:rsidRDefault="004C51AE" w:rsidP="003F48D5">
      <w:pPr>
        <w:numPr>
          <w:ilvl w:val="0"/>
          <w:numId w:val="13"/>
        </w:numPr>
        <w:spacing w:after="0" w:line="276" w:lineRule="auto"/>
        <w:jc w:val="both"/>
        <w:rPr>
          <w:rFonts w:asciiTheme="majorHAnsi" w:hAnsiTheme="majorHAnsi"/>
          <w:bCs/>
          <w:lang w:val="lv-LV"/>
        </w:rPr>
      </w:pPr>
      <w:r w:rsidRPr="0019406C">
        <w:rPr>
          <w:rFonts w:asciiTheme="majorHAnsi" w:hAnsiTheme="majorHAnsi"/>
          <w:bCs/>
          <w:lang w:val="lv-LV"/>
        </w:rPr>
        <w:t>Eksports (eksportētāji un neeksportētāji).</w:t>
      </w:r>
    </w:p>
    <w:p w:rsidR="004C51AE" w:rsidRPr="0019406C" w:rsidRDefault="004C51AE" w:rsidP="003F48D5">
      <w:pPr>
        <w:numPr>
          <w:ilvl w:val="0"/>
          <w:numId w:val="13"/>
        </w:numPr>
        <w:spacing w:after="0" w:line="276" w:lineRule="auto"/>
        <w:jc w:val="both"/>
        <w:rPr>
          <w:rFonts w:asciiTheme="majorHAnsi" w:hAnsiTheme="majorHAnsi"/>
          <w:bCs/>
          <w:lang w:val="lv-LV"/>
        </w:rPr>
      </w:pPr>
      <w:r w:rsidRPr="0019406C">
        <w:rPr>
          <w:rFonts w:asciiTheme="majorHAnsi" w:hAnsiTheme="majorHAnsi"/>
          <w:bCs/>
          <w:lang w:val="lv-LV"/>
        </w:rPr>
        <w:t>Dibināšanas gads (jaundibinātie (pēc 2012.</w:t>
      </w:r>
      <w:r w:rsidR="00863589">
        <w:rPr>
          <w:rFonts w:asciiTheme="majorHAnsi" w:hAnsiTheme="majorHAnsi"/>
          <w:bCs/>
          <w:lang w:val="lv-LV"/>
        </w:rPr>
        <w:t xml:space="preserve"> </w:t>
      </w:r>
      <w:r w:rsidRPr="0019406C">
        <w:rPr>
          <w:rFonts w:asciiTheme="majorHAnsi" w:hAnsiTheme="majorHAnsi"/>
          <w:bCs/>
          <w:lang w:val="lv-LV"/>
        </w:rPr>
        <w:t>gada 1.</w:t>
      </w:r>
      <w:r w:rsidR="00863589">
        <w:rPr>
          <w:rFonts w:asciiTheme="majorHAnsi" w:hAnsiTheme="majorHAnsi"/>
          <w:bCs/>
          <w:lang w:val="lv-LV"/>
        </w:rPr>
        <w:t xml:space="preserve"> </w:t>
      </w:r>
      <w:r w:rsidRPr="0019406C">
        <w:rPr>
          <w:rFonts w:asciiTheme="majorHAnsi" w:hAnsiTheme="majorHAnsi"/>
          <w:bCs/>
          <w:lang w:val="lv-LV"/>
        </w:rPr>
        <w:t>janvāra) un agrāk dibinātie uzņēmumi).</w:t>
      </w:r>
    </w:p>
    <w:p w:rsidR="004C51AE" w:rsidRDefault="004C51AE" w:rsidP="003F48D5">
      <w:pPr>
        <w:spacing w:before="120" w:line="276" w:lineRule="auto"/>
        <w:jc w:val="both"/>
        <w:rPr>
          <w:rFonts w:asciiTheme="majorHAnsi" w:hAnsiTheme="majorHAnsi"/>
          <w:bCs/>
          <w:lang w:val="lv-LV"/>
        </w:rPr>
      </w:pPr>
      <w:r w:rsidRPr="0019406C">
        <w:rPr>
          <w:rFonts w:asciiTheme="majorHAnsi" w:hAnsiTheme="majorHAnsi"/>
          <w:bCs/>
          <w:lang w:val="lv-LV"/>
        </w:rPr>
        <w:t>Izlases veidošanas procesā nebija iespējams izmantot divu pasūtītāja uzstādītos kritērijus – kritēriju par uzņēmuma pamatkapitāla apjomu (uzņēmumi ar samazinātu pamata kapitāla apjomu) un kritēriju par īpašumtiesībām, kas nosaka, vai uzņēmums ir ārvalstu investoru īpašumā esošs uzņēmums, vai vietējais uzņēmums. Minētos kritērijus nebija iespējams izmantot, jo atbilstoši CSP skaidrojumam Valsts statistiskās informācijas programmas izpildes nodrošināšanai CSP informāciju par uzņēmuma pamatkapitālu un piederību ārvalsts vai vietējiem uzņēmumiem aktualizē tikai par ārvalsts saistītiem uzņēmumiem un Eiropas grupu reģistrā iekļautiem uzņēmumiem. Taču īpašumtiesību pazīme tika iekļauta aptaujas anketā, nodrošinot datu analīzes iespējas atbilstošā griezumā.</w:t>
      </w:r>
    </w:p>
    <w:p w:rsidR="003F48D5" w:rsidRDefault="003F48D5" w:rsidP="003F48D5">
      <w:pPr>
        <w:spacing w:before="120" w:line="276" w:lineRule="auto"/>
        <w:jc w:val="both"/>
        <w:rPr>
          <w:rFonts w:asciiTheme="majorHAnsi" w:hAnsiTheme="majorHAnsi"/>
          <w:bCs/>
          <w:lang w:val="lv-LV"/>
        </w:rPr>
      </w:pPr>
    </w:p>
    <w:p w:rsidR="003F48D5" w:rsidRPr="0019406C" w:rsidRDefault="003F48D5" w:rsidP="003F48D5">
      <w:pPr>
        <w:spacing w:before="120" w:line="276" w:lineRule="auto"/>
        <w:jc w:val="both"/>
        <w:rPr>
          <w:rFonts w:asciiTheme="majorHAnsi" w:hAnsiTheme="majorHAnsi"/>
          <w:bCs/>
          <w:lang w:val="lv-LV"/>
        </w:rPr>
      </w:pPr>
    </w:p>
    <w:p w:rsidR="004C51AE" w:rsidRPr="0019406C" w:rsidRDefault="004C51AE" w:rsidP="003F48D5">
      <w:pPr>
        <w:pStyle w:val="BodyText"/>
        <w:spacing w:line="276" w:lineRule="auto"/>
        <w:rPr>
          <w:rFonts w:asciiTheme="majorHAnsi" w:hAnsiTheme="majorHAnsi"/>
          <w:b/>
          <w:sz w:val="22"/>
          <w:lang w:val="lv-LV"/>
        </w:rPr>
      </w:pPr>
      <w:r w:rsidRPr="0019406C">
        <w:rPr>
          <w:rFonts w:asciiTheme="majorHAnsi" w:hAnsiTheme="majorHAnsi"/>
          <w:b/>
          <w:sz w:val="22"/>
          <w:lang w:val="lv-LV"/>
        </w:rPr>
        <w:lastRenderedPageBreak/>
        <w:t>Izlases izveide</w:t>
      </w:r>
    </w:p>
    <w:p w:rsidR="004C51AE" w:rsidRPr="0019406C" w:rsidRDefault="004C51AE" w:rsidP="003F48D5">
      <w:pPr>
        <w:spacing w:after="120" w:line="276" w:lineRule="auto"/>
        <w:jc w:val="both"/>
        <w:rPr>
          <w:rFonts w:asciiTheme="majorHAnsi" w:hAnsiTheme="majorHAnsi"/>
          <w:bCs/>
          <w:lang w:val="lv-LV"/>
        </w:rPr>
      </w:pPr>
      <w:r w:rsidRPr="0019406C">
        <w:rPr>
          <w:rFonts w:asciiTheme="majorHAnsi" w:hAnsiTheme="majorHAnsi"/>
          <w:bCs/>
          <w:lang w:val="lv-LV"/>
        </w:rPr>
        <w:t>Balstoties uz 2011.</w:t>
      </w:r>
      <w:r w:rsidR="008B686D" w:rsidRPr="0019406C">
        <w:rPr>
          <w:rFonts w:asciiTheme="majorHAnsi" w:hAnsiTheme="majorHAnsi"/>
          <w:bCs/>
          <w:lang w:val="lv-LV"/>
        </w:rPr>
        <w:t xml:space="preserve"> </w:t>
      </w:r>
      <w:r w:rsidRPr="0019406C">
        <w:rPr>
          <w:rFonts w:asciiTheme="majorHAnsi" w:hAnsiTheme="majorHAnsi"/>
          <w:bCs/>
          <w:lang w:val="lv-LV"/>
        </w:rPr>
        <w:t>gada aptaujas lauka darba veicēju rekomendācijām un pētījuma iepirkumā norādītajām prasībām Centrālās statistikas pārvaldei tika pasūtīts sagatavot uzņēmumu izlasi 2</w:t>
      </w:r>
      <w:r w:rsidR="00863589">
        <w:rPr>
          <w:rFonts w:asciiTheme="majorHAnsi" w:hAnsiTheme="majorHAnsi"/>
          <w:bCs/>
          <w:lang w:val="lv-LV"/>
        </w:rPr>
        <w:t xml:space="preserve"> </w:t>
      </w:r>
      <w:r w:rsidRPr="0019406C">
        <w:rPr>
          <w:rFonts w:asciiTheme="majorHAnsi" w:hAnsiTheme="majorHAnsi"/>
          <w:bCs/>
          <w:lang w:val="lv-LV"/>
        </w:rPr>
        <w:t>100 ekonomiski aktīvu uzņēmumu izlasi, kas ir 3 reizes pārsniedz nepieciešamo respondentus skaitu.</w:t>
      </w:r>
    </w:p>
    <w:p w:rsidR="004C51AE" w:rsidRPr="0019406C" w:rsidRDefault="004C51AE" w:rsidP="003F48D5">
      <w:pPr>
        <w:pStyle w:val="Teksts"/>
        <w:spacing w:after="120" w:line="276" w:lineRule="auto"/>
        <w:rPr>
          <w:rFonts w:asciiTheme="majorHAnsi" w:hAnsiTheme="majorHAnsi"/>
          <w:sz w:val="20"/>
          <w:szCs w:val="20"/>
        </w:rPr>
      </w:pPr>
      <w:r w:rsidRPr="0019406C">
        <w:rPr>
          <w:rFonts w:asciiTheme="majorHAnsi" w:hAnsiTheme="majorHAnsi"/>
          <w:sz w:val="20"/>
          <w:szCs w:val="20"/>
        </w:rPr>
        <w:t>Izlase tika veidota no izlases rāmja ar apjomu 74 195 vienības (uzņēmumi). Izlases rāmī tika iekļauti izlases veidošanas brīdī ekonomiski aktīvi uzņēmumi, kuru juridiskā forma ir sabiedrības ar ierobežotu atbildību un individuālie komersanti un kuri pārstāv ekonomiskās darbības veidus no A līdz S pēc NACE Rev.2 klasifikācijas. Izlases rāmī netika iekļautas komercsabiedrības ar citām juridiskajām formām, jo</w:t>
      </w:r>
      <w:r w:rsidRPr="0019406C">
        <w:rPr>
          <w:rFonts w:asciiTheme="majorHAnsi" w:hAnsiTheme="majorHAnsi"/>
          <w:color w:val="000000"/>
          <w:sz w:val="20"/>
          <w:szCs w:val="20"/>
        </w:rPr>
        <w:t xml:space="preserve"> izlases pasūtījuma tehniskajā specifikācijā norādīto juridisko formu (individuālie komersanti un sabiedrības ar ierobežotu atbildību) pasūtītā daļa sastāda 100%. </w:t>
      </w:r>
      <w:r w:rsidRPr="0019406C">
        <w:rPr>
          <w:rFonts w:asciiTheme="majorHAnsi" w:hAnsiTheme="majorHAnsi"/>
          <w:sz w:val="20"/>
          <w:szCs w:val="20"/>
        </w:rPr>
        <w:t>Izlases rāmja sagatavošanai tika izmantota informācija no CSP Statistikas uzņēmumu reģistra un CSP datu bāzēm par ārējo tirdzniecību.</w:t>
      </w:r>
    </w:p>
    <w:p w:rsidR="004C51AE" w:rsidRPr="0019406C" w:rsidRDefault="004C51AE" w:rsidP="003F48D5">
      <w:pPr>
        <w:spacing w:after="120" w:line="276" w:lineRule="auto"/>
        <w:jc w:val="both"/>
        <w:rPr>
          <w:rFonts w:asciiTheme="majorHAnsi" w:hAnsiTheme="majorHAnsi"/>
          <w:color w:val="000000"/>
          <w:lang w:val="lv-LV"/>
        </w:rPr>
      </w:pPr>
      <w:r w:rsidRPr="0019406C">
        <w:rPr>
          <w:rFonts w:asciiTheme="majorHAnsi" w:hAnsiTheme="majorHAnsi"/>
          <w:lang w:val="lv-LV"/>
        </w:rPr>
        <w:t xml:space="preserve">Izlase tika veidota kā nejauša (gadījuma) kvotu izlase. </w:t>
      </w:r>
      <w:r w:rsidRPr="0019406C">
        <w:rPr>
          <w:rFonts w:asciiTheme="majorHAnsi" w:hAnsiTheme="majorHAnsi"/>
          <w:color w:val="000000"/>
          <w:lang w:val="lv-LV"/>
        </w:rPr>
        <w:t>Uzņēmumu skaits izveidotajā izlasē sakrīt ar pasūtīto uzņēmumu skaitu visās grupās.</w:t>
      </w:r>
    </w:p>
    <w:p w:rsidR="004C51AE" w:rsidRPr="0019406C" w:rsidRDefault="004C51AE" w:rsidP="003F48D5">
      <w:pPr>
        <w:spacing w:after="120" w:line="276" w:lineRule="auto"/>
        <w:jc w:val="both"/>
        <w:rPr>
          <w:rFonts w:asciiTheme="majorHAnsi" w:hAnsiTheme="majorHAnsi" w:cs="Tms Rmn"/>
          <w:color w:val="000000"/>
          <w:lang w:val="lv-LV" w:eastAsia="lv-LV"/>
        </w:rPr>
      </w:pPr>
      <w:r w:rsidRPr="0019406C">
        <w:rPr>
          <w:rFonts w:asciiTheme="majorHAnsi" w:hAnsiTheme="majorHAnsi"/>
          <w:color w:val="000000"/>
          <w:lang w:val="lv-LV" w:eastAsia="lv-LV"/>
        </w:rPr>
        <w:t>Saskaņā ar uzņēmumu demogrāfijas metodoloģiju, CSP sniedz informāciju par uzņēmumiem pēc ekonomiskās aktivitātes uzsākšanas perioda/gada. Tādējādi izlases veidošanā par „jaundibinātiem”  uzņēmumiem tiek uzskatīti uzņēmumi, kuriem ir konstatēta ekonomiskā aktivitāte, sākot no 2012.</w:t>
      </w:r>
      <w:r w:rsidR="007B41BD" w:rsidRPr="0019406C">
        <w:rPr>
          <w:rFonts w:asciiTheme="majorHAnsi" w:hAnsiTheme="majorHAnsi"/>
          <w:color w:val="000000"/>
          <w:lang w:val="lv-LV" w:eastAsia="lv-LV"/>
        </w:rPr>
        <w:t xml:space="preserve"> </w:t>
      </w:r>
      <w:r w:rsidRPr="0019406C">
        <w:rPr>
          <w:rFonts w:asciiTheme="majorHAnsi" w:hAnsiTheme="majorHAnsi"/>
          <w:color w:val="000000"/>
          <w:lang w:val="lv-LV" w:eastAsia="lv-LV"/>
        </w:rPr>
        <w:t>gada 1.</w:t>
      </w:r>
      <w:r w:rsidR="007B41BD" w:rsidRPr="0019406C">
        <w:rPr>
          <w:rFonts w:asciiTheme="majorHAnsi" w:hAnsiTheme="majorHAnsi"/>
          <w:color w:val="000000"/>
          <w:lang w:val="lv-LV" w:eastAsia="lv-LV"/>
        </w:rPr>
        <w:t xml:space="preserve"> </w:t>
      </w:r>
      <w:r w:rsidRPr="0019406C">
        <w:rPr>
          <w:rFonts w:asciiTheme="majorHAnsi" w:hAnsiTheme="majorHAnsi"/>
          <w:color w:val="000000"/>
          <w:lang w:val="lv-LV" w:eastAsia="lv-LV"/>
        </w:rPr>
        <w:t>janvāra, un nav bijusi konstatēta ekonomiskā aktivitāte iepriekšējos periodos.</w:t>
      </w:r>
      <w:r w:rsidRPr="0019406C">
        <w:rPr>
          <w:rFonts w:asciiTheme="majorHAnsi" w:hAnsiTheme="majorHAnsi" w:cs="Tms Rmn"/>
          <w:color w:val="000000"/>
          <w:lang w:val="lv-LV" w:eastAsia="lv-LV"/>
        </w:rPr>
        <w:t xml:space="preserve"> </w:t>
      </w:r>
    </w:p>
    <w:p w:rsidR="004C51AE" w:rsidRPr="0019406C" w:rsidRDefault="004C51AE" w:rsidP="004C51AE">
      <w:pPr>
        <w:spacing w:after="120" w:line="300" w:lineRule="auto"/>
        <w:ind w:firstLine="540"/>
        <w:jc w:val="both"/>
        <w:rPr>
          <w:rFonts w:asciiTheme="majorHAnsi" w:hAnsiTheme="majorHAnsi" w:cs="Tms Rmn"/>
          <w:color w:val="000000"/>
          <w:lang w:val="lv-LV" w:eastAsia="lv-LV"/>
        </w:rPr>
      </w:pPr>
    </w:p>
    <w:p w:rsidR="004C51AE" w:rsidRPr="0019406C" w:rsidRDefault="004C51AE" w:rsidP="00151092">
      <w:pPr>
        <w:pStyle w:val="Heading2"/>
        <w:rPr>
          <w:lang w:val="lv-LV"/>
        </w:rPr>
      </w:pPr>
      <w:bookmarkStart w:id="35" w:name="_Toc389226071"/>
      <w:r w:rsidRPr="0019406C">
        <w:rPr>
          <w:lang w:val="lv-LV"/>
        </w:rPr>
        <w:t>Izlases raksturojums</w:t>
      </w:r>
      <w:bookmarkEnd w:id="35"/>
    </w:p>
    <w:p w:rsidR="00151092" w:rsidRPr="0019406C" w:rsidRDefault="00151092" w:rsidP="00151092">
      <w:pPr>
        <w:pStyle w:val="BodyText"/>
        <w:rPr>
          <w:lang w:val="lv-LV"/>
        </w:rPr>
      </w:pPr>
    </w:p>
    <w:p w:rsidR="004C51AE" w:rsidRPr="0019406C" w:rsidRDefault="004C51AE" w:rsidP="008637A6">
      <w:pPr>
        <w:pStyle w:val="BodyText"/>
        <w:rPr>
          <w:rFonts w:asciiTheme="majorHAnsi" w:hAnsiTheme="majorHAnsi"/>
          <w:b/>
          <w:sz w:val="22"/>
          <w:lang w:val="lv-LV"/>
        </w:rPr>
      </w:pPr>
      <w:r w:rsidRPr="0019406C">
        <w:rPr>
          <w:rFonts w:asciiTheme="majorHAnsi" w:hAnsiTheme="majorHAnsi"/>
          <w:b/>
          <w:sz w:val="22"/>
          <w:lang w:val="lv-LV"/>
        </w:rPr>
        <w:t xml:space="preserve">Latvijas uzņēmumu statistisks raksturojums un vēlamās izlases struktūra </w:t>
      </w:r>
    </w:p>
    <w:p w:rsidR="00151092" w:rsidRPr="0019406C" w:rsidRDefault="00151092" w:rsidP="00031E71">
      <w:pPr>
        <w:spacing w:line="276" w:lineRule="auto"/>
        <w:jc w:val="both"/>
        <w:rPr>
          <w:rFonts w:asciiTheme="majorHAnsi" w:hAnsiTheme="majorHAnsi"/>
          <w:lang w:val="lv-LV"/>
        </w:rPr>
      </w:pPr>
      <w:r w:rsidRPr="0019406C">
        <w:rPr>
          <w:rFonts w:asciiTheme="majorHAnsi" w:hAnsiTheme="majorHAnsi"/>
          <w:lang w:val="lv-LV"/>
        </w:rPr>
        <w:t>Vadoties pēc 1.2.</w:t>
      </w:r>
      <w:r w:rsidR="004C51AE" w:rsidRPr="0019406C">
        <w:rPr>
          <w:rFonts w:asciiTheme="majorHAnsi" w:hAnsiTheme="majorHAnsi"/>
          <w:lang w:val="lv-LV"/>
        </w:rPr>
        <w:t xml:space="preserve"> sadaļā minētajiem izlases veidošanas principiem, CSP sagatavoja aptaujas izlases rāmi iekļaujot 2</w:t>
      </w:r>
      <w:r w:rsidR="00863589">
        <w:rPr>
          <w:rFonts w:asciiTheme="majorHAnsi" w:hAnsiTheme="majorHAnsi"/>
          <w:lang w:val="lv-LV"/>
        </w:rPr>
        <w:t xml:space="preserve"> </w:t>
      </w:r>
      <w:r w:rsidR="004C51AE" w:rsidRPr="0019406C">
        <w:rPr>
          <w:rFonts w:asciiTheme="majorHAnsi" w:hAnsiTheme="majorHAnsi"/>
          <w:lang w:val="lv-LV"/>
        </w:rPr>
        <w:t xml:space="preserve">100 ekonomiski aktīvus uzņēmumus atbilstoši pasūtītāja definētajām septiņām stratifikācijas pazīmēm. Kopumā izlase sastāv no 24 </w:t>
      </w:r>
      <w:proofErr w:type="spellStart"/>
      <w:r w:rsidR="004C51AE" w:rsidRPr="0019406C">
        <w:rPr>
          <w:rFonts w:asciiTheme="majorHAnsi" w:hAnsiTheme="majorHAnsi"/>
          <w:lang w:val="lv-LV"/>
        </w:rPr>
        <w:t>stratām</w:t>
      </w:r>
      <w:proofErr w:type="spellEnd"/>
      <w:r w:rsidR="004C51AE" w:rsidRPr="0019406C">
        <w:rPr>
          <w:rFonts w:asciiTheme="majorHAnsi" w:hAnsiTheme="majorHAnsi"/>
          <w:lang w:val="lv-LV"/>
        </w:rPr>
        <w:t xml:space="preserve"> – katrai no tām aprēķināts sasniedzamais uzņēmumu-respondentu skaits, lai nodrošinātu aptaujas izlases reprezentativitāti attiecībā pret visiem Latvijā strādājošajiem ekonomiski aktīvajiem uzņēmumiem. </w:t>
      </w:r>
    </w:p>
    <w:p w:rsidR="004C51AE" w:rsidRPr="0019406C" w:rsidRDefault="004C51AE" w:rsidP="00031E71">
      <w:pPr>
        <w:spacing w:line="276" w:lineRule="auto"/>
        <w:jc w:val="both"/>
        <w:rPr>
          <w:rFonts w:asciiTheme="majorHAnsi" w:hAnsiTheme="majorHAnsi"/>
          <w:lang w:val="lv-LV"/>
        </w:rPr>
      </w:pPr>
      <w:r w:rsidRPr="0019406C">
        <w:rPr>
          <w:rFonts w:asciiTheme="majorHAnsi" w:hAnsiTheme="majorHAnsi"/>
          <w:lang w:val="lv-LV"/>
        </w:rPr>
        <w:t>Ņemot vērā, ka atbilstoši statistiskajam Latvijas uzņēmumu raksturojumam, uzņēmumu lieluma grupā vidējo un lielo uzņēmumu apakšgrupās aptaujas izlasē vēlamais respondentu skaits ir pārāk mazs pilnvērtīgas socioloģiskās analīzes veikšanai, šajās divās grupās nepieciešamo respondentu skaits tika apzināti palielināts līdz minimālajam nepieciešamajam skaitam (n=28</w:t>
      </w:r>
      <w:r w:rsidR="00133318" w:rsidRPr="0019406C">
        <w:rPr>
          <w:rFonts w:asciiTheme="majorHAnsi" w:hAnsiTheme="majorHAnsi"/>
          <w:lang w:val="lv-LV"/>
        </w:rPr>
        <w:t xml:space="preserve">, kas atbilst pētījuma Tehniskajā Specifikācijā noteiktajam minimālajam apjomam </w:t>
      </w:r>
      <w:r w:rsidR="00863589">
        <w:rPr>
          <w:rFonts w:asciiTheme="majorHAnsi" w:hAnsiTheme="majorHAnsi"/>
          <w:lang w:val="lv-LV"/>
        </w:rPr>
        <w:t>–</w:t>
      </w:r>
      <w:r w:rsidR="00133318" w:rsidRPr="0019406C">
        <w:rPr>
          <w:rFonts w:asciiTheme="majorHAnsi" w:hAnsiTheme="majorHAnsi"/>
          <w:lang w:val="lv-LV"/>
        </w:rPr>
        <w:t xml:space="preserve"> 4% n</w:t>
      </w:r>
      <w:r w:rsidR="008B686D" w:rsidRPr="0019406C">
        <w:rPr>
          <w:rFonts w:asciiTheme="majorHAnsi" w:hAnsiTheme="majorHAnsi"/>
          <w:lang w:val="lv-LV"/>
        </w:rPr>
        <w:t>o n</w:t>
      </w:r>
      <w:r w:rsidR="00133318" w:rsidRPr="0019406C">
        <w:rPr>
          <w:rFonts w:asciiTheme="majorHAnsi" w:hAnsiTheme="majorHAnsi"/>
          <w:lang w:val="lv-LV"/>
        </w:rPr>
        <w:t>=700</w:t>
      </w:r>
      <w:r w:rsidRPr="0019406C">
        <w:rPr>
          <w:rFonts w:asciiTheme="majorHAnsi" w:hAnsiTheme="majorHAnsi"/>
          <w:lang w:val="lv-LV"/>
        </w:rPr>
        <w:t xml:space="preserve">). Savukārt, lai šo mākslīgi radīto nobīdi no </w:t>
      </w:r>
      <w:proofErr w:type="spellStart"/>
      <w:r w:rsidRPr="0019406C">
        <w:rPr>
          <w:rFonts w:asciiTheme="majorHAnsi" w:hAnsiTheme="majorHAnsi"/>
          <w:lang w:val="lv-LV"/>
        </w:rPr>
        <w:t>ģenerālkopas</w:t>
      </w:r>
      <w:proofErr w:type="spellEnd"/>
      <w:r w:rsidRPr="0019406C">
        <w:rPr>
          <w:rFonts w:asciiTheme="majorHAnsi" w:hAnsiTheme="majorHAnsi"/>
          <w:lang w:val="lv-LV"/>
        </w:rPr>
        <w:t xml:space="preserve"> datu apstrādes posmā novērstu, datu masīvs tika pakļauts datu svēršanas procedūrai.</w:t>
      </w:r>
    </w:p>
    <w:p w:rsidR="00AE7B4A" w:rsidRPr="0019406C" w:rsidRDefault="00AE7B4A" w:rsidP="00AE7B4A">
      <w:pPr>
        <w:pStyle w:val="Caption"/>
        <w:keepNext/>
        <w:rPr>
          <w:sz w:val="16"/>
          <w:lang w:val="lv-LV"/>
        </w:rPr>
      </w:pPr>
      <w:bookmarkStart w:id="36" w:name="_Toc389225075"/>
      <w:r w:rsidRPr="0019406C">
        <w:rPr>
          <w:sz w:val="16"/>
          <w:lang w:val="lv-LV"/>
        </w:rPr>
        <w:t xml:space="preserve">Tabula </w:t>
      </w:r>
      <w:r w:rsidRPr="0019406C">
        <w:rPr>
          <w:sz w:val="16"/>
          <w:lang w:val="lv-LV"/>
        </w:rPr>
        <w:fldChar w:fldCharType="begin"/>
      </w:r>
      <w:r w:rsidRPr="0019406C">
        <w:rPr>
          <w:sz w:val="16"/>
          <w:lang w:val="lv-LV"/>
        </w:rPr>
        <w:instrText xml:space="preserve"> SEQ Tabula \* ARABIC </w:instrText>
      </w:r>
      <w:r w:rsidRPr="0019406C">
        <w:rPr>
          <w:sz w:val="16"/>
          <w:lang w:val="lv-LV"/>
        </w:rPr>
        <w:fldChar w:fldCharType="separate"/>
      </w:r>
      <w:r w:rsidR="00410806" w:rsidRPr="0019406C">
        <w:rPr>
          <w:noProof/>
          <w:sz w:val="16"/>
          <w:lang w:val="lv-LV"/>
        </w:rPr>
        <w:t>1</w:t>
      </w:r>
      <w:r w:rsidRPr="0019406C">
        <w:rPr>
          <w:sz w:val="16"/>
          <w:lang w:val="lv-LV"/>
        </w:rPr>
        <w:fldChar w:fldCharType="end"/>
      </w:r>
      <w:r w:rsidRPr="0019406C">
        <w:rPr>
          <w:sz w:val="16"/>
          <w:lang w:val="lv-LV"/>
        </w:rPr>
        <w:t xml:space="preserve"> Latvijas uzņēmumu statistika un aptaujas izlases raksturojums (CSP sagatavotā informācija)</w:t>
      </w:r>
      <w:bookmarkEnd w:id="36"/>
    </w:p>
    <w:tbl>
      <w:tblPr>
        <w:tblStyle w:val="LightList-Accent11"/>
        <w:tblW w:w="5000" w:type="pct"/>
        <w:tblLook w:val="04A0" w:firstRow="1" w:lastRow="0" w:firstColumn="1" w:lastColumn="0" w:noHBand="0" w:noVBand="1"/>
      </w:tblPr>
      <w:tblGrid>
        <w:gridCol w:w="1566"/>
        <w:gridCol w:w="2907"/>
        <w:gridCol w:w="966"/>
        <w:gridCol w:w="619"/>
        <w:gridCol w:w="1147"/>
        <w:gridCol w:w="863"/>
        <w:gridCol w:w="1155"/>
        <w:gridCol w:w="857"/>
      </w:tblGrid>
      <w:tr w:rsidR="00151092" w:rsidRPr="0019406C" w:rsidTr="0087697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77" w:type="pct"/>
          </w:tcPr>
          <w:p w:rsidR="004C51AE" w:rsidRPr="0019406C" w:rsidRDefault="004C51AE" w:rsidP="00410E0A">
            <w:pPr>
              <w:spacing w:line="300" w:lineRule="auto"/>
              <w:jc w:val="both"/>
              <w:rPr>
                <w:rFonts w:asciiTheme="majorHAnsi" w:hAnsiTheme="majorHAnsi" w:cs="Arial"/>
                <w:b w:val="0"/>
                <w:lang w:val="lv-LV"/>
              </w:rPr>
            </w:pPr>
          </w:p>
        </w:tc>
        <w:tc>
          <w:tcPr>
            <w:tcW w:w="1442" w:type="pct"/>
          </w:tcPr>
          <w:p w:rsidR="004C51AE" w:rsidRPr="0019406C" w:rsidRDefault="004C51AE" w:rsidP="00410E0A">
            <w:pPr>
              <w:spacing w:line="300"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cs="Arial"/>
                <w:b w:val="0"/>
                <w:lang w:val="lv-LV"/>
              </w:rPr>
            </w:pPr>
          </w:p>
        </w:tc>
        <w:tc>
          <w:tcPr>
            <w:tcW w:w="786" w:type="pct"/>
            <w:gridSpan w:val="2"/>
          </w:tcPr>
          <w:p w:rsidR="004C51AE" w:rsidRPr="0019406C" w:rsidRDefault="004C51AE" w:rsidP="00410E0A">
            <w:pPr>
              <w:spacing w:line="300"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Arial"/>
                <w:lang w:val="lv-LV" w:eastAsia="lv-LV"/>
              </w:rPr>
            </w:pPr>
            <w:r w:rsidRPr="0019406C">
              <w:rPr>
                <w:rFonts w:asciiTheme="majorHAnsi" w:hAnsiTheme="majorHAnsi" w:cs="Arial"/>
                <w:lang w:val="lv-LV" w:eastAsia="lv-LV"/>
              </w:rPr>
              <w:t>Statistika*</w:t>
            </w:r>
          </w:p>
        </w:tc>
        <w:tc>
          <w:tcPr>
            <w:tcW w:w="997" w:type="pct"/>
            <w:gridSpan w:val="2"/>
          </w:tcPr>
          <w:p w:rsidR="004C51AE" w:rsidRPr="0019406C" w:rsidRDefault="004C51AE" w:rsidP="00410E0A">
            <w:pPr>
              <w:spacing w:line="300"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cs="Arial"/>
                <w:b w:val="0"/>
                <w:lang w:val="lv-LV"/>
              </w:rPr>
            </w:pPr>
            <w:r w:rsidRPr="0019406C">
              <w:rPr>
                <w:rFonts w:asciiTheme="majorHAnsi" w:hAnsiTheme="majorHAnsi" w:cs="Arial"/>
                <w:lang w:val="lv-LV" w:eastAsia="lv-LV"/>
              </w:rPr>
              <w:t>Sasniedzamā izlase**</w:t>
            </w:r>
          </w:p>
        </w:tc>
        <w:tc>
          <w:tcPr>
            <w:tcW w:w="999" w:type="pct"/>
            <w:gridSpan w:val="2"/>
          </w:tcPr>
          <w:p w:rsidR="004C51AE" w:rsidRPr="0019406C" w:rsidRDefault="004C51AE" w:rsidP="00410E0A">
            <w:pPr>
              <w:spacing w:line="300"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cs="Arial"/>
                <w:b w:val="0"/>
                <w:lang w:val="lv-LV"/>
              </w:rPr>
            </w:pPr>
            <w:r w:rsidRPr="0019406C">
              <w:rPr>
                <w:rFonts w:asciiTheme="majorHAnsi" w:hAnsiTheme="majorHAnsi" w:cs="Arial"/>
                <w:lang w:val="lv-LV" w:eastAsia="lv-LV"/>
              </w:rPr>
              <w:t>Izlases struktūra***</w:t>
            </w:r>
          </w:p>
        </w:tc>
      </w:tr>
      <w:tr w:rsidR="00151092" w:rsidRPr="0019406C" w:rsidTr="008769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7" w:type="pct"/>
          </w:tcPr>
          <w:p w:rsidR="004C51AE" w:rsidRPr="0019406C" w:rsidRDefault="004C51AE" w:rsidP="00410E0A">
            <w:pPr>
              <w:spacing w:line="300" w:lineRule="auto"/>
              <w:jc w:val="both"/>
              <w:rPr>
                <w:rFonts w:asciiTheme="majorHAnsi" w:hAnsiTheme="majorHAnsi" w:cs="Arial"/>
                <w:b w:val="0"/>
                <w:lang w:val="lv-LV"/>
              </w:rPr>
            </w:pPr>
          </w:p>
        </w:tc>
        <w:tc>
          <w:tcPr>
            <w:tcW w:w="1442" w:type="pct"/>
          </w:tcPr>
          <w:p w:rsidR="004C51AE" w:rsidRPr="0019406C" w:rsidRDefault="004C51AE" w:rsidP="00410E0A">
            <w:pPr>
              <w:spacing w:line="30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Arial"/>
                <w:b/>
                <w:lang w:val="lv-LV"/>
              </w:rPr>
            </w:pPr>
          </w:p>
        </w:tc>
        <w:tc>
          <w:tcPr>
            <w:tcW w:w="479" w:type="pct"/>
          </w:tcPr>
          <w:p w:rsidR="004C51AE" w:rsidRPr="0019406C" w:rsidRDefault="004C51AE" w:rsidP="00410E0A">
            <w:pPr>
              <w:spacing w:line="30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eastAsia="lv-LV"/>
              </w:rPr>
            </w:pPr>
            <w:r w:rsidRPr="0019406C">
              <w:rPr>
                <w:rFonts w:asciiTheme="majorHAnsi" w:hAnsiTheme="majorHAnsi" w:cs="Arial"/>
                <w:color w:val="000000"/>
                <w:lang w:val="lv-LV" w:eastAsia="lv-LV"/>
              </w:rPr>
              <w:t>Skaits</w:t>
            </w:r>
          </w:p>
        </w:tc>
        <w:tc>
          <w:tcPr>
            <w:tcW w:w="307" w:type="pct"/>
          </w:tcPr>
          <w:p w:rsidR="004C51AE" w:rsidRPr="0019406C" w:rsidRDefault="004C51AE" w:rsidP="00410E0A">
            <w:pPr>
              <w:spacing w:line="30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eastAsia="lv-LV"/>
              </w:rPr>
            </w:pPr>
            <w:r w:rsidRPr="0019406C">
              <w:rPr>
                <w:rFonts w:asciiTheme="majorHAnsi" w:hAnsiTheme="majorHAnsi" w:cs="Arial"/>
                <w:color w:val="000000"/>
                <w:lang w:val="lv-LV" w:eastAsia="lv-LV"/>
              </w:rPr>
              <w:t>%</w:t>
            </w:r>
          </w:p>
        </w:tc>
        <w:tc>
          <w:tcPr>
            <w:tcW w:w="569" w:type="pct"/>
          </w:tcPr>
          <w:p w:rsidR="004C51AE" w:rsidRPr="0019406C" w:rsidRDefault="004C51AE" w:rsidP="00410E0A">
            <w:pPr>
              <w:spacing w:line="30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eastAsia="lv-LV"/>
              </w:rPr>
            </w:pPr>
            <w:r w:rsidRPr="0019406C">
              <w:rPr>
                <w:rFonts w:asciiTheme="majorHAnsi" w:hAnsiTheme="majorHAnsi" w:cs="Arial"/>
                <w:color w:val="000000"/>
                <w:lang w:val="lv-LV" w:eastAsia="lv-LV"/>
              </w:rPr>
              <w:t>Skaits</w:t>
            </w:r>
          </w:p>
        </w:tc>
        <w:tc>
          <w:tcPr>
            <w:tcW w:w="428" w:type="pct"/>
          </w:tcPr>
          <w:p w:rsidR="004C51AE" w:rsidRPr="0019406C" w:rsidRDefault="004C51AE" w:rsidP="00410E0A">
            <w:pPr>
              <w:spacing w:line="30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eastAsia="lv-LV"/>
              </w:rPr>
            </w:pPr>
            <w:r w:rsidRPr="0019406C">
              <w:rPr>
                <w:rFonts w:asciiTheme="majorHAnsi" w:hAnsiTheme="majorHAnsi" w:cs="Arial"/>
                <w:color w:val="000000"/>
                <w:lang w:val="lv-LV" w:eastAsia="lv-LV"/>
              </w:rPr>
              <w:t>%</w:t>
            </w:r>
          </w:p>
        </w:tc>
        <w:tc>
          <w:tcPr>
            <w:tcW w:w="573" w:type="pct"/>
          </w:tcPr>
          <w:p w:rsidR="004C51AE" w:rsidRPr="0019406C" w:rsidRDefault="004C51AE" w:rsidP="00410E0A">
            <w:pPr>
              <w:spacing w:line="30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eastAsia="lv-LV"/>
              </w:rPr>
            </w:pPr>
            <w:r w:rsidRPr="0019406C">
              <w:rPr>
                <w:rFonts w:asciiTheme="majorHAnsi" w:hAnsiTheme="majorHAnsi" w:cs="Arial"/>
                <w:color w:val="000000"/>
                <w:lang w:val="lv-LV" w:eastAsia="lv-LV"/>
              </w:rPr>
              <w:t>Skaits</w:t>
            </w:r>
          </w:p>
        </w:tc>
        <w:tc>
          <w:tcPr>
            <w:tcW w:w="427" w:type="pct"/>
          </w:tcPr>
          <w:p w:rsidR="004C51AE" w:rsidRPr="0019406C" w:rsidRDefault="004C51AE" w:rsidP="00410E0A">
            <w:pPr>
              <w:spacing w:line="30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eastAsia="lv-LV"/>
              </w:rPr>
            </w:pPr>
            <w:r w:rsidRPr="0019406C">
              <w:rPr>
                <w:rFonts w:asciiTheme="majorHAnsi" w:hAnsiTheme="majorHAnsi" w:cs="Arial"/>
                <w:color w:val="000000"/>
                <w:lang w:val="lv-LV" w:eastAsia="lv-LV"/>
              </w:rPr>
              <w:t>%</w:t>
            </w:r>
          </w:p>
        </w:tc>
      </w:tr>
      <w:tr w:rsidR="00151092" w:rsidRPr="0019406C" w:rsidTr="00876978">
        <w:tc>
          <w:tcPr>
            <w:cnfStyle w:val="001000000000" w:firstRow="0" w:lastRow="0" w:firstColumn="1" w:lastColumn="0" w:oddVBand="0" w:evenVBand="0" w:oddHBand="0" w:evenHBand="0" w:firstRowFirstColumn="0" w:firstRowLastColumn="0" w:lastRowFirstColumn="0" w:lastRowLastColumn="0"/>
            <w:tcW w:w="777" w:type="pct"/>
            <w:vMerge w:val="restart"/>
          </w:tcPr>
          <w:p w:rsidR="004C51AE" w:rsidRPr="0019406C" w:rsidRDefault="004C51AE" w:rsidP="00410E0A">
            <w:pPr>
              <w:spacing w:line="300" w:lineRule="auto"/>
              <w:rPr>
                <w:rFonts w:asciiTheme="majorHAnsi" w:hAnsiTheme="majorHAnsi" w:cs="Arial"/>
                <w:b w:val="0"/>
                <w:bCs w:val="0"/>
                <w:color w:val="000000"/>
                <w:lang w:val="lv-LV"/>
              </w:rPr>
            </w:pPr>
            <w:r w:rsidRPr="0019406C">
              <w:rPr>
                <w:rFonts w:asciiTheme="majorHAnsi" w:hAnsiTheme="majorHAnsi" w:cs="Arial"/>
                <w:color w:val="000000"/>
                <w:lang w:val="lv-LV"/>
              </w:rPr>
              <w:t>Juridiskā forma</w:t>
            </w:r>
          </w:p>
        </w:tc>
        <w:tc>
          <w:tcPr>
            <w:tcW w:w="1442" w:type="pct"/>
          </w:tcPr>
          <w:p w:rsidR="004C51AE" w:rsidRPr="0019406C" w:rsidRDefault="004C51AE" w:rsidP="00410E0A">
            <w:pPr>
              <w:spacing w:line="30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 Individuālais uzņēmums/ IK</w:t>
            </w:r>
          </w:p>
        </w:tc>
        <w:tc>
          <w:tcPr>
            <w:tcW w:w="479"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6 648</w:t>
            </w:r>
          </w:p>
        </w:tc>
        <w:tc>
          <w:tcPr>
            <w:tcW w:w="307"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9</w:t>
            </w:r>
          </w:p>
        </w:tc>
        <w:tc>
          <w:tcPr>
            <w:tcW w:w="569"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91</w:t>
            </w:r>
          </w:p>
        </w:tc>
        <w:tc>
          <w:tcPr>
            <w:tcW w:w="428"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13</w:t>
            </w:r>
          </w:p>
        </w:tc>
        <w:tc>
          <w:tcPr>
            <w:tcW w:w="573"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273</w:t>
            </w:r>
          </w:p>
        </w:tc>
        <w:tc>
          <w:tcPr>
            <w:tcW w:w="427"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13</w:t>
            </w:r>
          </w:p>
        </w:tc>
      </w:tr>
      <w:tr w:rsidR="00151092" w:rsidRPr="0019406C" w:rsidTr="008769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7" w:type="pct"/>
            <w:vMerge/>
          </w:tcPr>
          <w:p w:rsidR="004C51AE" w:rsidRPr="0019406C" w:rsidRDefault="004C51AE" w:rsidP="00410E0A">
            <w:pPr>
              <w:spacing w:line="300" w:lineRule="auto"/>
              <w:rPr>
                <w:rFonts w:asciiTheme="majorHAnsi" w:hAnsiTheme="majorHAnsi" w:cs="Arial"/>
                <w:color w:val="000000"/>
                <w:lang w:val="lv-LV"/>
              </w:rPr>
            </w:pPr>
          </w:p>
        </w:tc>
        <w:tc>
          <w:tcPr>
            <w:tcW w:w="1442" w:type="pct"/>
          </w:tcPr>
          <w:p w:rsidR="004C51AE" w:rsidRPr="0019406C" w:rsidRDefault="004C51AE" w:rsidP="00410E0A">
            <w:pPr>
              <w:spacing w:line="30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2 SIA</w:t>
            </w:r>
          </w:p>
        </w:tc>
        <w:tc>
          <w:tcPr>
            <w:tcW w:w="479"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67 547</w:t>
            </w:r>
          </w:p>
        </w:tc>
        <w:tc>
          <w:tcPr>
            <w:tcW w:w="307"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91</w:t>
            </w:r>
          </w:p>
        </w:tc>
        <w:tc>
          <w:tcPr>
            <w:tcW w:w="569"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609</w:t>
            </w:r>
          </w:p>
        </w:tc>
        <w:tc>
          <w:tcPr>
            <w:tcW w:w="428"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87</w:t>
            </w:r>
          </w:p>
        </w:tc>
        <w:tc>
          <w:tcPr>
            <w:tcW w:w="573"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1 827</w:t>
            </w:r>
          </w:p>
        </w:tc>
        <w:tc>
          <w:tcPr>
            <w:tcW w:w="427"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87</w:t>
            </w:r>
          </w:p>
        </w:tc>
      </w:tr>
      <w:tr w:rsidR="00151092" w:rsidRPr="0019406C" w:rsidTr="00876978">
        <w:tc>
          <w:tcPr>
            <w:cnfStyle w:val="001000000000" w:firstRow="0" w:lastRow="0" w:firstColumn="1" w:lastColumn="0" w:oddVBand="0" w:evenVBand="0" w:oddHBand="0" w:evenHBand="0" w:firstRowFirstColumn="0" w:firstRowLastColumn="0" w:lastRowFirstColumn="0" w:lastRowLastColumn="0"/>
            <w:tcW w:w="777" w:type="pct"/>
            <w:vMerge w:val="restart"/>
          </w:tcPr>
          <w:p w:rsidR="004C51AE" w:rsidRPr="0019406C" w:rsidRDefault="004C51AE" w:rsidP="00410E0A">
            <w:pPr>
              <w:spacing w:line="300" w:lineRule="auto"/>
              <w:rPr>
                <w:rFonts w:asciiTheme="majorHAnsi" w:hAnsiTheme="majorHAnsi" w:cs="Arial"/>
                <w:b w:val="0"/>
                <w:bCs w:val="0"/>
                <w:color w:val="000000"/>
                <w:lang w:val="lv-LV"/>
              </w:rPr>
            </w:pPr>
            <w:r w:rsidRPr="0019406C">
              <w:rPr>
                <w:rFonts w:asciiTheme="majorHAnsi" w:hAnsiTheme="majorHAnsi" w:cs="Arial"/>
                <w:color w:val="000000"/>
                <w:lang w:val="lv-LV"/>
              </w:rPr>
              <w:t>Sektors</w:t>
            </w:r>
          </w:p>
        </w:tc>
        <w:tc>
          <w:tcPr>
            <w:tcW w:w="1442" w:type="pct"/>
          </w:tcPr>
          <w:p w:rsidR="004C51AE" w:rsidRPr="0019406C" w:rsidRDefault="004C51AE" w:rsidP="00410E0A">
            <w:pPr>
              <w:spacing w:line="30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  Ražošanas un rūpniecības</w:t>
            </w:r>
          </w:p>
        </w:tc>
        <w:tc>
          <w:tcPr>
            <w:tcW w:w="479"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10 497</w:t>
            </w:r>
          </w:p>
        </w:tc>
        <w:tc>
          <w:tcPr>
            <w:tcW w:w="307"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14</w:t>
            </w:r>
          </w:p>
        </w:tc>
        <w:tc>
          <w:tcPr>
            <w:tcW w:w="569"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182</w:t>
            </w:r>
          </w:p>
        </w:tc>
        <w:tc>
          <w:tcPr>
            <w:tcW w:w="428"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26</w:t>
            </w:r>
          </w:p>
        </w:tc>
        <w:tc>
          <w:tcPr>
            <w:tcW w:w="573"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546</w:t>
            </w:r>
          </w:p>
        </w:tc>
        <w:tc>
          <w:tcPr>
            <w:tcW w:w="427"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26</w:t>
            </w:r>
          </w:p>
        </w:tc>
      </w:tr>
      <w:tr w:rsidR="00151092" w:rsidRPr="0019406C" w:rsidTr="008769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7" w:type="pct"/>
            <w:vMerge/>
          </w:tcPr>
          <w:p w:rsidR="004C51AE" w:rsidRPr="0019406C" w:rsidRDefault="004C51AE" w:rsidP="00410E0A">
            <w:pPr>
              <w:spacing w:line="300" w:lineRule="auto"/>
              <w:rPr>
                <w:rFonts w:asciiTheme="majorHAnsi" w:hAnsiTheme="majorHAnsi" w:cs="Arial"/>
                <w:color w:val="000000"/>
                <w:lang w:val="lv-LV"/>
              </w:rPr>
            </w:pPr>
          </w:p>
        </w:tc>
        <w:tc>
          <w:tcPr>
            <w:tcW w:w="1442" w:type="pct"/>
          </w:tcPr>
          <w:p w:rsidR="004C51AE" w:rsidRPr="0019406C" w:rsidRDefault="004C51AE" w:rsidP="00410E0A">
            <w:pPr>
              <w:spacing w:line="30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2  Tirdzniecības</w:t>
            </w:r>
          </w:p>
        </w:tc>
        <w:tc>
          <w:tcPr>
            <w:tcW w:w="479"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20 517</w:t>
            </w:r>
          </w:p>
        </w:tc>
        <w:tc>
          <w:tcPr>
            <w:tcW w:w="307"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28</w:t>
            </w:r>
          </w:p>
        </w:tc>
        <w:tc>
          <w:tcPr>
            <w:tcW w:w="569"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147 - 161</w:t>
            </w:r>
          </w:p>
        </w:tc>
        <w:tc>
          <w:tcPr>
            <w:tcW w:w="428"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21 - 23</w:t>
            </w:r>
          </w:p>
        </w:tc>
        <w:tc>
          <w:tcPr>
            <w:tcW w:w="573"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441 - 483</w:t>
            </w:r>
          </w:p>
        </w:tc>
        <w:tc>
          <w:tcPr>
            <w:tcW w:w="427"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21 - 23</w:t>
            </w:r>
          </w:p>
        </w:tc>
      </w:tr>
      <w:tr w:rsidR="00151092" w:rsidRPr="0019406C" w:rsidTr="00876978">
        <w:tc>
          <w:tcPr>
            <w:cnfStyle w:val="001000000000" w:firstRow="0" w:lastRow="0" w:firstColumn="1" w:lastColumn="0" w:oddVBand="0" w:evenVBand="0" w:oddHBand="0" w:evenHBand="0" w:firstRowFirstColumn="0" w:firstRowLastColumn="0" w:lastRowFirstColumn="0" w:lastRowLastColumn="0"/>
            <w:tcW w:w="777" w:type="pct"/>
            <w:vMerge/>
          </w:tcPr>
          <w:p w:rsidR="004C51AE" w:rsidRPr="0019406C" w:rsidRDefault="004C51AE" w:rsidP="00410E0A">
            <w:pPr>
              <w:spacing w:line="300" w:lineRule="auto"/>
              <w:rPr>
                <w:rFonts w:asciiTheme="majorHAnsi" w:hAnsiTheme="majorHAnsi" w:cs="Arial"/>
                <w:color w:val="000000"/>
                <w:lang w:val="lv-LV"/>
              </w:rPr>
            </w:pPr>
          </w:p>
        </w:tc>
        <w:tc>
          <w:tcPr>
            <w:tcW w:w="1442" w:type="pct"/>
          </w:tcPr>
          <w:p w:rsidR="004C51AE" w:rsidRPr="0019406C" w:rsidRDefault="004C51AE" w:rsidP="00410E0A">
            <w:pPr>
              <w:spacing w:line="30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3  Pakalpojumu</w:t>
            </w:r>
          </w:p>
        </w:tc>
        <w:tc>
          <w:tcPr>
            <w:tcW w:w="479"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37 168</w:t>
            </w:r>
          </w:p>
        </w:tc>
        <w:tc>
          <w:tcPr>
            <w:tcW w:w="307"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50</w:t>
            </w:r>
          </w:p>
        </w:tc>
        <w:tc>
          <w:tcPr>
            <w:tcW w:w="569"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287</w:t>
            </w:r>
          </w:p>
        </w:tc>
        <w:tc>
          <w:tcPr>
            <w:tcW w:w="428"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41</w:t>
            </w:r>
          </w:p>
        </w:tc>
        <w:tc>
          <w:tcPr>
            <w:tcW w:w="573"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861</w:t>
            </w:r>
          </w:p>
        </w:tc>
        <w:tc>
          <w:tcPr>
            <w:tcW w:w="427"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41</w:t>
            </w:r>
          </w:p>
        </w:tc>
      </w:tr>
      <w:tr w:rsidR="00151092" w:rsidRPr="0019406C" w:rsidTr="008769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7" w:type="pct"/>
            <w:vMerge/>
          </w:tcPr>
          <w:p w:rsidR="004C51AE" w:rsidRPr="0019406C" w:rsidRDefault="004C51AE" w:rsidP="00410E0A">
            <w:pPr>
              <w:spacing w:line="300" w:lineRule="auto"/>
              <w:rPr>
                <w:rFonts w:asciiTheme="majorHAnsi" w:hAnsiTheme="majorHAnsi" w:cs="Arial"/>
                <w:color w:val="000000"/>
                <w:lang w:val="lv-LV"/>
              </w:rPr>
            </w:pPr>
          </w:p>
        </w:tc>
        <w:tc>
          <w:tcPr>
            <w:tcW w:w="1442" w:type="pct"/>
          </w:tcPr>
          <w:p w:rsidR="004C51AE" w:rsidRPr="0019406C" w:rsidRDefault="004C51AE" w:rsidP="00410E0A">
            <w:pPr>
              <w:spacing w:line="30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4  Būvniecības</w:t>
            </w:r>
          </w:p>
        </w:tc>
        <w:tc>
          <w:tcPr>
            <w:tcW w:w="479"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6 013</w:t>
            </w:r>
          </w:p>
        </w:tc>
        <w:tc>
          <w:tcPr>
            <w:tcW w:w="307"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8</w:t>
            </w:r>
          </w:p>
        </w:tc>
        <w:tc>
          <w:tcPr>
            <w:tcW w:w="569"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70</w:t>
            </w:r>
          </w:p>
        </w:tc>
        <w:tc>
          <w:tcPr>
            <w:tcW w:w="428"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10</w:t>
            </w:r>
          </w:p>
        </w:tc>
        <w:tc>
          <w:tcPr>
            <w:tcW w:w="573"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210</w:t>
            </w:r>
          </w:p>
        </w:tc>
        <w:tc>
          <w:tcPr>
            <w:tcW w:w="427"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10</w:t>
            </w:r>
          </w:p>
        </w:tc>
      </w:tr>
      <w:tr w:rsidR="00151092" w:rsidRPr="0019406C" w:rsidTr="00876978">
        <w:tc>
          <w:tcPr>
            <w:cnfStyle w:val="001000000000" w:firstRow="0" w:lastRow="0" w:firstColumn="1" w:lastColumn="0" w:oddVBand="0" w:evenVBand="0" w:oddHBand="0" w:evenHBand="0" w:firstRowFirstColumn="0" w:firstRowLastColumn="0" w:lastRowFirstColumn="0" w:lastRowLastColumn="0"/>
            <w:tcW w:w="777" w:type="pct"/>
            <w:vMerge w:val="restart"/>
          </w:tcPr>
          <w:p w:rsidR="004C51AE" w:rsidRPr="0019406C" w:rsidRDefault="004C51AE" w:rsidP="00410E0A">
            <w:pPr>
              <w:spacing w:line="300" w:lineRule="auto"/>
              <w:rPr>
                <w:rFonts w:asciiTheme="majorHAnsi" w:hAnsiTheme="majorHAnsi" w:cs="Arial"/>
                <w:b w:val="0"/>
                <w:bCs w:val="0"/>
                <w:color w:val="000000"/>
                <w:lang w:val="lv-LV"/>
              </w:rPr>
            </w:pPr>
            <w:r w:rsidRPr="0019406C">
              <w:rPr>
                <w:rFonts w:asciiTheme="majorHAnsi" w:hAnsiTheme="majorHAnsi" w:cs="Arial"/>
                <w:color w:val="000000"/>
                <w:lang w:val="lv-LV"/>
              </w:rPr>
              <w:t xml:space="preserve">Uzņēmuma </w:t>
            </w:r>
            <w:r w:rsidRPr="0019406C">
              <w:rPr>
                <w:rFonts w:asciiTheme="majorHAnsi" w:hAnsiTheme="majorHAnsi" w:cs="Arial"/>
                <w:color w:val="000000"/>
                <w:lang w:val="lv-LV"/>
              </w:rPr>
              <w:lastRenderedPageBreak/>
              <w:t>lielums</w:t>
            </w:r>
          </w:p>
        </w:tc>
        <w:tc>
          <w:tcPr>
            <w:tcW w:w="1442" w:type="pct"/>
          </w:tcPr>
          <w:p w:rsidR="004C51AE" w:rsidRPr="0019406C" w:rsidRDefault="004C51AE" w:rsidP="00410E0A">
            <w:pPr>
              <w:spacing w:line="30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lastRenderedPageBreak/>
              <w:t>1 Lielie (&gt;=250 darbinieki)</w:t>
            </w:r>
          </w:p>
        </w:tc>
        <w:tc>
          <w:tcPr>
            <w:tcW w:w="479"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165</w:t>
            </w:r>
          </w:p>
        </w:tc>
        <w:tc>
          <w:tcPr>
            <w:tcW w:w="307"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0</w:t>
            </w:r>
          </w:p>
        </w:tc>
        <w:tc>
          <w:tcPr>
            <w:tcW w:w="569"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28</w:t>
            </w:r>
          </w:p>
        </w:tc>
        <w:tc>
          <w:tcPr>
            <w:tcW w:w="428"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4</w:t>
            </w:r>
          </w:p>
        </w:tc>
        <w:tc>
          <w:tcPr>
            <w:tcW w:w="573"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84</w:t>
            </w:r>
          </w:p>
        </w:tc>
        <w:tc>
          <w:tcPr>
            <w:tcW w:w="427"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4</w:t>
            </w:r>
          </w:p>
        </w:tc>
      </w:tr>
      <w:tr w:rsidR="00151092" w:rsidRPr="0019406C" w:rsidTr="008769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7" w:type="pct"/>
            <w:vMerge/>
          </w:tcPr>
          <w:p w:rsidR="004C51AE" w:rsidRPr="0019406C" w:rsidRDefault="004C51AE" w:rsidP="00410E0A">
            <w:pPr>
              <w:spacing w:line="300" w:lineRule="auto"/>
              <w:rPr>
                <w:rFonts w:asciiTheme="majorHAnsi" w:hAnsiTheme="majorHAnsi" w:cs="Arial"/>
                <w:color w:val="000000"/>
                <w:lang w:val="lv-LV"/>
              </w:rPr>
            </w:pPr>
          </w:p>
        </w:tc>
        <w:tc>
          <w:tcPr>
            <w:tcW w:w="1442" w:type="pct"/>
          </w:tcPr>
          <w:p w:rsidR="004C51AE" w:rsidRPr="0019406C" w:rsidRDefault="004C51AE" w:rsidP="00410E0A">
            <w:pPr>
              <w:spacing w:line="30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2 Vidējie (50-249 darbinieki)</w:t>
            </w:r>
          </w:p>
        </w:tc>
        <w:tc>
          <w:tcPr>
            <w:tcW w:w="479"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1 410</w:t>
            </w:r>
          </w:p>
        </w:tc>
        <w:tc>
          <w:tcPr>
            <w:tcW w:w="307"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2</w:t>
            </w:r>
          </w:p>
        </w:tc>
        <w:tc>
          <w:tcPr>
            <w:tcW w:w="569"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28</w:t>
            </w:r>
          </w:p>
        </w:tc>
        <w:tc>
          <w:tcPr>
            <w:tcW w:w="428"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4</w:t>
            </w:r>
          </w:p>
        </w:tc>
        <w:tc>
          <w:tcPr>
            <w:tcW w:w="573"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84</w:t>
            </w:r>
          </w:p>
        </w:tc>
        <w:tc>
          <w:tcPr>
            <w:tcW w:w="427"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4</w:t>
            </w:r>
          </w:p>
        </w:tc>
      </w:tr>
      <w:tr w:rsidR="00151092" w:rsidRPr="0019406C" w:rsidTr="00876978">
        <w:tc>
          <w:tcPr>
            <w:cnfStyle w:val="001000000000" w:firstRow="0" w:lastRow="0" w:firstColumn="1" w:lastColumn="0" w:oddVBand="0" w:evenVBand="0" w:oddHBand="0" w:evenHBand="0" w:firstRowFirstColumn="0" w:firstRowLastColumn="0" w:lastRowFirstColumn="0" w:lastRowLastColumn="0"/>
            <w:tcW w:w="777" w:type="pct"/>
            <w:vMerge/>
          </w:tcPr>
          <w:p w:rsidR="004C51AE" w:rsidRPr="0019406C" w:rsidRDefault="004C51AE" w:rsidP="00410E0A">
            <w:pPr>
              <w:spacing w:line="300" w:lineRule="auto"/>
              <w:rPr>
                <w:rFonts w:asciiTheme="majorHAnsi" w:hAnsiTheme="majorHAnsi" w:cs="Arial"/>
                <w:color w:val="000000"/>
                <w:lang w:val="lv-LV"/>
              </w:rPr>
            </w:pPr>
          </w:p>
        </w:tc>
        <w:tc>
          <w:tcPr>
            <w:tcW w:w="1442" w:type="pct"/>
          </w:tcPr>
          <w:p w:rsidR="004C51AE" w:rsidRPr="0019406C" w:rsidRDefault="004C51AE" w:rsidP="00410E0A">
            <w:pPr>
              <w:spacing w:line="30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3 Mazie (10-49 darbinieki)</w:t>
            </w:r>
          </w:p>
        </w:tc>
        <w:tc>
          <w:tcPr>
            <w:tcW w:w="479"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8 230</w:t>
            </w:r>
          </w:p>
        </w:tc>
        <w:tc>
          <w:tcPr>
            <w:tcW w:w="307"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11</w:t>
            </w:r>
          </w:p>
        </w:tc>
        <w:tc>
          <w:tcPr>
            <w:tcW w:w="569"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84</w:t>
            </w:r>
          </w:p>
        </w:tc>
        <w:tc>
          <w:tcPr>
            <w:tcW w:w="428"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12</w:t>
            </w:r>
          </w:p>
        </w:tc>
        <w:tc>
          <w:tcPr>
            <w:tcW w:w="573"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252</w:t>
            </w:r>
          </w:p>
        </w:tc>
        <w:tc>
          <w:tcPr>
            <w:tcW w:w="427"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12</w:t>
            </w:r>
          </w:p>
        </w:tc>
      </w:tr>
      <w:tr w:rsidR="00151092" w:rsidRPr="0019406C" w:rsidTr="008769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7" w:type="pct"/>
            <w:vMerge/>
          </w:tcPr>
          <w:p w:rsidR="004C51AE" w:rsidRPr="0019406C" w:rsidRDefault="004C51AE" w:rsidP="00410E0A">
            <w:pPr>
              <w:spacing w:line="300" w:lineRule="auto"/>
              <w:rPr>
                <w:rFonts w:asciiTheme="majorHAnsi" w:hAnsiTheme="majorHAnsi" w:cs="Arial"/>
                <w:color w:val="000000"/>
                <w:lang w:val="lv-LV"/>
              </w:rPr>
            </w:pPr>
          </w:p>
        </w:tc>
        <w:tc>
          <w:tcPr>
            <w:tcW w:w="1442" w:type="pct"/>
          </w:tcPr>
          <w:p w:rsidR="004C51AE" w:rsidRPr="0019406C" w:rsidRDefault="004C51AE" w:rsidP="00410E0A">
            <w:pPr>
              <w:spacing w:line="30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4 Mikro (1-9 darbinieki)</w:t>
            </w:r>
          </w:p>
        </w:tc>
        <w:tc>
          <w:tcPr>
            <w:tcW w:w="479"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64 390</w:t>
            </w:r>
          </w:p>
        </w:tc>
        <w:tc>
          <w:tcPr>
            <w:tcW w:w="307"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87</w:t>
            </w:r>
          </w:p>
        </w:tc>
        <w:tc>
          <w:tcPr>
            <w:tcW w:w="569"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560</w:t>
            </w:r>
          </w:p>
        </w:tc>
        <w:tc>
          <w:tcPr>
            <w:tcW w:w="428"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80</w:t>
            </w:r>
          </w:p>
        </w:tc>
        <w:tc>
          <w:tcPr>
            <w:tcW w:w="573"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1 680</w:t>
            </w:r>
          </w:p>
        </w:tc>
        <w:tc>
          <w:tcPr>
            <w:tcW w:w="427"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80</w:t>
            </w:r>
          </w:p>
        </w:tc>
      </w:tr>
      <w:tr w:rsidR="00151092" w:rsidRPr="0019406C" w:rsidTr="00876978">
        <w:tc>
          <w:tcPr>
            <w:cnfStyle w:val="001000000000" w:firstRow="0" w:lastRow="0" w:firstColumn="1" w:lastColumn="0" w:oddVBand="0" w:evenVBand="0" w:oddHBand="0" w:evenHBand="0" w:firstRowFirstColumn="0" w:firstRowLastColumn="0" w:lastRowFirstColumn="0" w:lastRowLastColumn="0"/>
            <w:tcW w:w="777" w:type="pct"/>
            <w:vMerge w:val="restart"/>
          </w:tcPr>
          <w:p w:rsidR="004C51AE" w:rsidRPr="0019406C" w:rsidRDefault="004C51AE" w:rsidP="00410E0A">
            <w:pPr>
              <w:spacing w:line="300" w:lineRule="auto"/>
              <w:rPr>
                <w:rFonts w:asciiTheme="majorHAnsi" w:hAnsiTheme="majorHAnsi" w:cs="Arial"/>
                <w:b w:val="0"/>
                <w:bCs w:val="0"/>
                <w:color w:val="000000"/>
                <w:lang w:val="lv-LV"/>
              </w:rPr>
            </w:pPr>
            <w:r w:rsidRPr="0019406C">
              <w:rPr>
                <w:rFonts w:asciiTheme="majorHAnsi" w:hAnsiTheme="majorHAnsi" w:cs="Arial"/>
                <w:color w:val="000000"/>
                <w:lang w:val="lv-LV"/>
              </w:rPr>
              <w:t>Statistiskais reģions</w:t>
            </w:r>
          </w:p>
        </w:tc>
        <w:tc>
          <w:tcPr>
            <w:tcW w:w="1442" w:type="pct"/>
          </w:tcPr>
          <w:p w:rsidR="004C51AE" w:rsidRPr="0019406C" w:rsidRDefault="004C51AE" w:rsidP="00410E0A">
            <w:pPr>
              <w:spacing w:line="30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  Rīgas statistiskais reģions</w:t>
            </w:r>
          </w:p>
        </w:tc>
        <w:tc>
          <w:tcPr>
            <w:tcW w:w="479"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39 745</w:t>
            </w:r>
          </w:p>
        </w:tc>
        <w:tc>
          <w:tcPr>
            <w:tcW w:w="307"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54</w:t>
            </w:r>
          </w:p>
        </w:tc>
        <w:tc>
          <w:tcPr>
            <w:tcW w:w="569"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407</w:t>
            </w:r>
          </w:p>
        </w:tc>
        <w:tc>
          <w:tcPr>
            <w:tcW w:w="428"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58</w:t>
            </w:r>
          </w:p>
        </w:tc>
        <w:tc>
          <w:tcPr>
            <w:tcW w:w="573"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1 218</w:t>
            </w:r>
          </w:p>
        </w:tc>
        <w:tc>
          <w:tcPr>
            <w:tcW w:w="427"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58</w:t>
            </w:r>
          </w:p>
        </w:tc>
      </w:tr>
      <w:tr w:rsidR="00151092" w:rsidRPr="0019406C" w:rsidTr="008769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7" w:type="pct"/>
            <w:vMerge/>
          </w:tcPr>
          <w:p w:rsidR="004C51AE" w:rsidRPr="0019406C" w:rsidRDefault="004C51AE" w:rsidP="00410E0A">
            <w:pPr>
              <w:spacing w:line="300" w:lineRule="auto"/>
              <w:rPr>
                <w:rFonts w:asciiTheme="majorHAnsi" w:hAnsiTheme="majorHAnsi" w:cs="Arial"/>
                <w:color w:val="000000"/>
                <w:lang w:val="lv-LV"/>
              </w:rPr>
            </w:pPr>
          </w:p>
        </w:tc>
        <w:tc>
          <w:tcPr>
            <w:tcW w:w="1442" w:type="pct"/>
          </w:tcPr>
          <w:p w:rsidR="004C51AE" w:rsidRPr="0019406C" w:rsidRDefault="004C51AE" w:rsidP="00410E0A">
            <w:pPr>
              <w:spacing w:line="30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2  Pierīgas statistiskais reģions</w:t>
            </w:r>
          </w:p>
        </w:tc>
        <w:tc>
          <w:tcPr>
            <w:tcW w:w="479"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12 161</w:t>
            </w:r>
          </w:p>
        </w:tc>
        <w:tc>
          <w:tcPr>
            <w:tcW w:w="307"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16</w:t>
            </w:r>
          </w:p>
        </w:tc>
        <w:tc>
          <w:tcPr>
            <w:tcW w:w="569"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99</w:t>
            </w:r>
          </w:p>
        </w:tc>
        <w:tc>
          <w:tcPr>
            <w:tcW w:w="428"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14</w:t>
            </w:r>
          </w:p>
        </w:tc>
        <w:tc>
          <w:tcPr>
            <w:tcW w:w="573"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294</w:t>
            </w:r>
          </w:p>
        </w:tc>
        <w:tc>
          <w:tcPr>
            <w:tcW w:w="427"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14</w:t>
            </w:r>
          </w:p>
        </w:tc>
      </w:tr>
      <w:tr w:rsidR="00151092" w:rsidRPr="0019406C" w:rsidTr="00876978">
        <w:tc>
          <w:tcPr>
            <w:cnfStyle w:val="001000000000" w:firstRow="0" w:lastRow="0" w:firstColumn="1" w:lastColumn="0" w:oddVBand="0" w:evenVBand="0" w:oddHBand="0" w:evenHBand="0" w:firstRowFirstColumn="0" w:firstRowLastColumn="0" w:lastRowFirstColumn="0" w:lastRowLastColumn="0"/>
            <w:tcW w:w="777" w:type="pct"/>
            <w:vMerge/>
          </w:tcPr>
          <w:p w:rsidR="004C51AE" w:rsidRPr="0019406C" w:rsidRDefault="004C51AE" w:rsidP="00410E0A">
            <w:pPr>
              <w:spacing w:line="300" w:lineRule="auto"/>
              <w:rPr>
                <w:rFonts w:asciiTheme="majorHAnsi" w:hAnsiTheme="majorHAnsi" w:cs="Arial"/>
                <w:color w:val="000000"/>
                <w:lang w:val="lv-LV"/>
              </w:rPr>
            </w:pPr>
          </w:p>
        </w:tc>
        <w:tc>
          <w:tcPr>
            <w:tcW w:w="1442" w:type="pct"/>
          </w:tcPr>
          <w:p w:rsidR="004C51AE" w:rsidRPr="0019406C" w:rsidRDefault="004C51AE" w:rsidP="00410E0A">
            <w:pPr>
              <w:spacing w:line="30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3  Vidzemes statistiskais reģions</w:t>
            </w:r>
          </w:p>
        </w:tc>
        <w:tc>
          <w:tcPr>
            <w:tcW w:w="479"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4 901</w:t>
            </w:r>
          </w:p>
        </w:tc>
        <w:tc>
          <w:tcPr>
            <w:tcW w:w="307"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7</w:t>
            </w:r>
          </w:p>
        </w:tc>
        <w:tc>
          <w:tcPr>
            <w:tcW w:w="569"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43</w:t>
            </w:r>
          </w:p>
        </w:tc>
        <w:tc>
          <w:tcPr>
            <w:tcW w:w="428"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6</w:t>
            </w:r>
          </w:p>
        </w:tc>
        <w:tc>
          <w:tcPr>
            <w:tcW w:w="573"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126</w:t>
            </w:r>
          </w:p>
        </w:tc>
        <w:tc>
          <w:tcPr>
            <w:tcW w:w="427"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6</w:t>
            </w:r>
          </w:p>
        </w:tc>
      </w:tr>
      <w:tr w:rsidR="00151092" w:rsidRPr="0019406C" w:rsidTr="008769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7" w:type="pct"/>
            <w:vMerge/>
          </w:tcPr>
          <w:p w:rsidR="004C51AE" w:rsidRPr="0019406C" w:rsidRDefault="004C51AE" w:rsidP="00410E0A">
            <w:pPr>
              <w:spacing w:line="300" w:lineRule="auto"/>
              <w:rPr>
                <w:rFonts w:asciiTheme="majorHAnsi" w:hAnsiTheme="majorHAnsi" w:cs="Arial"/>
                <w:color w:val="000000"/>
                <w:lang w:val="lv-LV"/>
              </w:rPr>
            </w:pPr>
          </w:p>
        </w:tc>
        <w:tc>
          <w:tcPr>
            <w:tcW w:w="1442" w:type="pct"/>
          </w:tcPr>
          <w:p w:rsidR="004C51AE" w:rsidRPr="0019406C" w:rsidRDefault="004C51AE" w:rsidP="00410E0A">
            <w:pPr>
              <w:spacing w:line="30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4  Kurzemes statistiskais reģions</w:t>
            </w:r>
          </w:p>
        </w:tc>
        <w:tc>
          <w:tcPr>
            <w:tcW w:w="479"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6 530</w:t>
            </w:r>
          </w:p>
        </w:tc>
        <w:tc>
          <w:tcPr>
            <w:tcW w:w="307"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9</w:t>
            </w:r>
          </w:p>
        </w:tc>
        <w:tc>
          <w:tcPr>
            <w:tcW w:w="569"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57</w:t>
            </w:r>
          </w:p>
        </w:tc>
        <w:tc>
          <w:tcPr>
            <w:tcW w:w="428"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8</w:t>
            </w:r>
          </w:p>
        </w:tc>
        <w:tc>
          <w:tcPr>
            <w:tcW w:w="573"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168</w:t>
            </w:r>
          </w:p>
        </w:tc>
        <w:tc>
          <w:tcPr>
            <w:tcW w:w="427"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8</w:t>
            </w:r>
          </w:p>
        </w:tc>
      </w:tr>
      <w:tr w:rsidR="00151092" w:rsidRPr="0019406C" w:rsidTr="00876978">
        <w:tc>
          <w:tcPr>
            <w:cnfStyle w:val="001000000000" w:firstRow="0" w:lastRow="0" w:firstColumn="1" w:lastColumn="0" w:oddVBand="0" w:evenVBand="0" w:oddHBand="0" w:evenHBand="0" w:firstRowFirstColumn="0" w:firstRowLastColumn="0" w:lastRowFirstColumn="0" w:lastRowLastColumn="0"/>
            <w:tcW w:w="777" w:type="pct"/>
            <w:vMerge/>
          </w:tcPr>
          <w:p w:rsidR="004C51AE" w:rsidRPr="0019406C" w:rsidRDefault="004C51AE" w:rsidP="00410E0A">
            <w:pPr>
              <w:spacing w:line="300" w:lineRule="auto"/>
              <w:rPr>
                <w:rFonts w:asciiTheme="majorHAnsi" w:hAnsiTheme="majorHAnsi" w:cs="Arial"/>
                <w:color w:val="000000"/>
                <w:lang w:val="lv-LV"/>
              </w:rPr>
            </w:pPr>
          </w:p>
        </w:tc>
        <w:tc>
          <w:tcPr>
            <w:tcW w:w="1442" w:type="pct"/>
          </w:tcPr>
          <w:p w:rsidR="004C51AE" w:rsidRPr="0019406C" w:rsidRDefault="004C51AE" w:rsidP="00410E0A">
            <w:pPr>
              <w:spacing w:line="30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5  Zemgales statistiskais reģions</w:t>
            </w:r>
          </w:p>
        </w:tc>
        <w:tc>
          <w:tcPr>
            <w:tcW w:w="479"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5 544</w:t>
            </w:r>
          </w:p>
        </w:tc>
        <w:tc>
          <w:tcPr>
            <w:tcW w:w="307"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7</w:t>
            </w:r>
          </w:p>
        </w:tc>
        <w:tc>
          <w:tcPr>
            <w:tcW w:w="569"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43</w:t>
            </w:r>
          </w:p>
        </w:tc>
        <w:tc>
          <w:tcPr>
            <w:tcW w:w="428"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6</w:t>
            </w:r>
          </w:p>
        </w:tc>
        <w:tc>
          <w:tcPr>
            <w:tcW w:w="573"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126</w:t>
            </w:r>
          </w:p>
        </w:tc>
        <w:tc>
          <w:tcPr>
            <w:tcW w:w="427"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6</w:t>
            </w:r>
          </w:p>
        </w:tc>
      </w:tr>
      <w:tr w:rsidR="00151092" w:rsidRPr="0019406C" w:rsidTr="008769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7" w:type="pct"/>
            <w:vMerge/>
          </w:tcPr>
          <w:p w:rsidR="004C51AE" w:rsidRPr="0019406C" w:rsidRDefault="004C51AE" w:rsidP="00410E0A">
            <w:pPr>
              <w:spacing w:line="300" w:lineRule="auto"/>
              <w:rPr>
                <w:rFonts w:asciiTheme="majorHAnsi" w:hAnsiTheme="majorHAnsi" w:cs="Arial"/>
                <w:color w:val="000000"/>
                <w:lang w:val="lv-LV"/>
              </w:rPr>
            </w:pPr>
          </w:p>
        </w:tc>
        <w:tc>
          <w:tcPr>
            <w:tcW w:w="1442" w:type="pct"/>
          </w:tcPr>
          <w:p w:rsidR="004C51AE" w:rsidRPr="0019406C" w:rsidRDefault="004C51AE" w:rsidP="00410E0A">
            <w:pPr>
              <w:spacing w:line="30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6  Latgales statistiskais reģions</w:t>
            </w:r>
          </w:p>
        </w:tc>
        <w:tc>
          <w:tcPr>
            <w:tcW w:w="479"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5 314</w:t>
            </w:r>
          </w:p>
        </w:tc>
        <w:tc>
          <w:tcPr>
            <w:tcW w:w="307"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7</w:t>
            </w:r>
          </w:p>
        </w:tc>
        <w:tc>
          <w:tcPr>
            <w:tcW w:w="569"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51</w:t>
            </w:r>
          </w:p>
        </w:tc>
        <w:tc>
          <w:tcPr>
            <w:tcW w:w="428"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7</w:t>
            </w:r>
          </w:p>
        </w:tc>
        <w:tc>
          <w:tcPr>
            <w:tcW w:w="573"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147</w:t>
            </w:r>
          </w:p>
        </w:tc>
        <w:tc>
          <w:tcPr>
            <w:tcW w:w="427"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7</w:t>
            </w:r>
          </w:p>
        </w:tc>
      </w:tr>
      <w:tr w:rsidR="00151092" w:rsidRPr="0019406C" w:rsidTr="00876978">
        <w:tc>
          <w:tcPr>
            <w:cnfStyle w:val="001000000000" w:firstRow="0" w:lastRow="0" w:firstColumn="1" w:lastColumn="0" w:oddVBand="0" w:evenVBand="0" w:oddHBand="0" w:evenHBand="0" w:firstRowFirstColumn="0" w:firstRowLastColumn="0" w:lastRowFirstColumn="0" w:lastRowLastColumn="0"/>
            <w:tcW w:w="777" w:type="pct"/>
            <w:vMerge w:val="restart"/>
          </w:tcPr>
          <w:p w:rsidR="004C51AE" w:rsidRPr="0019406C" w:rsidRDefault="004C51AE" w:rsidP="00410E0A">
            <w:pPr>
              <w:spacing w:line="300" w:lineRule="auto"/>
              <w:rPr>
                <w:rFonts w:asciiTheme="majorHAnsi" w:hAnsiTheme="majorHAnsi" w:cs="Arial"/>
                <w:b w:val="0"/>
                <w:bCs w:val="0"/>
                <w:color w:val="000000"/>
                <w:lang w:val="lv-LV"/>
              </w:rPr>
            </w:pPr>
            <w:r w:rsidRPr="0019406C">
              <w:rPr>
                <w:rFonts w:asciiTheme="majorHAnsi" w:hAnsiTheme="majorHAnsi" w:cs="Arial"/>
                <w:color w:val="000000"/>
                <w:lang w:val="lv-LV"/>
              </w:rPr>
              <w:t>Teritoriālais sadalījums</w:t>
            </w:r>
          </w:p>
        </w:tc>
        <w:tc>
          <w:tcPr>
            <w:tcW w:w="1442" w:type="pct"/>
          </w:tcPr>
          <w:p w:rsidR="004C51AE" w:rsidRPr="0019406C" w:rsidRDefault="004C51AE" w:rsidP="00410E0A">
            <w:pPr>
              <w:spacing w:line="30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  Rīga</w:t>
            </w:r>
          </w:p>
        </w:tc>
        <w:tc>
          <w:tcPr>
            <w:tcW w:w="479"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39 745</w:t>
            </w:r>
          </w:p>
        </w:tc>
        <w:tc>
          <w:tcPr>
            <w:tcW w:w="307"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54</w:t>
            </w:r>
          </w:p>
        </w:tc>
        <w:tc>
          <w:tcPr>
            <w:tcW w:w="569"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406</w:t>
            </w:r>
          </w:p>
        </w:tc>
        <w:tc>
          <w:tcPr>
            <w:tcW w:w="428"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58</w:t>
            </w:r>
          </w:p>
        </w:tc>
        <w:tc>
          <w:tcPr>
            <w:tcW w:w="573"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1 218</w:t>
            </w:r>
          </w:p>
        </w:tc>
        <w:tc>
          <w:tcPr>
            <w:tcW w:w="427"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58</w:t>
            </w:r>
          </w:p>
        </w:tc>
      </w:tr>
      <w:tr w:rsidR="00151092" w:rsidRPr="0019406C" w:rsidTr="008769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7" w:type="pct"/>
            <w:vMerge/>
          </w:tcPr>
          <w:p w:rsidR="004C51AE" w:rsidRPr="0019406C" w:rsidRDefault="004C51AE" w:rsidP="00410E0A">
            <w:pPr>
              <w:spacing w:line="300" w:lineRule="auto"/>
              <w:rPr>
                <w:rFonts w:asciiTheme="majorHAnsi" w:hAnsiTheme="majorHAnsi" w:cs="Arial"/>
                <w:color w:val="000000"/>
                <w:lang w:val="lv-LV"/>
              </w:rPr>
            </w:pPr>
          </w:p>
        </w:tc>
        <w:tc>
          <w:tcPr>
            <w:tcW w:w="1442" w:type="pct"/>
          </w:tcPr>
          <w:p w:rsidR="004C51AE" w:rsidRPr="0019406C" w:rsidRDefault="004C51AE" w:rsidP="00410E0A">
            <w:pPr>
              <w:spacing w:line="30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2  Lielpilsētas</w:t>
            </w:r>
          </w:p>
        </w:tc>
        <w:tc>
          <w:tcPr>
            <w:tcW w:w="479"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11 058</w:t>
            </w:r>
          </w:p>
        </w:tc>
        <w:tc>
          <w:tcPr>
            <w:tcW w:w="307"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15</w:t>
            </w:r>
          </w:p>
        </w:tc>
        <w:tc>
          <w:tcPr>
            <w:tcW w:w="569"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98</w:t>
            </w:r>
          </w:p>
        </w:tc>
        <w:tc>
          <w:tcPr>
            <w:tcW w:w="428"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14</w:t>
            </w:r>
          </w:p>
        </w:tc>
        <w:tc>
          <w:tcPr>
            <w:tcW w:w="573"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304</w:t>
            </w:r>
          </w:p>
        </w:tc>
        <w:tc>
          <w:tcPr>
            <w:tcW w:w="427"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14</w:t>
            </w:r>
          </w:p>
        </w:tc>
      </w:tr>
      <w:tr w:rsidR="00151092" w:rsidRPr="0019406C" w:rsidTr="00876978">
        <w:tc>
          <w:tcPr>
            <w:cnfStyle w:val="001000000000" w:firstRow="0" w:lastRow="0" w:firstColumn="1" w:lastColumn="0" w:oddVBand="0" w:evenVBand="0" w:oddHBand="0" w:evenHBand="0" w:firstRowFirstColumn="0" w:firstRowLastColumn="0" w:lastRowFirstColumn="0" w:lastRowLastColumn="0"/>
            <w:tcW w:w="777" w:type="pct"/>
            <w:vMerge/>
          </w:tcPr>
          <w:p w:rsidR="004C51AE" w:rsidRPr="0019406C" w:rsidRDefault="004C51AE" w:rsidP="00410E0A">
            <w:pPr>
              <w:spacing w:line="300" w:lineRule="auto"/>
              <w:rPr>
                <w:rFonts w:asciiTheme="majorHAnsi" w:hAnsiTheme="majorHAnsi" w:cs="Arial"/>
                <w:color w:val="000000"/>
                <w:lang w:val="lv-LV"/>
              </w:rPr>
            </w:pPr>
          </w:p>
        </w:tc>
        <w:tc>
          <w:tcPr>
            <w:tcW w:w="1442" w:type="pct"/>
          </w:tcPr>
          <w:p w:rsidR="004C51AE" w:rsidRPr="0019406C" w:rsidRDefault="004C51AE" w:rsidP="00410E0A">
            <w:pPr>
              <w:spacing w:line="30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3  Mazpilsētas</w:t>
            </w:r>
          </w:p>
        </w:tc>
        <w:tc>
          <w:tcPr>
            <w:tcW w:w="479"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9 974</w:t>
            </w:r>
          </w:p>
        </w:tc>
        <w:tc>
          <w:tcPr>
            <w:tcW w:w="307"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13</w:t>
            </w:r>
          </w:p>
        </w:tc>
        <w:tc>
          <w:tcPr>
            <w:tcW w:w="569"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91</w:t>
            </w:r>
          </w:p>
        </w:tc>
        <w:tc>
          <w:tcPr>
            <w:tcW w:w="428"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13</w:t>
            </w:r>
          </w:p>
        </w:tc>
        <w:tc>
          <w:tcPr>
            <w:tcW w:w="573"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237</w:t>
            </w:r>
          </w:p>
        </w:tc>
        <w:tc>
          <w:tcPr>
            <w:tcW w:w="427"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11</w:t>
            </w:r>
          </w:p>
        </w:tc>
      </w:tr>
      <w:tr w:rsidR="00151092" w:rsidRPr="0019406C" w:rsidTr="008769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7" w:type="pct"/>
            <w:vMerge/>
          </w:tcPr>
          <w:p w:rsidR="004C51AE" w:rsidRPr="0019406C" w:rsidRDefault="004C51AE" w:rsidP="00410E0A">
            <w:pPr>
              <w:spacing w:line="300" w:lineRule="auto"/>
              <w:rPr>
                <w:rFonts w:asciiTheme="majorHAnsi" w:hAnsiTheme="majorHAnsi" w:cs="Arial"/>
                <w:color w:val="000000"/>
                <w:lang w:val="lv-LV"/>
              </w:rPr>
            </w:pPr>
          </w:p>
        </w:tc>
        <w:tc>
          <w:tcPr>
            <w:tcW w:w="1442" w:type="pct"/>
          </w:tcPr>
          <w:p w:rsidR="004C51AE" w:rsidRPr="0019406C" w:rsidRDefault="004C51AE" w:rsidP="00410E0A">
            <w:pPr>
              <w:spacing w:line="30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4  Lauki</w:t>
            </w:r>
          </w:p>
        </w:tc>
        <w:tc>
          <w:tcPr>
            <w:tcW w:w="479"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13 418</w:t>
            </w:r>
          </w:p>
        </w:tc>
        <w:tc>
          <w:tcPr>
            <w:tcW w:w="307"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18</w:t>
            </w:r>
          </w:p>
        </w:tc>
        <w:tc>
          <w:tcPr>
            <w:tcW w:w="569"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105</w:t>
            </w:r>
          </w:p>
        </w:tc>
        <w:tc>
          <w:tcPr>
            <w:tcW w:w="428"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15</w:t>
            </w:r>
          </w:p>
        </w:tc>
        <w:tc>
          <w:tcPr>
            <w:tcW w:w="573"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320</w:t>
            </w:r>
          </w:p>
        </w:tc>
        <w:tc>
          <w:tcPr>
            <w:tcW w:w="427"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15</w:t>
            </w:r>
          </w:p>
        </w:tc>
      </w:tr>
      <w:tr w:rsidR="00151092" w:rsidRPr="0019406C" w:rsidTr="00876978">
        <w:tc>
          <w:tcPr>
            <w:cnfStyle w:val="001000000000" w:firstRow="0" w:lastRow="0" w:firstColumn="1" w:lastColumn="0" w:oddVBand="0" w:evenVBand="0" w:oddHBand="0" w:evenHBand="0" w:firstRowFirstColumn="0" w:firstRowLastColumn="0" w:lastRowFirstColumn="0" w:lastRowLastColumn="0"/>
            <w:tcW w:w="777" w:type="pct"/>
            <w:vMerge w:val="restart"/>
          </w:tcPr>
          <w:p w:rsidR="004C51AE" w:rsidRPr="0019406C" w:rsidRDefault="004C51AE" w:rsidP="00410E0A">
            <w:pPr>
              <w:spacing w:line="300" w:lineRule="auto"/>
              <w:rPr>
                <w:rFonts w:asciiTheme="majorHAnsi" w:hAnsiTheme="majorHAnsi" w:cs="Arial"/>
                <w:b w:val="0"/>
                <w:bCs w:val="0"/>
                <w:color w:val="000000"/>
                <w:lang w:val="lv-LV"/>
              </w:rPr>
            </w:pPr>
            <w:r w:rsidRPr="0019406C">
              <w:rPr>
                <w:rFonts w:asciiTheme="majorHAnsi" w:hAnsiTheme="majorHAnsi" w:cs="Arial"/>
                <w:color w:val="000000"/>
                <w:lang w:val="lv-LV"/>
              </w:rPr>
              <w:t>Eksports</w:t>
            </w:r>
          </w:p>
        </w:tc>
        <w:tc>
          <w:tcPr>
            <w:tcW w:w="1442" w:type="pct"/>
          </w:tcPr>
          <w:p w:rsidR="004C51AE" w:rsidRPr="0019406C" w:rsidRDefault="004C51AE" w:rsidP="00410E0A">
            <w:pPr>
              <w:spacing w:line="30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0  Eksportētājs</w:t>
            </w:r>
          </w:p>
        </w:tc>
        <w:tc>
          <w:tcPr>
            <w:tcW w:w="479"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4 473</w:t>
            </w:r>
          </w:p>
        </w:tc>
        <w:tc>
          <w:tcPr>
            <w:tcW w:w="307"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6</w:t>
            </w:r>
          </w:p>
        </w:tc>
        <w:tc>
          <w:tcPr>
            <w:tcW w:w="569"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105</w:t>
            </w:r>
          </w:p>
        </w:tc>
        <w:tc>
          <w:tcPr>
            <w:tcW w:w="428"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15</w:t>
            </w:r>
          </w:p>
        </w:tc>
        <w:tc>
          <w:tcPr>
            <w:tcW w:w="573"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315</w:t>
            </w:r>
          </w:p>
        </w:tc>
        <w:tc>
          <w:tcPr>
            <w:tcW w:w="427"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15</w:t>
            </w:r>
          </w:p>
        </w:tc>
      </w:tr>
      <w:tr w:rsidR="00151092" w:rsidRPr="0019406C" w:rsidTr="008769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7" w:type="pct"/>
            <w:vMerge/>
          </w:tcPr>
          <w:p w:rsidR="004C51AE" w:rsidRPr="0019406C" w:rsidRDefault="004C51AE" w:rsidP="00410E0A">
            <w:pPr>
              <w:spacing w:line="300" w:lineRule="auto"/>
              <w:rPr>
                <w:rFonts w:asciiTheme="majorHAnsi" w:hAnsiTheme="majorHAnsi" w:cs="Arial"/>
                <w:color w:val="000000"/>
                <w:lang w:val="lv-LV"/>
              </w:rPr>
            </w:pPr>
          </w:p>
        </w:tc>
        <w:tc>
          <w:tcPr>
            <w:tcW w:w="1442" w:type="pct"/>
          </w:tcPr>
          <w:p w:rsidR="004C51AE" w:rsidRPr="0019406C" w:rsidRDefault="004C51AE" w:rsidP="00410E0A">
            <w:pPr>
              <w:spacing w:line="30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  Nav eksportētājs</w:t>
            </w:r>
          </w:p>
        </w:tc>
        <w:tc>
          <w:tcPr>
            <w:tcW w:w="479"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69 722</w:t>
            </w:r>
          </w:p>
        </w:tc>
        <w:tc>
          <w:tcPr>
            <w:tcW w:w="307"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94</w:t>
            </w:r>
          </w:p>
        </w:tc>
        <w:tc>
          <w:tcPr>
            <w:tcW w:w="569"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595</w:t>
            </w:r>
          </w:p>
        </w:tc>
        <w:tc>
          <w:tcPr>
            <w:tcW w:w="428"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85</w:t>
            </w:r>
          </w:p>
        </w:tc>
        <w:tc>
          <w:tcPr>
            <w:tcW w:w="573"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1 785</w:t>
            </w:r>
          </w:p>
        </w:tc>
        <w:tc>
          <w:tcPr>
            <w:tcW w:w="427"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85</w:t>
            </w:r>
          </w:p>
        </w:tc>
      </w:tr>
      <w:tr w:rsidR="00151092" w:rsidRPr="0019406C" w:rsidTr="00876978">
        <w:tc>
          <w:tcPr>
            <w:cnfStyle w:val="001000000000" w:firstRow="0" w:lastRow="0" w:firstColumn="1" w:lastColumn="0" w:oddVBand="0" w:evenVBand="0" w:oddHBand="0" w:evenHBand="0" w:firstRowFirstColumn="0" w:firstRowLastColumn="0" w:lastRowFirstColumn="0" w:lastRowLastColumn="0"/>
            <w:tcW w:w="777" w:type="pct"/>
            <w:vMerge w:val="restart"/>
          </w:tcPr>
          <w:p w:rsidR="004C51AE" w:rsidRPr="0019406C" w:rsidRDefault="004C51AE" w:rsidP="00410E0A">
            <w:pPr>
              <w:spacing w:line="300" w:lineRule="auto"/>
              <w:rPr>
                <w:rFonts w:asciiTheme="majorHAnsi" w:hAnsiTheme="majorHAnsi" w:cs="Arial"/>
                <w:b w:val="0"/>
                <w:bCs w:val="0"/>
                <w:color w:val="000000"/>
                <w:lang w:val="lv-LV"/>
              </w:rPr>
            </w:pPr>
            <w:r w:rsidRPr="0019406C">
              <w:rPr>
                <w:rFonts w:asciiTheme="majorHAnsi" w:hAnsiTheme="majorHAnsi" w:cs="Arial"/>
                <w:color w:val="000000"/>
                <w:lang w:val="lv-LV"/>
              </w:rPr>
              <w:t>Dibināšana</w:t>
            </w:r>
          </w:p>
        </w:tc>
        <w:tc>
          <w:tcPr>
            <w:tcW w:w="1442" w:type="pct"/>
          </w:tcPr>
          <w:p w:rsidR="004C51AE" w:rsidRPr="0019406C" w:rsidRDefault="004C51AE" w:rsidP="00410E0A">
            <w:pPr>
              <w:spacing w:line="30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0  Jaundibinātie (pēc 2012.gada 1.janvāra)</w:t>
            </w:r>
          </w:p>
        </w:tc>
        <w:tc>
          <w:tcPr>
            <w:tcW w:w="479"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9 093</w:t>
            </w:r>
          </w:p>
        </w:tc>
        <w:tc>
          <w:tcPr>
            <w:tcW w:w="307"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12</w:t>
            </w:r>
          </w:p>
        </w:tc>
        <w:tc>
          <w:tcPr>
            <w:tcW w:w="569"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35</w:t>
            </w:r>
          </w:p>
        </w:tc>
        <w:tc>
          <w:tcPr>
            <w:tcW w:w="428"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5</w:t>
            </w:r>
          </w:p>
        </w:tc>
        <w:tc>
          <w:tcPr>
            <w:tcW w:w="573"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105</w:t>
            </w:r>
          </w:p>
        </w:tc>
        <w:tc>
          <w:tcPr>
            <w:tcW w:w="427"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5</w:t>
            </w:r>
          </w:p>
        </w:tc>
      </w:tr>
      <w:tr w:rsidR="00151092" w:rsidRPr="0019406C" w:rsidTr="008769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7" w:type="pct"/>
            <w:vMerge/>
          </w:tcPr>
          <w:p w:rsidR="004C51AE" w:rsidRPr="0019406C" w:rsidRDefault="004C51AE" w:rsidP="00410E0A">
            <w:pPr>
              <w:spacing w:line="300" w:lineRule="auto"/>
              <w:rPr>
                <w:rFonts w:asciiTheme="majorHAnsi" w:hAnsiTheme="majorHAnsi" w:cs="Arial"/>
                <w:color w:val="000000"/>
                <w:lang w:val="lv-LV"/>
              </w:rPr>
            </w:pPr>
          </w:p>
        </w:tc>
        <w:tc>
          <w:tcPr>
            <w:tcW w:w="1442" w:type="pct"/>
          </w:tcPr>
          <w:p w:rsidR="004C51AE" w:rsidRPr="0019406C" w:rsidRDefault="004C51AE" w:rsidP="00410E0A">
            <w:pPr>
              <w:spacing w:line="30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  Vecie uzņēmumi (līdz 2011.gada 31.decembrim)</w:t>
            </w:r>
          </w:p>
        </w:tc>
        <w:tc>
          <w:tcPr>
            <w:tcW w:w="479"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65 102</w:t>
            </w:r>
          </w:p>
        </w:tc>
        <w:tc>
          <w:tcPr>
            <w:tcW w:w="307"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88</w:t>
            </w:r>
          </w:p>
        </w:tc>
        <w:tc>
          <w:tcPr>
            <w:tcW w:w="569"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665</w:t>
            </w:r>
          </w:p>
        </w:tc>
        <w:tc>
          <w:tcPr>
            <w:tcW w:w="428"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95</w:t>
            </w:r>
          </w:p>
        </w:tc>
        <w:tc>
          <w:tcPr>
            <w:tcW w:w="573"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1 995</w:t>
            </w:r>
          </w:p>
        </w:tc>
        <w:tc>
          <w:tcPr>
            <w:tcW w:w="427" w:type="pct"/>
          </w:tcPr>
          <w:p w:rsidR="004C51AE" w:rsidRPr="0019406C" w:rsidRDefault="004C51AE" w:rsidP="00410E0A">
            <w:pPr>
              <w:spacing w:line="30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000000"/>
                <w:lang w:val="lv-LV"/>
              </w:rPr>
            </w:pPr>
            <w:r w:rsidRPr="0019406C">
              <w:rPr>
                <w:rFonts w:asciiTheme="majorHAnsi" w:hAnsiTheme="majorHAnsi" w:cs="Arial"/>
                <w:color w:val="000000"/>
                <w:lang w:val="lv-LV"/>
              </w:rPr>
              <w:t>95</w:t>
            </w:r>
          </w:p>
        </w:tc>
      </w:tr>
      <w:tr w:rsidR="00151092" w:rsidRPr="0019406C" w:rsidTr="00876978">
        <w:tc>
          <w:tcPr>
            <w:cnfStyle w:val="001000000000" w:firstRow="0" w:lastRow="0" w:firstColumn="1" w:lastColumn="0" w:oddVBand="0" w:evenVBand="0" w:oddHBand="0" w:evenHBand="0" w:firstRowFirstColumn="0" w:firstRowLastColumn="0" w:lastRowFirstColumn="0" w:lastRowLastColumn="0"/>
            <w:tcW w:w="2218" w:type="pct"/>
            <w:gridSpan w:val="2"/>
          </w:tcPr>
          <w:p w:rsidR="004C51AE" w:rsidRPr="0019406C" w:rsidRDefault="004C51AE" w:rsidP="00410E0A">
            <w:pPr>
              <w:spacing w:line="300" w:lineRule="auto"/>
              <w:rPr>
                <w:rFonts w:asciiTheme="majorHAnsi" w:hAnsiTheme="majorHAnsi" w:cs="Arial"/>
                <w:b w:val="0"/>
                <w:bCs w:val="0"/>
                <w:color w:val="000000"/>
                <w:lang w:val="lv-LV"/>
              </w:rPr>
            </w:pPr>
            <w:r w:rsidRPr="0019406C">
              <w:rPr>
                <w:rFonts w:asciiTheme="majorHAnsi" w:hAnsiTheme="majorHAnsi" w:cs="Arial"/>
                <w:color w:val="000000"/>
                <w:lang w:val="lv-LV"/>
              </w:rPr>
              <w:t>KOPĀ</w:t>
            </w:r>
          </w:p>
        </w:tc>
        <w:tc>
          <w:tcPr>
            <w:tcW w:w="479"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color w:val="000000"/>
                <w:lang w:val="lv-LV"/>
              </w:rPr>
            </w:pPr>
            <w:r w:rsidRPr="0019406C">
              <w:rPr>
                <w:rFonts w:asciiTheme="majorHAnsi" w:hAnsiTheme="majorHAnsi" w:cs="Arial"/>
                <w:b/>
                <w:bCs/>
                <w:color w:val="000000"/>
                <w:lang w:val="lv-LV"/>
              </w:rPr>
              <w:t>74 195</w:t>
            </w:r>
          </w:p>
        </w:tc>
        <w:tc>
          <w:tcPr>
            <w:tcW w:w="307"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color w:val="000000"/>
                <w:lang w:val="lv-LV"/>
              </w:rPr>
            </w:pPr>
            <w:r w:rsidRPr="0019406C">
              <w:rPr>
                <w:rFonts w:asciiTheme="majorHAnsi" w:hAnsiTheme="majorHAnsi" w:cs="Arial"/>
                <w:b/>
                <w:bCs/>
                <w:color w:val="000000"/>
                <w:lang w:val="lv-LV"/>
              </w:rPr>
              <w:t>100</w:t>
            </w:r>
          </w:p>
        </w:tc>
        <w:tc>
          <w:tcPr>
            <w:tcW w:w="569"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lang w:val="lv-LV"/>
              </w:rPr>
            </w:pPr>
            <w:r w:rsidRPr="0019406C">
              <w:rPr>
                <w:rFonts w:asciiTheme="majorHAnsi" w:hAnsiTheme="majorHAnsi" w:cs="Arial"/>
                <w:b/>
                <w:lang w:val="lv-LV"/>
              </w:rPr>
              <w:t>700</w:t>
            </w:r>
          </w:p>
        </w:tc>
        <w:tc>
          <w:tcPr>
            <w:tcW w:w="428"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color w:val="000000"/>
                <w:lang w:val="lv-LV"/>
              </w:rPr>
            </w:pPr>
            <w:r w:rsidRPr="0019406C">
              <w:rPr>
                <w:rFonts w:asciiTheme="majorHAnsi" w:hAnsiTheme="majorHAnsi" w:cs="Arial"/>
                <w:b/>
                <w:bCs/>
                <w:color w:val="000000"/>
                <w:lang w:val="lv-LV"/>
              </w:rPr>
              <w:t>100</w:t>
            </w:r>
          </w:p>
        </w:tc>
        <w:tc>
          <w:tcPr>
            <w:tcW w:w="573"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lang w:val="lv-LV"/>
              </w:rPr>
            </w:pPr>
            <w:r w:rsidRPr="0019406C">
              <w:rPr>
                <w:rFonts w:asciiTheme="majorHAnsi" w:hAnsiTheme="majorHAnsi" w:cs="Arial"/>
                <w:b/>
                <w:bCs/>
                <w:lang w:val="lv-LV"/>
              </w:rPr>
              <w:t>2100</w:t>
            </w:r>
          </w:p>
        </w:tc>
        <w:tc>
          <w:tcPr>
            <w:tcW w:w="427" w:type="pct"/>
          </w:tcPr>
          <w:p w:rsidR="004C51AE" w:rsidRPr="0019406C" w:rsidRDefault="004C51AE" w:rsidP="00410E0A">
            <w:pPr>
              <w:spacing w:line="30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b/>
                <w:bCs/>
                <w:lang w:val="lv-LV"/>
              </w:rPr>
            </w:pPr>
            <w:r w:rsidRPr="0019406C">
              <w:rPr>
                <w:rFonts w:asciiTheme="majorHAnsi" w:hAnsiTheme="majorHAnsi" w:cs="Arial"/>
                <w:b/>
                <w:bCs/>
                <w:lang w:val="lv-LV"/>
              </w:rPr>
              <w:t>100</w:t>
            </w:r>
          </w:p>
        </w:tc>
      </w:tr>
    </w:tbl>
    <w:p w:rsidR="004C51AE" w:rsidRPr="0019406C" w:rsidRDefault="004C51AE" w:rsidP="004C51AE">
      <w:pPr>
        <w:spacing w:after="0" w:line="240" w:lineRule="auto"/>
        <w:jc w:val="both"/>
        <w:rPr>
          <w:rFonts w:asciiTheme="majorHAnsi" w:hAnsiTheme="majorHAnsi"/>
          <w:b/>
          <w:lang w:val="lv-LV"/>
        </w:rPr>
      </w:pPr>
    </w:p>
    <w:p w:rsidR="004C51AE" w:rsidRPr="0019406C" w:rsidRDefault="004C51AE" w:rsidP="00031E71">
      <w:pPr>
        <w:spacing w:line="276" w:lineRule="auto"/>
        <w:jc w:val="both"/>
        <w:rPr>
          <w:rFonts w:asciiTheme="majorHAnsi" w:hAnsiTheme="majorHAnsi"/>
          <w:i/>
          <w:lang w:val="lv-LV"/>
        </w:rPr>
      </w:pPr>
      <w:r w:rsidRPr="0019406C">
        <w:rPr>
          <w:rFonts w:asciiTheme="majorHAnsi" w:hAnsiTheme="majorHAnsi"/>
          <w:i/>
          <w:lang w:val="lv-LV"/>
        </w:rPr>
        <w:t xml:space="preserve">*Statistika – aptaujas </w:t>
      </w:r>
      <w:smartTag w:uri="schemas-tilde-lv/tildestengine" w:element="veidnes">
        <w:smartTagPr>
          <w:attr w:name="id" w:val="-1"/>
          <w:attr w:name="baseform" w:val="ģenerālā"/>
          <w:attr w:name="text" w:val="ģenerālā"/>
        </w:smartTagPr>
        <w:r w:rsidRPr="0019406C">
          <w:rPr>
            <w:rFonts w:asciiTheme="majorHAnsi" w:hAnsiTheme="majorHAnsi"/>
            <w:i/>
            <w:lang w:val="lv-LV"/>
          </w:rPr>
          <w:t>ģenerālā</w:t>
        </w:r>
      </w:smartTag>
      <w:r w:rsidRPr="0019406C">
        <w:rPr>
          <w:rFonts w:asciiTheme="majorHAnsi" w:hAnsiTheme="majorHAnsi"/>
          <w:i/>
          <w:lang w:val="lv-LV"/>
        </w:rPr>
        <w:t xml:space="preserve"> kopuma raksturojums: CSP sagatavotais Latvijas ekonomiski aktīvo uzņēmumu statistiskais profils (dati sagatavoti par situāciju uz 2011.gada pirmo pusgadu). </w:t>
      </w:r>
    </w:p>
    <w:p w:rsidR="004C51AE" w:rsidRPr="0019406C" w:rsidRDefault="004C51AE" w:rsidP="00031E71">
      <w:pPr>
        <w:spacing w:line="276" w:lineRule="auto"/>
        <w:jc w:val="both"/>
        <w:rPr>
          <w:rFonts w:asciiTheme="majorHAnsi" w:hAnsiTheme="majorHAnsi"/>
          <w:i/>
          <w:lang w:val="lv-LV"/>
        </w:rPr>
      </w:pPr>
      <w:r w:rsidRPr="0019406C">
        <w:rPr>
          <w:rFonts w:asciiTheme="majorHAnsi" w:hAnsiTheme="majorHAnsi"/>
          <w:i/>
          <w:lang w:val="lv-LV"/>
        </w:rPr>
        <w:t xml:space="preserve">** Sasniedzamā izlase – plānotā uzņēmēju aptaujas izlase, katrā no izlases </w:t>
      </w:r>
      <w:proofErr w:type="spellStart"/>
      <w:r w:rsidRPr="0019406C">
        <w:rPr>
          <w:rFonts w:asciiTheme="majorHAnsi" w:hAnsiTheme="majorHAnsi"/>
          <w:i/>
          <w:lang w:val="lv-LV"/>
        </w:rPr>
        <w:t>stratām</w:t>
      </w:r>
      <w:proofErr w:type="spellEnd"/>
      <w:r w:rsidRPr="0019406C">
        <w:rPr>
          <w:rFonts w:asciiTheme="majorHAnsi" w:hAnsiTheme="majorHAnsi"/>
          <w:i/>
          <w:lang w:val="lv-LV"/>
        </w:rPr>
        <w:t xml:space="preserve"> norādot vēlamo sasniedzamo respondentu skaitu.</w:t>
      </w:r>
    </w:p>
    <w:p w:rsidR="004C51AE" w:rsidRPr="0019406C" w:rsidRDefault="004C51AE" w:rsidP="00233E28">
      <w:pPr>
        <w:spacing w:line="276" w:lineRule="auto"/>
        <w:jc w:val="both"/>
        <w:rPr>
          <w:rFonts w:asciiTheme="majorHAnsi" w:hAnsiTheme="majorHAnsi"/>
          <w:i/>
          <w:lang w:val="lv-LV"/>
        </w:rPr>
      </w:pPr>
      <w:r w:rsidRPr="0019406C">
        <w:rPr>
          <w:rFonts w:asciiTheme="majorHAnsi" w:hAnsiTheme="majorHAnsi"/>
          <w:i/>
          <w:lang w:val="lv-LV"/>
        </w:rPr>
        <w:t>***Izlases struktūra – CSP sagatavotā uzņēmēju aptaujas izlase / potenciālo respondentu sadalīj</w:t>
      </w:r>
      <w:bookmarkStart w:id="37" w:name="_Toc179466717"/>
      <w:r w:rsidR="00233E28" w:rsidRPr="0019406C">
        <w:rPr>
          <w:rFonts w:asciiTheme="majorHAnsi" w:hAnsiTheme="majorHAnsi"/>
          <w:i/>
          <w:lang w:val="lv-LV"/>
        </w:rPr>
        <w:t>ums CSP sagatavotajā datu bāzē.</w:t>
      </w:r>
    </w:p>
    <w:p w:rsidR="008B686D" w:rsidRPr="0019406C" w:rsidRDefault="008B686D" w:rsidP="00233E28">
      <w:pPr>
        <w:spacing w:line="276" w:lineRule="auto"/>
        <w:jc w:val="both"/>
        <w:rPr>
          <w:rFonts w:asciiTheme="majorHAnsi" w:hAnsiTheme="majorHAnsi"/>
          <w:i/>
          <w:lang w:val="lv-LV"/>
        </w:rPr>
      </w:pPr>
    </w:p>
    <w:p w:rsidR="004C51AE" w:rsidRPr="0019406C" w:rsidRDefault="004C51AE" w:rsidP="008637A6">
      <w:pPr>
        <w:pStyle w:val="BodyText"/>
        <w:rPr>
          <w:rFonts w:asciiTheme="majorHAnsi" w:hAnsiTheme="majorHAnsi"/>
          <w:b/>
          <w:sz w:val="22"/>
          <w:lang w:val="lv-LV"/>
        </w:rPr>
      </w:pPr>
      <w:r w:rsidRPr="0019406C">
        <w:rPr>
          <w:rFonts w:asciiTheme="majorHAnsi" w:hAnsiTheme="majorHAnsi"/>
          <w:b/>
          <w:sz w:val="22"/>
          <w:lang w:val="lv-LV"/>
        </w:rPr>
        <w:t xml:space="preserve">Aptaujāto uzņēmumu (sasniegtās izlases) raksturojums </w:t>
      </w:r>
      <w:bookmarkEnd w:id="37"/>
    </w:p>
    <w:p w:rsidR="004C51AE" w:rsidRPr="0019406C" w:rsidRDefault="004C51AE" w:rsidP="00031E71">
      <w:pPr>
        <w:spacing w:line="276" w:lineRule="auto"/>
        <w:jc w:val="both"/>
        <w:rPr>
          <w:rFonts w:asciiTheme="majorHAnsi" w:hAnsiTheme="majorHAnsi"/>
          <w:bCs/>
          <w:lang w:val="lv-LV"/>
        </w:rPr>
      </w:pPr>
      <w:r w:rsidRPr="0019406C">
        <w:rPr>
          <w:rFonts w:asciiTheme="majorHAnsi" w:hAnsiTheme="majorHAnsi"/>
          <w:bCs/>
          <w:lang w:val="lv-LV"/>
        </w:rPr>
        <w:t xml:space="preserve">Aptaujā kopumā tika veiktas </w:t>
      </w:r>
      <w:r w:rsidR="00272122" w:rsidRPr="0019406C">
        <w:rPr>
          <w:rFonts w:asciiTheme="majorHAnsi" w:hAnsiTheme="majorHAnsi"/>
          <w:bCs/>
          <w:lang w:val="lv-LV"/>
        </w:rPr>
        <w:t>734</w:t>
      </w:r>
      <w:r w:rsidRPr="0019406C">
        <w:rPr>
          <w:rFonts w:asciiTheme="majorHAnsi" w:hAnsiTheme="majorHAnsi"/>
          <w:bCs/>
          <w:lang w:val="lv-LV"/>
        </w:rPr>
        <w:t xml:space="preserve"> sekmīgas intervijas. Tabulā norādīts respondentu skaits sasniegtajā izlasē sadalījumā pa stratifikācijas pazīmēm, kā arī šo respondentu procentuālais sadalījums pa </w:t>
      </w:r>
      <w:proofErr w:type="spellStart"/>
      <w:r w:rsidRPr="0019406C">
        <w:rPr>
          <w:rFonts w:asciiTheme="majorHAnsi" w:hAnsiTheme="majorHAnsi"/>
          <w:bCs/>
          <w:lang w:val="lv-LV"/>
        </w:rPr>
        <w:t>stratām</w:t>
      </w:r>
      <w:proofErr w:type="spellEnd"/>
      <w:r w:rsidRPr="0019406C">
        <w:rPr>
          <w:rFonts w:asciiTheme="majorHAnsi" w:hAnsiTheme="majorHAnsi"/>
          <w:bCs/>
          <w:lang w:val="lv-LV"/>
        </w:rPr>
        <w:t xml:space="preserve"> pirms un pēc datu svēršanas.</w:t>
      </w:r>
    </w:p>
    <w:p w:rsidR="00127A59" w:rsidRPr="0019406C" w:rsidRDefault="00133318" w:rsidP="00031E71">
      <w:pPr>
        <w:spacing w:line="276" w:lineRule="auto"/>
        <w:jc w:val="both"/>
        <w:rPr>
          <w:rFonts w:asciiTheme="majorHAnsi" w:hAnsiTheme="majorHAnsi"/>
          <w:bCs/>
          <w:lang w:val="lv-LV"/>
        </w:rPr>
      </w:pPr>
      <w:r w:rsidRPr="0019406C">
        <w:rPr>
          <w:rFonts w:asciiTheme="majorHAnsi" w:hAnsiTheme="majorHAnsi"/>
          <w:bCs/>
          <w:lang w:val="lv-LV"/>
        </w:rPr>
        <w:t>Datu svēršanā tika izmantots LR Centrālās Statistiskas pārvaldes sniegtais reālais statistiskais uzņēmumu sadalījums pēc visiem pētījuma izlases prasībās izvirzītajiem uzņēmumu atlases kritērijiem – pamatdarbības veida, lieluma, reģiona, apdzīvotās vietas tipa, dibināšanas gada, juridiskās formas, eksporta. Ņemot vērā to, ka sasniegtās izlases dažādās grupās pārstāvēto uzņēmumu skaita nobīdes no statistikas atšķiras dažādos vi</w:t>
      </w:r>
      <w:r w:rsidR="0072729F">
        <w:rPr>
          <w:rFonts w:asciiTheme="majorHAnsi" w:hAnsiTheme="majorHAnsi"/>
          <w:bCs/>
          <w:lang w:val="lv-LV"/>
        </w:rPr>
        <w:t>rzienos, dažādās pakāpēs, svēršana</w:t>
      </w:r>
      <w:r w:rsidRPr="0019406C">
        <w:rPr>
          <w:rFonts w:asciiTheme="majorHAnsi" w:hAnsiTheme="majorHAnsi"/>
          <w:bCs/>
          <w:lang w:val="lv-LV"/>
        </w:rPr>
        <w:t xml:space="preserve">s procesā nav iespējams panākt 100%  atbilstību </w:t>
      </w:r>
      <w:r w:rsidR="0072729F" w:rsidRPr="0019406C">
        <w:rPr>
          <w:rFonts w:asciiTheme="majorHAnsi" w:hAnsiTheme="majorHAnsi"/>
          <w:bCs/>
          <w:lang w:val="lv-LV"/>
        </w:rPr>
        <w:t>statistikai</w:t>
      </w:r>
      <w:r w:rsidRPr="0019406C">
        <w:rPr>
          <w:rFonts w:asciiTheme="majorHAnsi" w:hAnsiTheme="majorHAnsi"/>
          <w:bCs/>
          <w:lang w:val="lv-LV"/>
        </w:rPr>
        <w:t xml:space="preserve"> vienlaicīgi visos </w:t>
      </w:r>
      <w:r w:rsidRPr="0019406C">
        <w:rPr>
          <w:rFonts w:asciiTheme="majorHAnsi" w:hAnsiTheme="majorHAnsi"/>
          <w:bCs/>
          <w:lang w:val="lv-LV"/>
        </w:rPr>
        <w:lastRenderedPageBreak/>
        <w:t xml:space="preserve">parametros. Tika aprēķināti vairāki svēršanas modeļi, no kuriem tika izvēlēts statistika līdzsvarotākais modelis, kas ir </w:t>
      </w:r>
      <w:r w:rsidR="0072729F" w:rsidRPr="0019406C">
        <w:rPr>
          <w:rFonts w:asciiTheme="majorHAnsi" w:hAnsiTheme="majorHAnsi"/>
          <w:bCs/>
          <w:lang w:val="lv-LV"/>
        </w:rPr>
        <w:t>atspoguļots</w:t>
      </w:r>
      <w:r w:rsidR="008B686D" w:rsidRPr="0019406C">
        <w:rPr>
          <w:rFonts w:asciiTheme="majorHAnsi" w:hAnsiTheme="majorHAnsi"/>
          <w:bCs/>
          <w:lang w:val="lv-LV"/>
        </w:rPr>
        <w:t xml:space="preserve"> tālāk sekojošajā tabulā.</w:t>
      </w:r>
    </w:p>
    <w:p w:rsidR="00AE7B4A" w:rsidRPr="0019406C" w:rsidRDefault="00AE7B4A" w:rsidP="00AE7B4A">
      <w:pPr>
        <w:pStyle w:val="Caption"/>
        <w:keepNext/>
        <w:rPr>
          <w:sz w:val="16"/>
          <w:lang w:val="lv-LV"/>
        </w:rPr>
      </w:pPr>
      <w:bookmarkStart w:id="38" w:name="_Toc389225076"/>
      <w:r w:rsidRPr="0019406C">
        <w:rPr>
          <w:sz w:val="16"/>
          <w:lang w:val="lv-LV"/>
        </w:rPr>
        <w:t xml:space="preserve">Tabula </w:t>
      </w:r>
      <w:r w:rsidRPr="0019406C">
        <w:rPr>
          <w:sz w:val="16"/>
          <w:lang w:val="lv-LV"/>
        </w:rPr>
        <w:fldChar w:fldCharType="begin"/>
      </w:r>
      <w:r w:rsidRPr="0019406C">
        <w:rPr>
          <w:sz w:val="16"/>
          <w:lang w:val="lv-LV"/>
        </w:rPr>
        <w:instrText xml:space="preserve"> SEQ Tabula \* ARABIC </w:instrText>
      </w:r>
      <w:r w:rsidRPr="0019406C">
        <w:rPr>
          <w:sz w:val="16"/>
          <w:lang w:val="lv-LV"/>
        </w:rPr>
        <w:fldChar w:fldCharType="separate"/>
      </w:r>
      <w:r w:rsidR="00410806" w:rsidRPr="0019406C">
        <w:rPr>
          <w:noProof/>
          <w:sz w:val="16"/>
          <w:lang w:val="lv-LV"/>
        </w:rPr>
        <w:t>2</w:t>
      </w:r>
      <w:r w:rsidRPr="0019406C">
        <w:rPr>
          <w:sz w:val="16"/>
          <w:lang w:val="lv-LV"/>
        </w:rPr>
        <w:fldChar w:fldCharType="end"/>
      </w:r>
      <w:r w:rsidRPr="0019406C">
        <w:rPr>
          <w:sz w:val="16"/>
          <w:lang w:val="lv-LV"/>
        </w:rPr>
        <w:t xml:space="preserve"> Sasniegtās izlases raksturojums</w:t>
      </w:r>
      <w:bookmarkEnd w:id="38"/>
    </w:p>
    <w:tbl>
      <w:tblPr>
        <w:tblStyle w:val="LightList-Accent11"/>
        <w:tblW w:w="5000" w:type="pct"/>
        <w:tblLayout w:type="fixed"/>
        <w:tblLook w:val="00A0" w:firstRow="1" w:lastRow="0" w:firstColumn="1" w:lastColumn="0" w:noHBand="0" w:noVBand="0"/>
      </w:tblPr>
      <w:tblGrid>
        <w:gridCol w:w="3794"/>
        <w:gridCol w:w="1276"/>
        <w:gridCol w:w="1558"/>
        <w:gridCol w:w="1720"/>
        <w:gridCol w:w="1732"/>
      </w:tblGrid>
      <w:tr w:rsidR="00151092" w:rsidRPr="0019406C" w:rsidTr="00A9489E">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82" w:type="pct"/>
            <w:vMerge w:val="restart"/>
            <w:noWrap/>
          </w:tcPr>
          <w:p w:rsidR="004C51AE" w:rsidRPr="00863589" w:rsidRDefault="004C51AE" w:rsidP="00410E0A">
            <w:pPr>
              <w:spacing w:before="60" w:after="40"/>
              <w:rPr>
                <w:rFonts w:asciiTheme="majorHAnsi" w:hAnsiTheme="majorHAnsi"/>
                <w:lang w:val="lv-LV" w:eastAsia="lv-LV"/>
              </w:rPr>
            </w:pPr>
            <w:proofErr w:type="spellStart"/>
            <w:r w:rsidRPr="00863589">
              <w:rPr>
                <w:rFonts w:asciiTheme="majorHAnsi" w:hAnsiTheme="majorHAnsi"/>
                <w:lang w:val="lv-LV" w:eastAsia="lv-LV"/>
              </w:rPr>
              <w:t>Stratas</w:t>
            </w:r>
            <w:proofErr w:type="spellEnd"/>
          </w:p>
        </w:tc>
        <w:tc>
          <w:tcPr>
            <w:cnfStyle w:val="000010000000" w:firstRow="0" w:lastRow="0" w:firstColumn="0" w:lastColumn="0" w:oddVBand="1" w:evenVBand="0" w:oddHBand="0" w:evenHBand="0" w:firstRowFirstColumn="0" w:firstRowLastColumn="0" w:lastRowFirstColumn="0" w:lastRowLastColumn="0"/>
            <w:tcW w:w="633" w:type="pct"/>
          </w:tcPr>
          <w:p w:rsidR="004C51AE" w:rsidRPr="00863589" w:rsidRDefault="004C51AE" w:rsidP="00410E0A">
            <w:pPr>
              <w:spacing w:before="60" w:after="40"/>
              <w:jc w:val="center"/>
              <w:rPr>
                <w:rFonts w:asciiTheme="majorHAnsi" w:hAnsiTheme="majorHAnsi"/>
                <w:lang w:val="lv-LV" w:eastAsia="lv-LV"/>
              </w:rPr>
            </w:pPr>
            <w:r w:rsidRPr="00863589">
              <w:rPr>
                <w:rFonts w:asciiTheme="majorHAnsi" w:hAnsiTheme="majorHAnsi"/>
                <w:lang w:val="lv-LV" w:eastAsia="lv-LV"/>
              </w:rPr>
              <w:t>Statistika*</w:t>
            </w:r>
          </w:p>
        </w:tc>
        <w:tc>
          <w:tcPr>
            <w:tcW w:w="2485" w:type="pct"/>
            <w:gridSpan w:val="3"/>
          </w:tcPr>
          <w:p w:rsidR="004C51AE" w:rsidRPr="00863589" w:rsidRDefault="004C51AE" w:rsidP="00410E0A">
            <w:pPr>
              <w:spacing w:before="60" w:after="4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lang w:val="lv-LV" w:eastAsia="lv-LV"/>
              </w:rPr>
            </w:pPr>
            <w:r w:rsidRPr="00863589">
              <w:rPr>
                <w:rFonts w:asciiTheme="majorHAnsi" w:hAnsiTheme="majorHAnsi"/>
                <w:lang w:val="lv-LV" w:eastAsia="lv-LV"/>
              </w:rPr>
              <w:t>Sasniegtā izlase</w:t>
            </w:r>
          </w:p>
        </w:tc>
      </w:tr>
      <w:tr w:rsidR="00151092" w:rsidRPr="0019406C" w:rsidTr="00A9489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82" w:type="pct"/>
            <w:vMerge/>
          </w:tcPr>
          <w:p w:rsidR="004C51AE" w:rsidRPr="00863589" w:rsidRDefault="004C51AE" w:rsidP="00410E0A">
            <w:pPr>
              <w:spacing w:before="60" w:after="40"/>
              <w:rPr>
                <w:rFonts w:asciiTheme="majorHAnsi" w:hAnsiTheme="majorHAnsi"/>
                <w:color w:val="FFFFFF" w:themeColor="background1"/>
                <w:lang w:val="lv-LV" w:eastAsia="lv-LV"/>
              </w:rPr>
            </w:pPr>
          </w:p>
        </w:tc>
        <w:tc>
          <w:tcPr>
            <w:cnfStyle w:val="000010000000" w:firstRow="0" w:lastRow="0" w:firstColumn="0" w:lastColumn="0" w:oddVBand="1" w:evenVBand="0" w:oddHBand="0" w:evenHBand="0" w:firstRowFirstColumn="0" w:firstRowLastColumn="0" w:lastRowFirstColumn="0" w:lastRowLastColumn="0"/>
            <w:tcW w:w="633" w:type="pct"/>
            <w:shd w:val="clear" w:color="auto" w:fill="DC6900" w:themeFill="accent1"/>
          </w:tcPr>
          <w:p w:rsidR="004C51AE" w:rsidRPr="00863589" w:rsidRDefault="004C51AE" w:rsidP="00410E0A">
            <w:pPr>
              <w:spacing w:before="60" w:after="40"/>
              <w:jc w:val="center"/>
              <w:rPr>
                <w:rFonts w:asciiTheme="majorHAnsi" w:hAnsiTheme="majorHAnsi"/>
                <w:color w:val="FFFFFF" w:themeColor="background1"/>
                <w:lang w:val="lv-LV" w:eastAsia="lv-LV"/>
              </w:rPr>
            </w:pPr>
            <w:r w:rsidRPr="00863589">
              <w:rPr>
                <w:rFonts w:asciiTheme="majorHAnsi" w:hAnsiTheme="majorHAnsi"/>
                <w:color w:val="FFFFFF" w:themeColor="background1"/>
                <w:lang w:val="lv-LV" w:eastAsia="lv-LV"/>
              </w:rPr>
              <w:t>%</w:t>
            </w:r>
          </w:p>
        </w:tc>
        <w:tc>
          <w:tcPr>
            <w:tcW w:w="773" w:type="pct"/>
            <w:shd w:val="clear" w:color="auto" w:fill="DC6900" w:themeFill="accent1"/>
          </w:tcPr>
          <w:p w:rsidR="004C51AE" w:rsidRPr="00863589" w:rsidRDefault="004C51AE" w:rsidP="00410E0A">
            <w:pPr>
              <w:spacing w:before="60" w:after="4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olor w:val="FFFFFF" w:themeColor="background1"/>
                <w:lang w:val="lv-LV" w:eastAsia="lv-LV"/>
              </w:rPr>
            </w:pPr>
            <w:r w:rsidRPr="00863589">
              <w:rPr>
                <w:rFonts w:asciiTheme="majorHAnsi" w:hAnsiTheme="majorHAnsi"/>
                <w:color w:val="FFFFFF" w:themeColor="background1"/>
                <w:lang w:val="lv-LV" w:eastAsia="lv-LV"/>
              </w:rPr>
              <w:t>Respondentu skaits (nesvērts)</w:t>
            </w:r>
          </w:p>
        </w:tc>
        <w:tc>
          <w:tcPr>
            <w:cnfStyle w:val="000010000000" w:firstRow="0" w:lastRow="0" w:firstColumn="0" w:lastColumn="0" w:oddVBand="1" w:evenVBand="0" w:oddHBand="0" w:evenHBand="0" w:firstRowFirstColumn="0" w:firstRowLastColumn="0" w:lastRowFirstColumn="0" w:lastRowLastColumn="0"/>
            <w:tcW w:w="853" w:type="pct"/>
            <w:shd w:val="clear" w:color="auto" w:fill="DC6900" w:themeFill="accent1"/>
          </w:tcPr>
          <w:p w:rsidR="004C51AE" w:rsidRPr="00863589" w:rsidRDefault="004C51AE" w:rsidP="00410E0A">
            <w:pPr>
              <w:spacing w:before="60" w:after="40"/>
              <w:jc w:val="center"/>
              <w:rPr>
                <w:rFonts w:asciiTheme="majorHAnsi" w:hAnsiTheme="majorHAnsi"/>
                <w:color w:val="FFFFFF" w:themeColor="background1"/>
                <w:lang w:val="lv-LV" w:eastAsia="lv-LV"/>
              </w:rPr>
            </w:pPr>
            <w:proofErr w:type="spellStart"/>
            <w:r w:rsidRPr="00863589">
              <w:rPr>
                <w:rFonts w:asciiTheme="majorHAnsi" w:hAnsiTheme="majorHAnsi"/>
                <w:color w:val="FFFFFF" w:themeColor="background1"/>
                <w:lang w:val="lv-LV" w:eastAsia="lv-LV"/>
              </w:rPr>
              <w:t>Stratas</w:t>
            </w:r>
            <w:proofErr w:type="spellEnd"/>
            <w:r w:rsidRPr="00863589">
              <w:rPr>
                <w:rFonts w:asciiTheme="majorHAnsi" w:hAnsiTheme="majorHAnsi"/>
                <w:color w:val="FFFFFF" w:themeColor="background1"/>
                <w:lang w:val="lv-LV" w:eastAsia="lv-LV"/>
              </w:rPr>
              <w:t xml:space="preserve"> īpatsvars pirms svēršanas, %</w:t>
            </w:r>
          </w:p>
        </w:tc>
        <w:tc>
          <w:tcPr>
            <w:tcW w:w="859" w:type="pct"/>
            <w:shd w:val="clear" w:color="auto" w:fill="DC6900" w:themeFill="accent1"/>
            <w:noWrap/>
          </w:tcPr>
          <w:p w:rsidR="004C51AE" w:rsidRPr="00863589" w:rsidRDefault="004C51AE" w:rsidP="00410E0A">
            <w:pPr>
              <w:spacing w:before="60" w:after="4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olor w:val="FFFFFF" w:themeColor="background1"/>
                <w:lang w:val="lv-LV" w:eastAsia="lv-LV"/>
              </w:rPr>
            </w:pPr>
            <w:proofErr w:type="spellStart"/>
            <w:r w:rsidRPr="00863589">
              <w:rPr>
                <w:rFonts w:asciiTheme="majorHAnsi" w:hAnsiTheme="majorHAnsi"/>
                <w:color w:val="FFFFFF" w:themeColor="background1"/>
                <w:lang w:val="lv-LV" w:eastAsia="lv-LV"/>
              </w:rPr>
              <w:t>Stratas</w:t>
            </w:r>
            <w:proofErr w:type="spellEnd"/>
            <w:r w:rsidRPr="00863589">
              <w:rPr>
                <w:rFonts w:asciiTheme="majorHAnsi" w:hAnsiTheme="majorHAnsi"/>
                <w:color w:val="FFFFFF" w:themeColor="background1"/>
                <w:lang w:val="lv-LV" w:eastAsia="lv-LV"/>
              </w:rPr>
              <w:t xml:space="preserve"> īpatsvars pēc svēršanas, %</w:t>
            </w:r>
          </w:p>
        </w:tc>
      </w:tr>
      <w:tr w:rsidR="00151092" w:rsidRPr="0019406C" w:rsidTr="00A9489E">
        <w:trPr>
          <w:trHeight w:val="20"/>
        </w:trPr>
        <w:tc>
          <w:tcPr>
            <w:cnfStyle w:val="001000000000" w:firstRow="0" w:lastRow="0" w:firstColumn="1" w:lastColumn="0" w:oddVBand="0" w:evenVBand="0" w:oddHBand="0" w:evenHBand="0" w:firstRowFirstColumn="0" w:firstRowLastColumn="0" w:lastRowFirstColumn="0" w:lastRowLastColumn="0"/>
            <w:tcW w:w="1882" w:type="pct"/>
            <w:shd w:val="clear" w:color="auto" w:fill="FFE0C5" w:themeFill="accent1" w:themeFillTint="33"/>
            <w:noWrap/>
          </w:tcPr>
          <w:p w:rsidR="004C51AE" w:rsidRPr="0019406C" w:rsidRDefault="004C51AE" w:rsidP="00410E0A">
            <w:pPr>
              <w:spacing w:before="60" w:after="40"/>
              <w:rPr>
                <w:rFonts w:asciiTheme="majorHAnsi" w:hAnsiTheme="majorHAnsi"/>
                <w:b w:val="0"/>
                <w:i/>
                <w:color w:val="000000"/>
                <w:lang w:val="lv-LV" w:eastAsia="lv-LV"/>
              </w:rPr>
            </w:pPr>
            <w:r w:rsidRPr="0019406C">
              <w:rPr>
                <w:rFonts w:asciiTheme="majorHAnsi" w:hAnsiTheme="majorHAnsi"/>
                <w:i/>
                <w:color w:val="000000"/>
                <w:lang w:val="lv-LV" w:eastAsia="lv-LV"/>
              </w:rPr>
              <w:t>Pamatdarbības veids</w:t>
            </w:r>
          </w:p>
        </w:tc>
        <w:tc>
          <w:tcPr>
            <w:cnfStyle w:val="000010000000" w:firstRow="0" w:lastRow="0" w:firstColumn="0" w:lastColumn="0" w:oddVBand="1" w:evenVBand="0" w:oddHBand="0" w:evenHBand="0" w:firstRowFirstColumn="0" w:firstRowLastColumn="0" w:lastRowFirstColumn="0" w:lastRowLastColumn="0"/>
            <w:tcW w:w="633" w:type="pct"/>
            <w:shd w:val="clear" w:color="auto" w:fill="FFE0C5" w:themeFill="accent1" w:themeFillTint="33"/>
          </w:tcPr>
          <w:p w:rsidR="004C51AE" w:rsidRPr="0019406C" w:rsidRDefault="004C51AE" w:rsidP="00410E0A">
            <w:pPr>
              <w:spacing w:before="60" w:after="40"/>
              <w:jc w:val="center"/>
              <w:rPr>
                <w:rFonts w:asciiTheme="majorHAnsi" w:hAnsiTheme="majorHAnsi"/>
                <w:b/>
                <w:i/>
                <w:color w:val="000000"/>
                <w:lang w:val="lv-LV" w:eastAsia="lv-LV"/>
              </w:rPr>
            </w:pPr>
          </w:p>
        </w:tc>
        <w:tc>
          <w:tcPr>
            <w:tcW w:w="773" w:type="pct"/>
            <w:shd w:val="clear" w:color="auto" w:fill="FFE0C5" w:themeFill="accent1" w:themeFillTint="33"/>
          </w:tcPr>
          <w:p w:rsidR="004C51AE" w:rsidRPr="0019406C" w:rsidRDefault="004C51AE" w:rsidP="00410E0A">
            <w:pPr>
              <w:spacing w:before="60" w:after="4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b/>
                <w:i/>
                <w:color w:val="000000"/>
                <w:lang w:val="lv-LV" w:eastAsia="lv-LV"/>
              </w:rPr>
            </w:pPr>
          </w:p>
        </w:tc>
        <w:tc>
          <w:tcPr>
            <w:cnfStyle w:val="000010000000" w:firstRow="0" w:lastRow="0" w:firstColumn="0" w:lastColumn="0" w:oddVBand="1" w:evenVBand="0" w:oddHBand="0" w:evenHBand="0" w:firstRowFirstColumn="0" w:firstRowLastColumn="0" w:lastRowFirstColumn="0" w:lastRowLastColumn="0"/>
            <w:tcW w:w="853" w:type="pct"/>
            <w:shd w:val="clear" w:color="auto" w:fill="FFE0C5" w:themeFill="accent1" w:themeFillTint="33"/>
          </w:tcPr>
          <w:p w:rsidR="004C51AE" w:rsidRPr="0019406C" w:rsidRDefault="004C51AE" w:rsidP="00410E0A">
            <w:pPr>
              <w:spacing w:before="60" w:after="40"/>
              <w:jc w:val="center"/>
              <w:rPr>
                <w:rFonts w:asciiTheme="majorHAnsi" w:hAnsiTheme="majorHAnsi"/>
                <w:b/>
                <w:i/>
                <w:color w:val="000000"/>
                <w:lang w:val="lv-LV" w:eastAsia="lv-LV"/>
              </w:rPr>
            </w:pPr>
          </w:p>
        </w:tc>
        <w:tc>
          <w:tcPr>
            <w:tcW w:w="859" w:type="pct"/>
            <w:shd w:val="clear" w:color="auto" w:fill="FFE0C5" w:themeFill="accent1" w:themeFillTint="33"/>
            <w:noWrap/>
          </w:tcPr>
          <w:p w:rsidR="004C51AE" w:rsidRPr="0019406C" w:rsidRDefault="004C51AE" w:rsidP="00410E0A">
            <w:pPr>
              <w:spacing w:before="60" w:after="4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b/>
                <w:i/>
                <w:color w:val="000000"/>
                <w:lang w:val="lv-LV" w:eastAsia="lv-LV"/>
              </w:rPr>
            </w:pPr>
          </w:p>
        </w:tc>
      </w:tr>
      <w:tr w:rsidR="00272122" w:rsidRPr="0019406C" w:rsidTr="00A9489E">
        <w:trPr>
          <w:cnfStyle w:val="000000100000" w:firstRow="0" w:lastRow="0" w:firstColumn="0" w:lastColumn="0" w:oddVBand="0" w:evenVBand="0" w:oddHBand="1" w:evenHBand="0" w:firstRowFirstColumn="0" w:firstRowLastColumn="0" w:lastRowFirstColumn="0" w:lastRowLastColumn="0"/>
          <w:trHeight w:val="187"/>
        </w:trPr>
        <w:tc>
          <w:tcPr>
            <w:cnfStyle w:val="001000000000" w:firstRow="0" w:lastRow="0" w:firstColumn="1" w:lastColumn="0" w:oddVBand="0" w:evenVBand="0" w:oddHBand="0" w:evenHBand="0" w:firstRowFirstColumn="0" w:firstRowLastColumn="0" w:lastRowFirstColumn="0" w:lastRowLastColumn="0"/>
            <w:tcW w:w="1882" w:type="pct"/>
            <w:noWrap/>
            <w:vAlign w:val="bottom"/>
          </w:tcPr>
          <w:p w:rsidR="00272122" w:rsidRPr="0019406C" w:rsidRDefault="00272122" w:rsidP="00272122">
            <w:pPr>
              <w:spacing w:before="20"/>
              <w:rPr>
                <w:color w:val="000000"/>
                <w:lang w:val="lv-LV" w:eastAsia="lv-LV"/>
              </w:rPr>
            </w:pPr>
            <w:r w:rsidRPr="0019406C">
              <w:rPr>
                <w:color w:val="000000"/>
                <w:lang w:val="lv-LV" w:eastAsia="lv-LV"/>
              </w:rPr>
              <w:t>1  Ražošanas un rūpniecības</w:t>
            </w:r>
          </w:p>
        </w:tc>
        <w:tc>
          <w:tcPr>
            <w:cnfStyle w:val="000010000000" w:firstRow="0" w:lastRow="0" w:firstColumn="0" w:lastColumn="0" w:oddVBand="1" w:evenVBand="0" w:oddHBand="0" w:evenHBand="0" w:firstRowFirstColumn="0" w:firstRowLastColumn="0" w:lastRowFirstColumn="0" w:lastRowLastColumn="0"/>
            <w:tcW w:w="633" w:type="pct"/>
            <w:vAlign w:val="center"/>
          </w:tcPr>
          <w:p w:rsidR="00272122" w:rsidRPr="0019406C" w:rsidRDefault="00272122" w:rsidP="00272122">
            <w:pPr>
              <w:spacing w:before="20"/>
              <w:jc w:val="center"/>
              <w:rPr>
                <w:color w:val="000000"/>
                <w:lang w:val="lv-LV" w:eastAsia="lv-LV"/>
              </w:rPr>
            </w:pPr>
            <w:r w:rsidRPr="0019406C">
              <w:rPr>
                <w:color w:val="000000"/>
                <w:lang w:val="lv-LV" w:eastAsia="lv-LV"/>
              </w:rPr>
              <w:t>14</w:t>
            </w:r>
          </w:p>
        </w:tc>
        <w:tc>
          <w:tcPr>
            <w:tcW w:w="773" w:type="pct"/>
            <w:vAlign w:val="center"/>
          </w:tcPr>
          <w:p w:rsidR="00272122" w:rsidRPr="0019406C" w:rsidRDefault="00272122" w:rsidP="00272122">
            <w:pPr>
              <w:spacing w:before="20"/>
              <w:jc w:val="center"/>
              <w:cnfStyle w:val="000000100000" w:firstRow="0" w:lastRow="0" w:firstColumn="0" w:lastColumn="0" w:oddVBand="0" w:evenVBand="0" w:oddHBand="1" w:evenHBand="0" w:firstRowFirstColumn="0" w:firstRowLastColumn="0" w:lastRowFirstColumn="0" w:lastRowLastColumn="0"/>
              <w:rPr>
                <w:color w:val="000000"/>
                <w:lang w:val="lv-LV"/>
              </w:rPr>
            </w:pPr>
            <w:r w:rsidRPr="0019406C">
              <w:rPr>
                <w:color w:val="000000"/>
                <w:lang w:val="lv-LV"/>
              </w:rPr>
              <w:t>153</w:t>
            </w:r>
          </w:p>
        </w:tc>
        <w:tc>
          <w:tcPr>
            <w:cnfStyle w:val="000010000000" w:firstRow="0" w:lastRow="0" w:firstColumn="0" w:lastColumn="0" w:oddVBand="1" w:evenVBand="0" w:oddHBand="0" w:evenHBand="0" w:firstRowFirstColumn="0" w:firstRowLastColumn="0" w:lastRowFirstColumn="0" w:lastRowLastColumn="0"/>
            <w:tcW w:w="853" w:type="pct"/>
            <w:vAlign w:val="center"/>
          </w:tcPr>
          <w:p w:rsidR="00272122" w:rsidRPr="0019406C" w:rsidRDefault="00272122" w:rsidP="00272122">
            <w:pPr>
              <w:spacing w:before="20"/>
              <w:jc w:val="center"/>
              <w:rPr>
                <w:color w:val="000000"/>
                <w:lang w:val="lv-LV"/>
              </w:rPr>
            </w:pPr>
            <w:r w:rsidRPr="0019406C">
              <w:rPr>
                <w:color w:val="000000"/>
                <w:lang w:val="lv-LV"/>
              </w:rPr>
              <w:t>20</w:t>
            </w:r>
            <w:r w:rsidR="007B41BD" w:rsidRPr="0019406C">
              <w:rPr>
                <w:color w:val="000000"/>
                <w:lang w:val="lv-LV"/>
              </w:rPr>
              <w:t>,</w:t>
            </w:r>
            <w:r w:rsidRPr="0019406C">
              <w:rPr>
                <w:color w:val="000000"/>
                <w:lang w:val="lv-LV"/>
              </w:rPr>
              <w:t>8</w:t>
            </w:r>
          </w:p>
        </w:tc>
        <w:tc>
          <w:tcPr>
            <w:tcW w:w="859" w:type="pct"/>
            <w:noWrap/>
            <w:vAlign w:val="center"/>
          </w:tcPr>
          <w:p w:rsidR="00272122" w:rsidRPr="0019406C" w:rsidRDefault="00272122" w:rsidP="00272122">
            <w:pPr>
              <w:spacing w:before="20"/>
              <w:jc w:val="center"/>
              <w:cnfStyle w:val="000000100000" w:firstRow="0" w:lastRow="0" w:firstColumn="0" w:lastColumn="0" w:oddVBand="0" w:evenVBand="0" w:oddHBand="1" w:evenHBand="0" w:firstRowFirstColumn="0" w:firstRowLastColumn="0" w:lastRowFirstColumn="0" w:lastRowLastColumn="0"/>
              <w:rPr>
                <w:color w:val="000000"/>
                <w:lang w:val="lv-LV" w:eastAsia="lv-LV"/>
              </w:rPr>
            </w:pPr>
            <w:r w:rsidRPr="0019406C">
              <w:rPr>
                <w:color w:val="000000"/>
                <w:lang w:val="lv-LV" w:eastAsia="lv-LV"/>
              </w:rPr>
              <w:t>13</w:t>
            </w:r>
            <w:r w:rsidR="007B41BD" w:rsidRPr="0019406C">
              <w:rPr>
                <w:color w:val="000000"/>
                <w:lang w:val="lv-LV" w:eastAsia="lv-LV"/>
              </w:rPr>
              <w:t>,</w:t>
            </w:r>
            <w:r w:rsidRPr="0019406C">
              <w:rPr>
                <w:color w:val="000000"/>
                <w:lang w:val="lv-LV" w:eastAsia="lv-LV"/>
              </w:rPr>
              <w:t>2</w:t>
            </w:r>
          </w:p>
        </w:tc>
      </w:tr>
      <w:tr w:rsidR="00272122" w:rsidRPr="0019406C" w:rsidTr="00A9489E">
        <w:trPr>
          <w:trHeight w:val="305"/>
        </w:trPr>
        <w:tc>
          <w:tcPr>
            <w:cnfStyle w:val="001000000000" w:firstRow="0" w:lastRow="0" w:firstColumn="1" w:lastColumn="0" w:oddVBand="0" w:evenVBand="0" w:oddHBand="0" w:evenHBand="0" w:firstRowFirstColumn="0" w:firstRowLastColumn="0" w:lastRowFirstColumn="0" w:lastRowLastColumn="0"/>
            <w:tcW w:w="1882" w:type="pct"/>
            <w:noWrap/>
            <w:vAlign w:val="bottom"/>
          </w:tcPr>
          <w:p w:rsidR="00272122" w:rsidRPr="0019406C" w:rsidRDefault="00272122" w:rsidP="00272122">
            <w:pPr>
              <w:spacing w:before="20"/>
              <w:rPr>
                <w:color w:val="000000"/>
                <w:lang w:val="lv-LV" w:eastAsia="lv-LV"/>
              </w:rPr>
            </w:pPr>
            <w:r w:rsidRPr="0019406C">
              <w:rPr>
                <w:color w:val="000000"/>
                <w:lang w:val="lv-LV" w:eastAsia="lv-LV"/>
              </w:rPr>
              <w:t>2  Tirdzniecības</w:t>
            </w:r>
          </w:p>
        </w:tc>
        <w:tc>
          <w:tcPr>
            <w:cnfStyle w:val="000010000000" w:firstRow="0" w:lastRow="0" w:firstColumn="0" w:lastColumn="0" w:oddVBand="1" w:evenVBand="0" w:oddHBand="0" w:evenHBand="0" w:firstRowFirstColumn="0" w:firstRowLastColumn="0" w:lastRowFirstColumn="0" w:lastRowLastColumn="0"/>
            <w:tcW w:w="633" w:type="pct"/>
            <w:vAlign w:val="center"/>
          </w:tcPr>
          <w:p w:rsidR="00272122" w:rsidRPr="0019406C" w:rsidRDefault="00272122" w:rsidP="00272122">
            <w:pPr>
              <w:spacing w:before="20"/>
              <w:jc w:val="center"/>
              <w:rPr>
                <w:color w:val="000000"/>
                <w:lang w:val="lv-LV" w:eastAsia="lv-LV"/>
              </w:rPr>
            </w:pPr>
            <w:r w:rsidRPr="0019406C">
              <w:rPr>
                <w:color w:val="000000"/>
                <w:lang w:val="lv-LV" w:eastAsia="lv-LV"/>
              </w:rPr>
              <w:t>28</w:t>
            </w:r>
          </w:p>
        </w:tc>
        <w:tc>
          <w:tcPr>
            <w:tcW w:w="773" w:type="pct"/>
            <w:vAlign w:val="center"/>
          </w:tcPr>
          <w:p w:rsidR="00272122" w:rsidRPr="0019406C" w:rsidRDefault="00272122" w:rsidP="00272122">
            <w:pPr>
              <w:spacing w:before="20"/>
              <w:jc w:val="center"/>
              <w:cnfStyle w:val="000000000000" w:firstRow="0" w:lastRow="0" w:firstColumn="0" w:lastColumn="0" w:oddVBand="0" w:evenVBand="0" w:oddHBand="0" w:evenHBand="0" w:firstRowFirstColumn="0" w:firstRowLastColumn="0" w:lastRowFirstColumn="0" w:lastRowLastColumn="0"/>
              <w:rPr>
                <w:color w:val="000000"/>
                <w:lang w:val="lv-LV"/>
              </w:rPr>
            </w:pPr>
            <w:r w:rsidRPr="0019406C">
              <w:rPr>
                <w:color w:val="000000"/>
                <w:lang w:val="lv-LV"/>
              </w:rPr>
              <w:t>160</w:t>
            </w:r>
          </w:p>
        </w:tc>
        <w:tc>
          <w:tcPr>
            <w:cnfStyle w:val="000010000000" w:firstRow="0" w:lastRow="0" w:firstColumn="0" w:lastColumn="0" w:oddVBand="1" w:evenVBand="0" w:oddHBand="0" w:evenHBand="0" w:firstRowFirstColumn="0" w:firstRowLastColumn="0" w:lastRowFirstColumn="0" w:lastRowLastColumn="0"/>
            <w:tcW w:w="853" w:type="pct"/>
            <w:vAlign w:val="center"/>
          </w:tcPr>
          <w:p w:rsidR="00272122" w:rsidRPr="0019406C" w:rsidRDefault="00272122" w:rsidP="00272122">
            <w:pPr>
              <w:spacing w:before="20"/>
              <w:jc w:val="center"/>
              <w:rPr>
                <w:color w:val="000000"/>
                <w:lang w:val="lv-LV"/>
              </w:rPr>
            </w:pPr>
            <w:r w:rsidRPr="0019406C">
              <w:rPr>
                <w:color w:val="000000"/>
                <w:lang w:val="lv-LV"/>
              </w:rPr>
              <w:t>21</w:t>
            </w:r>
            <w:r w:rsidR="007B41BD" w:rsidRPr="0019406C">
              <w:rPr>
                <w:color w:val="000000"/>
                <w:lang w:val="lv-LV"/>
              </w:rPr>
              <w:t>,</w:t>
            </w:r>
            <w:r w:rsidRPr="0019406C">
              <w:rPr>
                <w:color w:val="000000"/>
                <w:lang w:val="lv-LV"/>
              </w:rPr>
              <w:t>8</w:t>
            </w:r>
          </w:p>
        </w:tc>
        <w:tc>
          <w:tcPr>
            <w:tcW w:w="859" w:type="pct"/>
            <w:noWrap/>
            <w:vAlign w:val="center"/>
          </w:tcPr>
          <w:p w:rsidR="00272122" w:rsidRPr="0019406C" w:rsidRDefault="00272122" w:rsidP="00272122">
            <w:pPr>
              <w:spacing w:before="20"/>
              <w:jc w:val="center"/>
              <w:cnfStyle w:val="000000000000" w:firstRow="0" w:lastRow="0" w:firstColumn="0" w:lastColumn="0" w:oddVBand="0" w:evenVBand="0" w:oddHBand="0" w:evenHBand="0" w:firstRowFirstColumn="0" w:firstRowLastColumn="0" w:lastRowFirstColumn="0" w:lastRowLastColumn="0"/>
              <w:rPr>
                <w:color w:val="000000"/>
                <w:lang w:val="lv-LV" w:eastAsia="lv-LV"/>
              </w:rPr>
            </w:pPr>
            <w:r w:rsidRPr="0019406C">
              <w:rPr>
                <w:color w:val="000000"/>
                <w:lang w:val="lv-LV" w:eastAsia="lv-LV"/>
              </w:rPr>
              <w:t>26</w:t>
            </w:r>
            <w:r w:rsidR="007B41BD" w:rsidRPr="0019406C">
              <w:rPr>
                <w:color w:val="000000"/>
                <w:lang w:val="lv-LV" w:eastAsia="lv-LV"/>
              </w:rPr>
              <w:t>,</w:t>
            </w:r>
            <w:r w:rsidRPr="0019406C">
              <w:rPr>
                <w:color w:val="000000"/>
                <w:lang w:val="lv-LV" w:eastAsia="lv-LV"/>
              </w:rPr>
              <w:t>5</w:t>
            </w:r>
          </w:p>
        </w:tc>
      </w:tr>
      <w:tr w:rsidR="00272122" w:rsidRPr="0019406C" w:rsidTr="00A9489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82" w:type="pct"/>
            <w:noWrap/>
            <w:vAlign w:val="bottom"/>
          </w:tcPr>
          <w:p w:rsidR="00272122" w:rsidRPr="0019406C" w:rsidRDefault="00272122" w:rsidP="00272122">
            <w:pPr>
              <w:spacing w:before="20"/>
              <w:rPr>
                <w:color w:val="000000"/>
                <w:lang w:val="lv-LV" w:eastAsia="lv-LV"/>
              </w:rPr>
            </w:pPr>
            <w:r w:rsidRPr="0019406C">
              <w:rPr>
                <w:color w:val="000000"/>
                <w:lang w:val="lv-LV" w:eastAsia="lv-LV"/>
              </w:rPr>
              <w:t>3  Pakalpojumu</w:t>
            </w:r>
          </w:p>
        </w:tc>
        <w:tc>
          <w:tcPr>
            <w:cnfStyle w:val="000010000000" w:firstRow="0" w:lastRow="0" w:firstColumn="0" w:lastColumn="0" w:oddVBand="1" w:evenVBand="0" w:oddHBand="0" w:evenHBand="0" w:firstRowFirstColumn="0" w:firstRowLastColumn="0" w:lastRowFirstColumn="0" w:lastRowLastColumn="0"/>
            <w:tcW w:w="633" w:type="pct"/>
            <w:vAlign w:val="center"/>
          </w:tcPr>
          <w:p w:rsidR="00272122" w:rsidRPr="0019406C" w:rsidRDefault="00272122" w:rsidP="00272122">
            <w:pPr>
              <w:spacing w:before="20"/>
              <w:jc w:val="center"/>
              <w:rPr>
                <w:color w:val="000000"/>
                <w:lang w:val="lv-LV" w:eastAsia="lv-LV"/>
              </w:rPr>
            </w:pPr>
            <w:r w:rsidRPr="0019406C">
              <w:rPr>
                <w:color w:val="000000"/>
                <w:lang w:val="lv-LV" w:eastAsia="lv-LV"/>
              </w:rPr>
              <w:t>50</w:t>
            </w:r>
          </w:p>
        </w:tc>
        <w:tc>
          <w:tcPr>
            <w:tcW w:w="773" w:type="pct"/>
            <w:vAlign w:val="center"/>
          </w:tcPr>
          <w:p w:rsidR="00272122" w:rsidRPr="0019406C" w:rsidRDefault="00272122" w:rsidP="00272122">
            <w:pPr>
              <w:spacing w:before="20"/>
              <w:jc w:val="center"/>
              <w:cnfStyle w:val="000000100000" w:firstRow="0" w:lastRow="0" w:firstColumn="0" w:lastColumn="0" w:oddVBand="0" w:evenVBand="0" w:oddHBand="1" w:evenHBand="0" w:firstRowFirstColumn="0" w:firstRowLastColumn="0" w:lastRowFirstColumn="0" w:lastRowLastColumn="0"/>
              <w:rPr>
                <w:color w:val="000000"/>
                <w:lang w:val="lv-LV"/>
              </w:rPr>
            </w:pPr>
            <w:r w:rsidRPr="0019406C">
              <w:rPr>
                <w:color w:val="000000"/>
                <w:lang w:val="lv-LV"/>
              </w:rPr>
              <w:t>373</w:t>
            </w:r>
          </w:p>
        </w:tc>
        <w:tc>
          <w:tcPr>
            <w:cnfStyle w:val="000010000000" w:firstRow="0" w:lastRow="0" w:firstColumn="0" w:lastColumn="0" w:oddVBand="1" w:evenVBand="0" w:oddHBand="0" w:evenHBand="0" w:firstRowFirstColumn="0" w:firstRowLastColumn="0" w:lastRowFirstColumn="0" w:lastRowLastColumn="0"/>
            <w:tcW w:w="853" w:type="pct"/>
            <w:vAlign w:val="center"/>
          </w:tcPr>
          <w:p w:rsidR="00272122" w:rsidRPr="0019406C" w:rsidRDefault="00272122" w:rsidP="00272122">
            <w:pPr>
              <w:spacing w:before="20"/>
              <w:jc w:val="center"/>
              <w:rPr>
                <w:color w:val="000000"/>
                <w:lang w:val="lv-LV"/>
              </w:rPr>
            </w:pPr>
            <w:r w:rsidRPr="0019406C">
              <w:rPr>
                <w:color w:val="000000"/>
                <w:lang w:val="lv-LV"/>
              </w:rPr>
              <w:t>50</w:t>
            </w:r>
            <w:r w:rsidR="007B41BD" w:rsidRPr="0019406C">
              <w:rPr>
                <w:color w:val="000000"/>
                <w:lang w:val="lv-LV"/>
              </w:rPr>
              <w:t>,</w:t>
            </w:r>
            <w:r w:rsidRPr="0019406C">
              <w:rPr>
                <w:color w:val="000000"/>
                <w:lang w:val="lv-LV"/>
              </w:rPr>
              <w:t>8</w:t>
            </w:r>
          </w:p>
        </w:tc>
        <w:tc>
          <w:tcPr>
            <w:tcW w:w="859" w:type="pct"/>
            <w:noWrap/>
            <w:vAlign w:val="center"/>
          </w:tcPr>
          <w:p w:rsidR="00272122" w:rsidRPr="0019406C" w:rsidRDefault="00272122" w:rsidP="00272122">
            <w:pPr>
              <w:spacing w:before="20"/>
              <w:jc w:val="center"/>
              <w:cnfStyle w:val="000000100000" w:firstRow="0" w:lastRow="0" w:firstColumn="0" w:lastColumn="0" w:oddVBand="0" w:evenVBand="0" w:oddHBand="1" w:evenHBand="0" w:firstRowFirstColumn="0" w:firstRowLastColumn="0" w:lastRowFirstColumn="0" w:lastRowLastColumn="0"/>
              <w:rPr>
                <w:color w:val="000000"/>
                <w:lang w:val="lv-LV" w:eastAsia="lv-LV"/>
              </w:rPr>
            </w:pPr>
            <w:r w:rsidRPr="0019406C">
              <w:rPr>
                <w:color w:val="000000"/>
                <w:lang w:val="lv-LV" w:eastAsia="lv-LV"/>
              </w:rPr>
              <w:t>52</w:t>
            </w:r>
            <w:r w:rsidR="007B41BD" w:rsidRPr="0019406C">
              <w:rPr>
                <w:color w:val="000000"/>
                <w:lang w:val="lv-LV" w:eastAsia="lv-LV"/>
              </w:rPr>
              <w:t>,</w:t>
            </w:r>
            <w:r w:rsidRPr="0019406C">
              <w:rPr>
                <w:color w:val="000000"/>
                <w:lang w:val="lv-LV" w:eastAsia="lv-LV"/>
              </w:rPr>
              <w:t>2</w:t>
            </w:r>
          </w:p>
        </w:tc>
      </w:tr>
      <w:tr w:rsidR="00272122" w:rsidRPr="0019406C" w:rsidTr="00A9489E">
        <w:trPr>
          <w:trHeight w:val="20"/>
        </w:trPr>
        <w:tc>
          <w:tcPr>
            <w:cnfStyle w:val="001000000000" w:firstRow="0" w:lastRow="0" w:firstColumn="1" w:lastColumn="0" w:oddVBand="0" w:evenVBand="0" w:oddHBand="0" w:evenHBand="0" w:firstRowFirstColumn="0" w:firstRowLastColumn="0" w:lastRowFirstColumn="0" w:lastRowLastColumn="0"/>
            <w:tcW w:w="1882" w:type="pct"/>
            <w:noWrap/>
            <w:vAlign w:val="bottom"/>
          </w:tcPr>
          <w:p w:rsidR="00272122" w:rsidRPr="0019406C" w:rsidRDefault="00272122" w:rsidP="00272122">
            <w:pPr>
              <w:spacing w:before="20"/>
              <w:rPr>
                <w:color w:val="000000"/>
                <w:lang w:val="lv-LV" w:eastAsia="lv-LV"/>
              </w:rPr>
            </w:pPr>
            <w:r w:rsidRPr="0019406C">
              <w:rPr>
                <w:color w:val="000000"/>
                <w:lang w:val="lv-LV" w:eastAsia="lv-LV"/>
              </w:rPr>
              <w:t>4  Būvniecības</w:t>
            </w:r>
          </w:p>
        </w:tc>
        <w:tc>
          <w:tcPr>
            <w:cnfStyle w:val="000010000000" w:firstRow="0" w:lastRow="0" w:firstColumn="0" w:lastColumn="0" w:oddVBand="1" w:evenVBand="0" w:oddHBand="0" w:evenHBand="0" w:firstRowFirstColumn="0" w:firstRowLastColumn="0" w:lastRowFirstColumn="0" w:lastRowLastColumn="0"/>
            <w:tcW w:w="633" w:type="pct"/>
            <w:vAlign w:val="center"/>
          </w:tcPr>
          <w:p w:rsidR="00272122" w:rsidRPr="0019406C" w:rsidRDefault="00272122" w:rsidP="00272122">
            <w:pPr>
              <w:spacing w:before="20"/>
              <w:jc w:val="center"/>
              <w:rPr>
                <w:color w:val="000000"/>
                <w:lang w:val="lv-LV" w:eastAsia="lv-LV"/>
              </w:rPr>
            </w:pPr>
            <w:r w:rsidRPr="0019406C">
              <w:rPr>
                <w:color w:val="000000"/>
                <w:lang w:val="lv-LV" w:eastAsia="lv-LV"/>
              </w:rPr>
              <w:t>8</w:t>
            </w:r>
          </w:p>
        </w:tc>
        <w:tc>
          <w:tcPr>
            <w:tcW w:w="773" w:type="pct"/>
            <w:vAlign w:val="center"/>
          </w:tcPr>
          <w:p w:rsidR="00272122" w:rsidRPr="0019406C" w:rsidRDefault="00272122" w:rsidP="00272122">
            <w:pPr>
              <w:spacing w:before="20"/>
              <w:jc w:val="center"/>
              <w:cnfStyle w:val="000000000000" w:firstRow="0" w:lastRow="0" w:firstColumn="0" w:lastColumn="0" w:oddVBand="0" w:evenVBand="0" w:oddHBand="0" w:evenHBand="0" w:firstRowFirstColumn="0" w:firstRowLastColumn="0" w:lastRowFirstColumn="0" w:lastRowLastColumn="0"/>
              <w:rPr>
                <w:color w:val="000000"/>
                <w:lang w:val="lv-LV"/>
              </w:rPr>
            </w:pPr>
            <w:r w:rsidRPr="0019406C">
              <w:rPr>
                <w:color w:val="000000"/>
                <w:lang w:val="lv-LV"/>
              </w:rPr>
              <w:t>48</w:t>
            </w:r>
          </w:p>
        </w:tc>
        <w:tc>
          <w:tcPr>
            <w:cnfStyle w:val="000010000000" w:firstRow="0" w:lastRow="0" w:firstColumn="0" w:lastColumn="0" w:oddVBand="1" w:evenVBand="0" w:oddHBand="0" w:evenHBand="0" w:firstRowFirstColumn="0" w:firstRowLastColumn="0" w:lastRowFirstColumn="0" w:lastRowLastColumn="0"/>
            <w:tcW w:w="853" w:type="pct"/>
            <w:vAlign w:val="center"/>
          </w:tcPr>
          <w:p w:rsidR="00272122" w:rsidRPr="0019406C" w:rsidRDefault="00272122" w:rsidP="00272122">
            <w:pPr>
              <w:spacing w:before="20"/>
              <w:jc w:val="center"/>
              <w:rPr>
                <w:color w:val="000000"/>
                <w:lang w:val="lv-LV"/>
              </w:rPr>
            </w:pPr>
            <w:r w:rsidRPr="0019406C">
              <w:rPr>
                <w:color w:val="000000"/>
                <w:lang w:val="lv-LV"/>
              </w:rPr>
              <w:t>6</w:t>
            </w:r>
            <w:r w:rsidR="007B41BD" w:rsidRPr="0019406C">
              <w:rPr>
                <w:color w:val="000000"/>
                <w:lang w:val="lv-LV"/>
              </w:rPr>
              <w:t>,</w:t>
            </w:r>
            <w:r w:rsidRPr="0019406C">
              <w:rPr>
                <w:color w:val="000000"/>
                <w:lang w:val="lv-LV"/>
              </w:rPr>
              <w:t>5</w:t>
            </w:r>
          </w:p>
        </w:tc>
        <w:tc>
          <w:tcPr>
            <w:tcW w:w="859" w:type="pct"/>
            <w:noWrap/>
            <w:vAlign w:val="center"/>
          </w:tcPr>
          <w:p w:rsidR="00272122" w:rsidRPr="0019406C" w:rsidRDefault="00272122" w:rsidP="00272122">
            <w:pPr>
              <w:spacing w:before="20"/>
              <w:jc w:val="center"/>
              <w:cnfStyle w:val="000000000000" w:firstRow="0" w:lastRow="0" w:firstColumn="0" w:lastColumn="0" w:oddVBand="0" w:evenVBand="0" w:oddHBand="0" w:evenHBand="0" w:firstRowFirstColumn="0" w:firstRowLastColumn="0" w:lastRowFirstColumn="0" w:lastRowLastColumn="0"/>
              <w:rPr>
                <w:color w:val="000000"/>
                <w:lang w:val="lv-LV" w:eastAsia="lv-LV"/>
              </w:rPr>
            </w:pPr>
            <w:r w:rsidRPr="0019406C">
              <w:rPr>
                <w:color w:val="000000"/>
                <w:lang w:val="lv-LV" w:eastAsia="lv-LV"/>
              </w:rPr>
              <w:t>8</w:t>
            </w:r>
            <w:r w:rsidR="007B41BD" w:rsidRPr="0019406C">
              <w:rPr>
                <w:color w:val="000000"/>
                <w:lang w:val="lv-LV" w:eastAsia="lv-LV"/>
              </w:rPr>
              <w:t>,</w:t>
            </w:r>
            <w:r w:rsidRPr="0019406C">
              <w:rPr>
                <w:color w:val="000000"/>
                <w:lang w:val="lv-LV" w:eastAsia="lv-LV"/>
              </w:rPr>
              <w:t>1</w:t>
            </w:r>
          </w:p>
        </w:tc>
      </w:tr>
      <w:tr w:rsidR="00272122" w:rsidRPr="0019406C" w:rsidTr="00A9489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82" w:type="pct"/>
            <w:shd w:val="clear" w:color="auto" w:fill="FFE0C5" w:themeFill="accent1" w:themeFillTint="33"/>
            <w:noWrap/>
            <w:vAlign w:val="bottom"/>
          </w:tcPr>
          <w:p w:rsidR="00272122" w:rsidRPr="0019406C" w:rsidRDefault="00272122" w:rsidP="00272122">
            <w:pPr>
              <w:spacing w:before="40"/>
              <w:rPr>
                <w:b w:val="0"/>
                <w:i/>
                <w:color w:val="000000"/>
                <w:lang w:val="lv-LV" w:eastAsia="lv-LV"/>
              </w:rPr>
            </w:pPr>
            <w:r w:rsidRPr="0019406C">
              <w:rPr>
                <w:i/>
                <w:color w:val="000000"/>
                <w:lang w:val="lv-LV" w:eastAsia="lv-LV"/>
              </w:rPr>
              <w:t>Lielums (darbinieku skaits)</w:t>
            </w:r>
          </w:p>
        </w:tc>
        <w:tc>
          <w:tcPr>
            <w:cnfStyle w:val="000010000000" w:firstRow="0" w:lastRow="0" w:firstColumn="0" w:lastColumn="0" w:oddVBand="1" w:evenVBand="0" w:oddHBand="0" w:evenHBand="0" w:firstRowFirstColumn="0" w:firstRowLastColumn="0" w:lastRowFirstColumn="0" w:lastRowLastColumn="0"/>
            <w:tcW w:w="633" w:type="pct"/>
            <w:shd w:val="clear" w:color="auto" w:fill="FFE0C5" w:themeFill="accent1" w:themeFillTint="33"/>
            <w:vAlign w:val="center"/>
          </w:tcPr>
          <w:p w:rsidR="00272122" w:rsidRPr="0019406C" w:rsidRDefault="00272122" w:rsidP="00272122">
            <w:pPr>
              <w:spacing w:before="40"/>
              <w:jc w:val="center"/>
              <w:rPr>
                <w:b/>
                <w:i/>
                <w:color w:val="000000"/>
                <w:lang w:val="lv-LV" w:eastAsia="lv-LV"/>
              </w:rPr>
            </w:pPr>
          </w:p>
        </w:tc>
        <w:tc>
          <w:tcPr>
            <w:tcW w:w="773" w:type="pct"/>
            <w:shd w:val="clear" w:color="auto" w:fill="FFE0C5" w:themeFill="accent1" w:themeFillTint="33"/>
            <w:vAlign w:val="center"/>
          </w:tcPr>
          <w:p w:rsidR="00272122" w:rsidRPr="0019406C" w:rsidRDefault="00272122" w:rsidP="00272122">
            <w:pPr>
              <w:spacing w:before="40"/>
              <w:jc w:val="center"/>
              <w:cnfStyle w:val="000000100000" w:firstRow="0" w:lastRow="0" w:firstColumn="0" w:lastColumn="0" w:oddVBand="0" w:evenVBand="0" w:oddHBand="1" w:evenHBand="0" w:firstRowFirstColumn="0" w:firstRowLastColumn="0" w:lastRowFirstColumn="0" w:lastRowLastColumn="0"/>
              <w:rPr>
                <w:b/>
                <w:i/>
                <w:color w:val="000000"/>
                <w:lang w:val="lv-LV" w:eastAsia="lv-LV"/>
              </w:rPr>
            </w:pPr>
          </w:p>
        </w:tc>
        <w:tc>
          <w:tcPr>
            <w:cnfStyle w:val="000010000000" w:firstRow="0" w:lastRow="0" w:firstColumn="0" w:lastColumn="0" w:oddVBand="1" w:evenVBand="0" w:oddHBand="0" w:evenHBand="0" w:firstRowFirstColumn="0" w:firstRowLastColumn="0" w:lastRowFirstColumn="0" w:lastRowLastColumn="0"/>
            <w:tcW w:w="853" w:type="pct"/>
            <w:shd w:val="clear" w:color="auto" w:fill="FFE0C5" w:themeFill="accent1" w:themeFillTint="33"/>
            <w:vAlign w:val="center"/>
          </w:tcPr>
          <w:p w:rsidR="00272122" w:rsidRPr="0019406C" w:rsidRDefault="00272122" w:rsidP="00272122">
            <w:pPr>
              <w:spacing w:before="40"/>
              <w:jc w:val="center"/>
              <w:rPr>
                <w:b/>
                <w:i/>
                <w:color w:val="000000"/>
                <w:lang w:val="lv-LV" w:eastAsia="lv-LV"/>
              </w:rPr>
            </w:pPr>
          </w:p>
        </w:tc>
        <w:tc>
          <w:tcPr>
            <w:tcW w:w="859" w:type="pct"/>
            <w:shd w:val="clear" w:color="auto" w:fill="FFE0C5" w:themeFill="accent1" w:themeFillTint="33"/>
            <w:noWrap/>
            <w:vAlign w:val="center"/>
          </w:tcPr>
          <w:p w:rsidR="00272122" w:rsidRPr="0019406C" w:rsidRDefault="00272122" w:rsidP="00272122">
            <w:pPr>
              <w:spacing w:before="40"/>
              <w:jc w:val="center"/>
              <w:cnfStyle w:val="000000100000" w:firstRow="0" w:lastRow="0" w:firstColumn="0" w:lastColumn="0" w:oddVBand="0" w:evenVBand="0" w:oddHBand="1" w:evenHBand="0" w:firstRowFirstColumn="0" w:firstRowLastColumn="0" w:lastRowFirstColumn="0" w:lastRowLastColumn="0"/>
              <w:rPr>
                <w:b/>
                <w:i/>
                <w:color w:val="000000"/>
                <w:lang w:val="lv-LV" w:eastAsia="lv-LV"/>
              </w:rPr>
            </w:pPr>
          </w:p>
        </w:tc>
      </w:tr>
      <w:tr w:rsidR="00272122" w:rsidRPr="0019406C" w:rsidTr="00A9489E">
        <w:trPr>
          <w:trHeight w:val="20"/>
        </w:trPr>
        <w:tc>
          <w:tcPr>
            <w:cnfStyle w:val="001000000000" w:firstRow="0" w:lastRow="0" w:firstColumn="1" w:lastColumn="0" w:oddVBand="0" w:evenVBand="0" w:oddHBand="0" w:evenHBand="0" w:firstRowFirstColumn="0" w:firstRowLastColumn="0" w:lastRowFirstColumn="0" w:lastRowLastColumn="0"/>
            <w:tcW w:w="1882" w:type="pct"/>
            <w:noWrap/>
            <w:vAlign w:val="bottom"/>
          </w:tcPr>
          <w:p w:rsidR="00272122" w:rsidRPr="0019406C" w:rsidRDefault="00272122" w:rsidP="00272122">
            <w:pPr>
              <w:spacing w:before="20"/>
              <w:rPr>
                <w:color w:val="000000"/>
                <w:lang w:val="lv-LV" w:eastAsia="lv-LV"/>
              </w:rPr>
            </w:pPr>
            <w:r w:rsidRPr="0019406C">
              <w:rPr>
                <w:color w:val="000000"/>
                <w:lang w:val="lv-LV" w:eastAsia="lv-LV"/>
              </w:rPr>
              <w:t>1  1-9</w:t>
            </w:r>
          </w:p>
        </w:tc>
        <w:tc>
          <w:tcPr>
            <w:cnfStyle w:val="000010000000" w:firstRow="0" w:lastRow="0" w:firstColumn="0" w:lastColumn="0" w:oddVBand="1" w:evenVBand="0" w:oddHBand="0" w:evenHBand="0" w:firstRowFirstColumn="0" w:firstRowLastColumn="0" w:lastRowFirstColumn="0" w:lastRowLastColumn="0"/>
            <w:tcW w:w="633" w:type="pct"/>
            <w:vAlign w:val="center"/>
          </w:tcPr>
          <w:p w:rsidR="00272122" w:rsidRPr="0019406C" w:rsidRDefault="00272122" w:rsidP="00272122">
            <w:pPr>
              <w:spacing w:before="20"/>
              <w:jc w:val="center"/>
              <w:rPr>
                <w:color w:val="000000"/>
                <w:lang w:val="lv-LV" w:eastAsia="lv-LV"/>
              </w:rPr>
            </w:pPr>
            <w:r w:rsidRPr="0019406C">
              <w:rPr>
                <w:color w:val="000000"/>
                <w:lang w:val="lv-LV" w:eastAsia="lv-LV"/>
              </w:rPr>
              <w:t>87</w:t>
            </w:r>
          </w:p>
        </w:tc>
        <w:tc>
          <w:tcPr>
            <w:tcW w:w="773" w:type="pct"/>
            <w:vAlign w:val="center"/>
          </w:tcPr>
          <w:p w:rsidR="00272122" w:rsidRPr="0019406C" w:rsidRDefault="00272122" w:rsidP="00272122">
            <w:pPr>
              <w:spacing w:before="20"/>
              <w:jc w:val="center"/>
              <w:cnfStyle w:val="000000000000" w:firstRow="0" w:lastRow="0" w:firstColumn="0" w:lastColumn="0" w:oddVBand="0" w:evenVBand="0" w:oddHBand="0" w:evenHBand="0" w:firstRowFirstColumn="0" w:firstRowLastColumn="0" w:lastRowFirstColumn="0" w:lastRowLastColumn="0"/>
              <w:rPr>
                <w:color w:val="000000"/>
                <w:lang w:val="lv-LV"/>
              </w:rPr>
            </w:pPr>
            <w:r w:rsidRPr="0019406C">
              <w:rPr>
                <w:color w:val="000000"/>
                <w:lang w:val="lv-LV"/>
              </w:rPr>
              <w:t>543</w:t>
            </w:r>
          </w:p>
        </w:tc>
        <w:tc>
          <w:tcPr>
            <w:cnfStyle w:val="000010000000" w:firstRow="0" w:lastRow="0" w:firstColumn="0" w:lastColumn="0" w:oddVBand="1" w:evenVBand="0" w:oddHBand="0" w:evenHBand="0" w:firstRowFirstColumn="0" w:firstRowLastColumn="0" w:lastRowFirstColumn="0" w:lastRowLastColumn="0"/>
            <w:tcW w:w="853" w:type="pct"/>
            <w:vAlign w:val="center"/>
          </w:tcPr>
          <w:p w:rsidR="00272122" w:rsidRPr="0019406C" w:rsidRDefault="00272122" w:rsidP="00272122">
            <w:pPr>
              <w:spacing w:before="20"/>
              <w:jc w:val="center"/>
              <w:rPr>
                <w:color w:val="000000"/>
                <w:lang w:val="lv-LV"/>
              </w:rPr>
            </w:pPr>
            <w:r w:rsidRPr="0019406C">
              <w:rPr>
                <w:color w:val="000000"/>
                <w:lang w:val="lv-LV"/>
              </w:rPr>
              <w:t>74</w:t>
            </w:r>
            <w:r w:rsidR="007B41BD" w:rsidRPr="0019406C">
              <w:rPr>
                <w:color w:val="000000"/>
                <w:lang w:val="lv-LV"/>
              </w:rPr>
              <w:t>,</w:t>
            </w:r>
            <w:r w:rsidRPr="0019406C">
              <w:rPr>
                <w:color w:val="000000"/>
                <w:lang w:val="lv-LV"/>
              </w:rPr>
              <w:t>0</w:t>
            </w:r>
          </w:p>
        </w:tc>
        <w:tc>
          <w:tcPr>
            <w:tcW w:w="859" w:type="pct"/>
            <w:noWrap/>
            <w:vAlign w:val="center"/>
          </w:tcPr>
          <w:p w:rsidR="00272122" w:rsidRPr="0019406C" w:rsidRDefault="00272122" w:rsidP="00272122">
            <w:pPr>
              <w:spacing w:before="20"/>
              <w:jc w:val="center"/>
              <w:cnfStyle w:val="000000000000" w:firstRow="0" w:lastRow="0" w:firstColumn="0" w:lastColumn="0" w:oddVBand="0" w:evenVBand="0" w:oddHBand="0" w:evenHBand="0" w:firstRowFirstColumn="0" w:firstRowLastColumn="0" w:lastRowFirstColumn="0" w:lastRowLastColumn="0"/>
              <w:rPr>
                <w:color w:val="000000"/>
                <w:lang w:val="lv-LV" w:eastAsia="lv-LV"/>
              </w:rPr>
            </w:pPr>
            <w:r w:rsidRPr="0019406C">
              <w:rPr>
                <w:color w:val="000000"/>
                <w:lang w:val="lv-LV" w:eastAsia="lv-LV"/>
              </w:rPr>
              <w:t>87</w:t>
            </w:r>
            <w:r w:rsidR="007B41BD" w:rsidRPr="0019406C">
              <w:rPr>
                <w:color w:val="000000"/>
                <w:lang w:val="lv-LV" w:eastAsia="lv-LV"/>
              </w:rPr>
              <w:t>,</w:t>
            </w:r>
            <w:r w:rsidRPr="0019406C">
              <w:rPr>
                <w:color w:val="000000"/>
                <w:lang w:val="lv-LV" w:eastAsia="lv-LV"/>
              </w:rPr>
              <w:t>2</w:t>
            </w:r>
          </w:p>
        </w:tc>
      </w:tr>
      <w:tr w:rsidR="00272122" w:rsidRPr="0019406C" w:rsidTr="00A9489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82" w:type="pct"/>
            <w:noWrap/>
            <w:vAlign w:val="bottom"/>
          </w:tcPr>
          <w:p w:rsidR="00272122" w:rsidRPr="0019406C" w:rsidRDefault="00272122" w:rsidP="00272122">
            <w:pPr>
              <w:spacing w:before="20"/>
              <w:rPr>
                <w:color w:val="000000"/>
                <w:lang w:val="lv-LV" w:eastAsia="lv-LV"/>
              </w:rPr>
            </w:pPr>
            <w:r w:rsidRPr="0019406C">
              <w:rPr>
                <w:color w:val="000000"/>
                <w:lang w:val="lv-LV" w:eastAsia="lv-LV"/>
              </w:rPr>
              <w:t>2  10-49</w:t>
            </w:r>
          </w:p>
        </w:tc>
        <w:tc>
          <w:tcPr>
            <w:cnfStyle w:val="000010000000" w:firstRow="0" w:lastRow="0" w:firstColumn="0" w:lastColumn="0" w:oddVBand="1" w:evenVBand="0" w:oddHBand="0" w:evenHBand="0" w:firstRowFirstColumn="0" w:firstRowLastColumn="0" w:lastRowFirstColumn="0" w:lastRowLastColumn="0"/>
            <w:tcW w:w="633" w:type="pct"/>
            <w:vAlign w:val="center"/>
          </w:tcPr>
          <w:p w:rsidR="00272122" w:rsidRPr="0019406C" w:rsidRDefault="00272122" w:rsidP="00272122">
            <w:pPr>
              <w:spacing w:before="20"/>
              <w:jc w:val="center"/>
              <w:rPr>
                <w:color w:val="000000"/>
                <w:lang w:val="lv-LV" w:eastAsia="lv-LV"/>
              </w:rPr>
            </w:pPr>
            <w:r w:rsidRPr="0019406C">
              <w:rPr>
                <w:color w:val="000000"/>
                <w:lang w:val="lv-LV" w:eastAsia="lv-LV"/>
              </w:rPr>
              <w:t>11</w:t>
            </w:r>
          </w:p>
        </w:tc>
        <w:tc>
          <w:tcPr>
            <w:tcW w:w="773" w:type="pct"/>
            <w:vAlign w:val="center"/>
          </w:tcPr>
          <w:p w:rsidR="00272122" w:rsidRPr="0019406C" w:rsidRDefault="00272122" w:rsidP="00272122">
            <w:pPr>
              <w:spacing w:before="20"/>
              <w:jc w:val="center"/>
              <w:cnfStyle w:val="000000100000" w:firstRow="0" w:lastRow="0" w:firstColumn="0" w:lastColumn="0" w:oddVBand="0" w:evenVBand="0" w:oddHBand="1" w:evenHBand="0" w:firstRowFirstColumn="0" w:firstRowLastColumn="0" w:lastRowFirstColumn="0" w:lastRowLastColumn="0"/>
              <w:rPr>
                <w:color w:val="000000"/>
                <w:lang w:val="lv-LV"/>
              </w:rPr>
            </w:pPr>
            <w:r w:rsidRPr="0019406C">
              <w:rPr>
                <w:color w:val="000000"/>
                <w:lang w:val="lv-LV"/>
              </w:rPr>
              <w:t>133</w:t>
            </w:r>
          </w:p>
        </w:tc>
        <w:tc>
          <w:tcPr>
            <w:cnfStyle w:val="000010000000" w:firstRow="0" w:lastRow="0" w:firstColumn="0" w:lastColumn="0" w:oddVBand="1" w:evenVBand="0" w:oddHBand="0" w:evenHBand="0" w:firstRowFirstColumn="0" w:firstRowLastColumn="0" w:lastRowFirstColumn="0" w:lastRowLastColumn="0"/>
            <w:tcW w:w="853" w:type="pct"/>
            <w:vAlign w:val="center"/>
          </w:tcPr>
          <w:p w:rsidR="00272122" w:rsidRPr="0019406C" w:rsidRDefault="00272122" w:rsidP="00272122">
            <w:pPr>
              <w:spacing w:before="20"/>
              <w:jc w:val="center"/>
              <w:rPr>
                <w:color w:val="000000"/>
                <w:lang w:val="lv-LV"/>
              </w:rPr>
            </w:pPr>
            <w:r w:rsidRPr="0019406C">
              <w:rPr>
                <w:color w:val="000000"/>
                <w:lang w:val="lv-LV"/>
              </w:rPr>
              <w:t>18</w:t>
            </w:r>
            <w:r w:rsidR="007B41BD" w:rsidRPr="0019406C">
              <w:rPr>
                <w:color w:val="000000"/>
                <w:lang w:val="lv-LV"/>
              </w:rPr>
              <w:t>,</w:t>
            </w:r>
            <w:r w:rsidRPr="0019406C">
              <w:rPr>
                <w:color w:val="000000"/>
                <w:lang w:val="lv-LV"/>
              </w:rPr>
              <w:t>1</w:t>
            </w:r>
          </w:p>
        </w:tc>
        <w:tc>
          <w:tcPr>
            <w:tcW w:w="859" w:type="pct"/>
            <w:noWrap/>
            <w:vAlign w:val="center"/>
          </w:tcPr>
          <w:p w:rsidR="00272122" w:rsidRPr="0019406C" w:rsidRDefault="00272122" w:rsidP="00272122">
            <w:pPr>
              <w:spacing w:before="20"/>
              <w:jc w:val="center"/>
              <w:cnfStyle w:val="000000100000" w:firstRow="0" w:lastRow="0" w:firstColumn="0" w:lastColumn="0" w:oddVBand="0" w:evenVBand="0" w:oddHBand="1" w:evenHBand="0" w:firstRowFirstColumn="0" w:firstRowLastColumn="0" w:lastRowFirstColumn="0" w:lastRowLastColumn="0"/>
              <w:rPr>
                <w:color w:val="000000"/>
                <w:lang w:val="lv-LV" w:eastAsia="lv-LV"/>
              </w:rPr>
            </w:pPr>
            <w:r w:rsidRPr="0019406C">
              <w:rPr>
                <w:color w:val="000000"/>
                <w:lang w:val="lv-LV" w:eastAsia="lv-LV"/>
              </w:rPr>
              <w:t>10</w:t>
            </w:r>
            <w:r w:rsidR="007B41BD" w:rsidRPr="0019406C">
              <w:rPr>
                <w:color w:val="000000"/>
                <w:lang w:val="lv-LV" w:eastAsia="lv-LV"/>
              </w:rPr>
              <w:t>,</w:t>
            </w:r>
            <w:r w:rsidRPr="0019406C">
              <w:rPr>
                <w:color w:val="000000"/>
                <w:lang w:val="lv-LV" w:eastAsia="lv-LV"/>
              </w:rPr>
              <w:t>2</w:t>
            </w:r>
          </w:p>
        </w:tc>
      </w:tr>
      <w:tr w:rsidR="00272122" w:rsidRPr="0019406C" w:rsidTr="00A9489E">
        <w:trPr>
          <w:trHeight w:val="20"/>
        </w:trPr>
        <w:tc>
          <w:tcPr>
            <w:cnfStyle w:val="001000000000" w:firstRow="0" w:lastRow="0" w:firstColumn="1" w:lastColumn="0" w:oddVBand="0" w:evenVBand="0" w:oddHBand="0" w:evenHBand="0" w:firstRowFirstColumn="0" w:firstRowLastColumn="0" w:lastRowFirstColumn="0" w:lastRowLastColumn="0"/>
            <w:tcW w:w="1882" w:type="pct"/>
            <w:noWrap/>
            <w:vAlign w:val="bottom"/>
          </w:tcPr>
          <w:p w:rsidR="00272122" w:rsidRPr="0019406C" w:rsidRDefault="00272122" w:rsidP="00272122">
            <w:pPr>
              <w:spacing w:before="20"/>
              <w:rPr>
                <w:color w:val="000000"/>
                <w:lang w:val="lv-LV" w:eastAsia="lv-LV"/>
              </w:rPr>
            </w:pPr>
            <w:r w:rsidRPr="0019406C">
              <w:rPr>
                <w:color w:val="000000"/>
                <w:lang w:val="lv-LV" w:eastAsia="lv-LV"/>
              </w:rPr>
              <w:t>3  50-249</w:t>
            </w:r>
          </w:p>
        </w:tc>
        <w:tc>
          <w:tcPr>
            <w:cnfStyle w:val="000010000000" w:firstRow="0" w:lastRow="0" w:firstColumn="0" w:lastColumn="0" w:oddVBand="1" w:evenVBand="0" w:oddHBand="0" w:evenHBand="0" w:firstRowFirstColumn="0" w:firstRowLastColumn="0" w:lastRowFirstColumn="0" w:lastRowLastColumn="0"/>
            <w:tcW w:w="633" w:type="pct"/>
            <w:vAlign w:val="center"/>
          </w:tcPr>
          <w:p w:rsidR="00272122" w:rsidRPr="0019406C" w:rsidRDefault="00272122" w:rsidP="00272122">
            <w:pPr>
              <w:spacing w:before="20"/>
              <w:jc w:val="center"/>
              <w:rPr>
                <w:color w:val="000000"/>
                <w:lang w:val="lv-LV" w:eastAsia="lv-LV"/>
              </w:rPr>
            </w:pPr>
            <w:r w:rsidRPr="0019406C">
              <w:rPr>
                <w:color w:val="000000"/>
                <w:lang w:val="lv-LV" w:eastAsia="lv-LV"/>
              </w:rPr>
              <w:t>2</w:t>
            </w:r>
          </w:p>
        </w:tc>
        <w:tc>
          <w:tcPr>
            <w:tcW w:w="773" w:type="pct"/>
            <w:vAlign w:val="center"/>
          </w:tcPr>
          <w:p w:rsidR="00272122" w:rsidRPr="0019406C" w:rsidRDefault="00272122" w:rsidP="00272122">
            <w:pPr>
              <w:spacing w:before="20"/>
              <w:jc w:val="center"/>
              <w:cnfStyle w:val="000000000000" w:firstRow="0" w:lastRow="0" w:firstColumn="0" w:lastColumn="0" w:oddVBand="0" w:evenVBand="0" w:oddHBand="0" w:evenHBand="0" w:firstRowFirstColumn="0" w:firstRowLastColumn="0" w:lastRowFirstColumn="0" w:lastRowLastColumn="0"/>
              <w:rPr>
                <w:color w:val="000000"/>
                <w:lang w:val="lv-LV"/>
              </w:rPr>
            </w:pPr>
            <w:r w:rsidRPr="0019406C">
              <w:rPr>
                <w:color w:val="000000"/>
                <w:lang w:val="lv-LV"/>
              </w:rPr>
              <w:t>37</w:t>
            </w:r>
          </w:p>
        </w:tc>
        <w:tc>
          <w:tcPr>
            <w:cnfStyle w:val="000010000000" w:firstRow="0" w:lastRow="0" w:firstColumn="0" w:lastColumn="0" w:oddVBand="1" w:evenVBand="0" w:oddHBand="0" w:evenHBand="0" w:firstRowFirstColumn="0" w:firstRowLastColumn="0" w:lastRowFirstColumn="0" w:lastRowLastColumn="0"/>
            <w:tcW w:w="853" w:type="pct"/>
            <w:vAlign w:val="center"/>
          </w:tcPr>
          <w:p w:rsidR="00272122" w:rsidRPr="0019406C" w:rsidRDefault="00272122" w:rsidP="00272122">
            <w:pPr>
              <w:spacing w:before="20"/>
              <w:jc w:val="center"/>
              <w:rPr>
                <w:color w:val="000000"/>
                <w:lang w:val="lv-LV"/>
              </w:rPr>
            </w:pPr>
            <w:r w:rsidRPr="0019406C">
              <w:rPr>
                <w:color w:val="000000"/>
                <w:lang w:val="lv-LV"/>
              </w:rPr>
              <w:t>5</w:t>
            </w:r>
            <w:r w:rsidR="007B41BD" w:rsidRPr="0019406C">
              <w:rPr>
                <w:color w:val="000000"/>
                <w:lang w:val="lv-LV"/>
              </w:rPr>
              <w:t>,</w:t>
            </w:r>
            <w:r w:rsidRPr="0019406C">
              <w:rPr>
                <w:color w:val="000000"/>
                <w:lang w:val="lv-LV"/>
              </w:rPr>
              <w:t>0</w:t>
            </w:r>
          </w:p>
        </w:tc>
        <w:tc>
          <w:tcPr>
            <w:tcW w:w="859" w:type="pct"/>
            <w:noWrap/>
            <w:vAlign w:val="center"/>
          </w:tcPr>
          <w:p w:rsidR="00272122" w:rsidRPr="0019406C" w:rsidRDefault="00272122" w:rsidP="00272122">
            <w:pPr>
              <w:spacing w:before="20"/>
              <w:jc w:val="center"/>
              <w:cnfStyle w:val="000000000000" w:firstRow="0" w:lastRow="0" w:firstColumn="0" w:lastColumn="0" w:oddVBand="0" w:evenVBand="0" w:oddHBand="0" w:evenHBand="0" w:firstRowFirstColumn="0" w:firstRowLastColumn="0" w:lastRowFirstColumn="0" w:lastRowLastColumn="0"/>
              <w:rPr>
                <w:color w:val="000000"/>
                <w:lang w:val="lv-LV" w:eastAsia="lv-LV"/>
              </w:rPr>
            </w:pPr>
            <w:r w:rsidRPr="0019406C">
              <w:rPr>
                <w:color w:val="000000"/>
                <w:lang w:val="lv-LV" w:eastAsia="lv-LV"/>
              </w:rPr>
              <w:t>2</w:t>
            </w:r>
            <w:r w:rsidR="007B41BD" w:rsidRPr="0019406C">
              <w:rPr>
                <w:color w:val="000000"/>
                <w:lang w:val="lv-LV" w:eastAsia="lv-LV"/>
              </w:rPr>
              <w:t>,</w:t>
            </w:r>
            <w:r w:rsidRPr="0019406C">
              <w:rPr>
                <w:color w:val="000000"/>
                <w:lang w:val="lv-LV" w:eastAsia="lv-LV"/>
              </w:rPr>
              <w:t>0</w:t>
            </w:r>
          </w:p>
        </w:tc>
      </w:tr>
      <w:tr w:rsidR="00272122" w:rsidRPr="0019406C" w:rsidTr="00A9489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82" w:type="pct"/>
            <w:noWrap/>
            <w:vAlign w:val="bottom"/>
          </w:tcPr>
          <w:p w:rsidR="00272122" w:rsidRPr="0019406C" w:rsidRDefault="00272122" w:rsidP="00272122">
            <w:pPr>
              <w:spacing w:before="20"/>
              <w:rPr>
                <w:color w:val="000000"/>
                <w:lang w:val="lv-LV" w:eastAsia="lv-LV"/>
              </w:rPr>
            </w:pPr>
            <w:r w:rsidRPr="0019406C">
              <w:rPr>
                <w:color w:val="000000"/>
                <w:lang w:val="lv-LV" w:eastAsia="lv-LV"/>
              </w:rPr>
              <w:t>4  250+</w:t>
            </w:r>
          </w:p>
        </w:tc>
        <w:tc>
          <w:tcPr>
            <w:cnfStyle w:val="000010000000" w:firstRow="0" w:lastRow="0" w:firstColumn="0" w:lastColumn="0" w:oddVBand="1" w:evenVBand="0" w:oddHBand="0" w:evenHBand="0" w:firstRowFirstColumn="0" w:firstRowLastColumn="0" w:lastRowFirstColumn="0" w:lastRowLastColumn="0"/>
            <w:tcW w:w="633" w:type="pct"/>
            <w:vAlign w:val="center"/>
          </w:tcPr>
          <w:p w:rsidR="00272122" w:rsidRPr="0019406C" w:rsidRDefault="007B41BD" w:rsidP="00272122">
            <w:pPr>
              <w:spacing w:before="20"/>
              <w:jc w:val="center"/>
              <w:rPr>
                <w:color w:val="000000"/>
                <w:lang w:val="lv-LV" w:eastAsia="lv-LV"/>
              </w:rPr>
            </w:pPr>
            <w:r w:rsidRPr="0019406C">
              <w:rPr>
                <w:color w:val="000000"/>
                <w:lang w:val="lv-LV" w:eastAsia="lv-LV"/>
              </w:rPr>
              <w:t>0,</w:t>
            </w:r>
            <w:r w:rsidR="00272122" w:rsidRPr="0019406C">
              <w:rPr>
                <w:color w:val="000000"/>
                <w:lang w:val="lv-LV" w:eastAsia="lv-LV"/>
              </w:rPr>
              <w:t>4</w:t>
            </w:r>
          </w:p>
        </w:tc>
        <w:tc>
          <w:tcPr>
            <w:tcW w:w="773" w:type="pct"/>
            <w:vAlign w:val="center"/>
          </w:tcPr>
          <w:p w:rsidR="00272122" w:rsidRPr="0019406C" w:rsidRDefault="00272122" w:rsidP="00272122">
            <w:pPr>
              <w:spacing w:before="20"/>
              <w:jc w:val="center"/>
              <w:cnfStyle w:val="000000100000" w:firstRow="0" w:lastRow="0" w:firstColumn="0" w:lastColumn="0" w:oddVBand="0" w:evenVBand="0" w:oddHBand="1" w:evenHBand="0" w:firstRowFirstColumn="0" w:firstRowLastColumn="0" w:lastRowFirstColumn="0" w:lastRowLastColumn="0"/>
              <w:rPr>
                <w:color w:val="000000"/>
                <w:lang w:val="lv-LV"/>
              </w:rPr>
            </w:pPr>
            <w:r w:rsidRPr="0019406C">
              <w:rPr>
                <w:color w:val="000000"/>
                <w:lang w:val="lv-LV"/>
              </w:rPr>
              <w:t>21</w:t>
            </w:r>
          </w:p>
        </w:tc>
        <w:tc>
          <w:tcPr>
            <w:cnfStyle w:val="000010000000" w:firstRow="0" w:lastRow="0" w:firstColumn="0" w:lastColumn="0" w:oddVBand="1" w:evenVBand="0" w:oddHBand="0" w:evenHBand="0" w:firstRowFirstColumn="0" w:firstRowLastColumn="0" w:lastRowFirstColumn="0" w:lastRowLastColumn="0"/>
            <w:tcW w:w="853" w:type="pct"/>
            <w:vAlign w:val="center"/>
          </w:tcPr>
          <w:p w:rsidR="00272122" w:rsidRPr="0019406C" w:rsidRDefault="007B41BD" w:rsidP="00272122">
            <w:pPr>
              <w:spacing w:before="20"/>
              <w:jc w:val="center"/>
              <w:rPr>
                <w:color w:val="000000"/>
                <w:lang w:val="lv-LV"/>
              </w:rPr>
            </w:pPr>
            <w:r w:rsidRPr="0019406C">
              <w:rPr>
                <w:color w:val="000000"/>
                <w:lang w:val="lv-LV"/>
              </w:rPr>
              <w:t>2,</w:t>
            </w:r>
            <w:r w:rsidR="00272122" w:rsidRPr="0019406C">
              <w:rPr>
                <w:color w:val="000000"/>
                <w:lang w:val="lv-LV"/>
              </w:rPr>
              <w:t>9</w:t>
            </w:r>
          </w:p>
        </w:tc>
        <w:tc>
          <w:tcPr>
            <w:tcW w:w="859" w:type="pct"/>
            <w:noWrap/>
            <w:vAlign w:val="center"/>
          </w:tcPr>
          <w:p w:rsidR="00272122" w:rsidRPr="0019406C" w:rsidRDefault="007B41BD" w:rsidP="00272122">
            <w:pPr>
              <w:spacing w:before="20"/>
              <w:jc w:val="center"/>
              <w:cnfStyle w:val="000000100000" w:firstRow="0" w:lastRow="0" w:firstColumn="0" w:lastColumn="0" w:oddVBand="0" w:evenVBand="0" w:oddHBand="1" w:evenHBand="0" w:firstRowFirstColumn="0" w:firstRowLastColumn="0" w:lastRowFirstColumn="0" w:lastRowLastColumn="0"/>
              <w:rPr>
                <w:color w:val="000000"/>
                <w:lang w:val="lv-LV" w:eastAsia="lv-LV"/>
              </w:rPr>
            </w:pPr>
            <w:r w:rsidRPr="0019406C">
              <w:rPr>
                <w:color w:val="000000"/>
                <w:lang w:val="lv-LV" w:eastAsia="lv-LV"/>
              </w:rPr>
              <w:t>0,</w:t>
            </w:r>
            <w:r w:rsidR="00272122" w:rsidRPr="0019406C">
              <w:rPr>
                <w:color w:val="000000"/>
                <w:lang w:val="lv-LV" w:eastAsia="lv-LV"/>
              </w:rPr>
              <w:t xml:space="preserve">6 </w:t>
            </w:r>
          </w:p>
        </w:tc>
      </w:tr>
      <w:tr w:rsidR="00272122" w:rsidRPr="0019406C" w:rsidTr="00A9489E">
        <w:trPr>
          <w:trHeight w:val="20"/>
        </w:trPr>
        <w:tc>
          <w:tcPr>
            <w:cnfStyle w:val="001000000000" w:firstRow="0" w:lastRow="0" w:firstColumn="1" w:lastColumn="0" w:oddVBand="0" w:evenVBand="0" w:oddHBand="0" w:evenHBand="0" w:firstRowFirstColumn="0" w:firstRowLastColumn="0" w:lastRowFirstColumn="0" w:lastRowLastColumn="0"/>
            <w:tcW w:w="1882" w:type="pct"/>
            <w:shd w:val="clear" w:color="auto" w:fill="FFE0C5" w:themeFill="accent1" w:themeFillTint="33"/>
            <w:noWrap/>
            <w:vAlign w:val="bottom"/>
          </w:tcPr>
          <w:p w:rsidR="00272122" w:rsidRPr="0019406C" w:rsidRDefault="00272122" w:rsidP="00272122">
            <w:pPr>
              <w:spacing w:before="40"/>
              <w:rPr>
                <w:b w:val="0"/>
                <w:i/>
                <w:color w:val="000000"/>
                <w:lang w:val="lv-LV" w:eastAsia="lv-LV"/>
              </w:rPr>
            </w:pPr>
            <w:r w:rsidRPr="0019406C">
              <w:rPr>
                <w:i/>
                <w:color w:val="000000"/>
                <w:lang w:val="lv-LV" w:eastAsia="lv-LV"/>
              </w:rPr>
              <w:t>Reģions</w:t>
            </w:r>
          </w:p>
        </w:tc>
        <w:tc>
          <w:tcPr>
            <w:cnfStyle w:val="000010000000" w:firstRow="0" w:lastRow="0" w:firstColumn="0" w:lastColumn="0" w:oddVBand="1" w:evenVBand="0" w:oddHBand="0" w:evenHBand="0" w:firstRowFirstColumn="0" w:firstRowLastColumn="0" w:lastRowFirstColumn="0" w:lastRowLastColumn="0"/>
            <w:tcW w:w="633" w:type="pct"/>
            <w:shd w:val="clear" w:color="auto" w:fill="FFE0C5" w:themeFill="accent1" w:themeFillTint="33"/>
            <w:vAlign w:val="center"/>
          </w:tcPr>
          <w:p w:rsidR="00272122" w:rsidRPr="0019406C" w:rsidRDefault="00272122" w:rsidP="00272122">
            <w:pPr>
              <w:spacing w:before="40"/>
              <w:jc w:val="center"/>
              <w:rPr>
                <w:b/>
                <w:i/>
                <w:color w:val="000000"/>
                <w:lang w:val="lv-LV" w:eastAsia="lv-LV"/>
              </w:rPr>
            </w:pPr>
          </w:p>
        </w:tc>
        <w:tc>
          <w:tcPr>
            <w:tcW w:w="773" w:type="pct"/>
            <w:shd w:val="clear" w:color="auto" w:fill="FFE0C5" w:themeFill="accent1" w:themeFillTint="33"/>
            <w:vAlign w:val="center"/>
          </w:tcPr>
          <w:p w:rsidR="00272122" w:rsidRPr="0019406C" w:rsidRDefault="00272122" w:rsidP="00272122">
            <w:pPr>
              <w:spacing w:before="40"/>
              <w:jc w:val="center"/>
              <w:cnfStyle w:val="000000000000" w:firstRow="0" w:lastRow="0" w:firstColumn="0" w:lastColumn="0" w:oddVBand="0" w:evenVBand="0" w:oddHBand="0" w:evenHBand="0" w:firstRowFirstColumn="0" w:firstRowLastColumn="0" w:lastRowFirstColumn="0" w:lastRowLastColumn="0"/>
              <w:rPr>
                <w:b/>
                <w:i/>
                <w:color w:val="000000"/>
                <w:lang w:val="lv-LV" w:eastAsia="lv-LV"/>
              </w:rPr>
            </w:pPr>
          </w:p>
        </w:tc>
        <w:tc>
          <w:tcPr>
            <w:cnfStyle w:val="000010000000" w:firstRow="0" w:lastRow="0" w:firstColumn="0" w:lastColumn="0" w:oddVBand="1" w:evenVBand="0" w:oddHBand="0" w:evenHBand="0" w:firstRowFirstColumn="0" w:firstRowLastColumn="0" w:lastRowFirstColumn="0" w:lastRowLastColumn="0"/>
            <w:tcW w:w="853" w:type="pct"/>
            <w:shd w:val="clear" w:color="auto" w:fill="FFE0C5" w:themeFill="accent1" w:themeFillTint="33"/>
            <w:vAlign w:val="center"/>
          </w:tcPr>
          <w:p w:rsidR="00272122" w:rsidRPr="0019406C" w:rsidRDefault="00272122" w:rsidP="00272122">
            <w:pPr>
              <w:spacing w:before="40"/>
              <w:jc w:val="center"/>
              <w:rPr>
                <w:b/>
                <w:i/>
                <w:color w:val="000000"/>
                <w:lang w:val="lv-LV" w:eastAsia="lv-LV"/>
              </w:rPr>
            </w:pPr>
          </w:p>
        </w:tc>
        <w:tc>
          <w:tcPr>
            <w:tcW w:w="859" w:type="pct"/>
            <w:shd w:val="clear" w:color="auto" w:fill="FFE0C5" w:themeFill="accent1" w:themeFillTint="33"/>
            <w:noWrap/>
            <w:vAlign w:val="center"/>
          </w:tcPr>
          <w:p w:rsidR="00272122" w:rsidRPr="0019406C" w:rsidRDefault="00272122" w:rsidP="00272122">
            <w:pPr>
              <w:spacing w:before="40"/>
              <w:jc w:val="center"/>
              <w:cnfStyle w:val="000000000000" w:firstRow="0" w:lastRow="0" w:firstColumn="0" w:lastColumn="0" w:oddVBand="0" w:evenVBand="0" w:oddHBand="0" w:evenHBand="0" w:firstRowFirstColumn="0" w:firstRowLastColumn="0" w:lastRowFirstColumn="0" w:lastRowLastColumn="0"/>
              <w:rPr>
                <w:b/>
                <w:i/>
                <w:color w:val="000000"/>
                <w:lang w:val="lv-LV" w:eastAsia="lv-LV"/>
              </w:rPr>
            </w:pPr>
          </w:p>
        </w:tc>
      </w:tr>
      <w:tr w:rsidR="00272122" w:rsidRPr="0019406C" w:rsidTr="00A9489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82" w:type="pct"/>
            <w:noWrap/>
            <w:vAlign w:val="bottom"/>
          </w:tcPr>
          <w:p w:rsidR="00272122" w:rsidRPr="0019406C" w:rsidRDefault="00272122" w:rsidP="00272122">
            <w:pPr>
              <w:spacing w:before="20"/>
              <w:rPr>
                <w:color w:val="000000"/>
                <w:lang w:val="lv-LV" w:eastAsia="lv-LV"/>
              </w:rPr>
            </w:pPr>
            <w:r w:rsidRPr="0019406C">
              <w:rPr>
                <w:color w:val="000000"/>
                <w:lang w:val="lv-LV" w:eastAsia="lv-LV"/>
              </w:rPr>
              <w:t>1  Rīgas statistiskais reģions</w:t>
            </w:r>
          </w:p>
        </w:tc>
        <w:tc>
          <w:tcPr>
            <w:cnfStyle w:val="000010000000" w:firstRow="0" w:lastRow="0" w:firstColumn="0" w:lastColumn="0" w:oddVBand="1" w:evenVBand="0" w:oddHBand="0" w:evenHBand="0" w:firstRowFirstColumn="0" w:firstRowLastColumn="0" w:lastRowFirstColumn="0" w:lastRowLastColumn="0"/>
            <w:tcW w:w="633" w:type="pct"/>
            <w:vAlign w:val="center"/>
          </w:tcPr>
          <w:p w:rsidR="00272122" w:rsidRPr="0019406C" w:rsidRDefault="00272122" w:rsidP="00272122">
            <w:pPr>
              <w:spacing w:before="20"/>
              <w:jc w:val="center"/>
              <w:rPr>
                <w:color w:val="000000"/>
                <w:lang w:val="lv-LV" w:eastAsia="lv-LV"/>
              </w:rPr>
            </w:pPr>
            <w:r w:rsidRPr="0019406C">
              <w:rPr>
                <w:color w:val="000000"/>
                <w:lang w:val="lv-LV" w:eastAsia="lv-LV"/>
              </w:rPr>
              <w:t>54</w:t>
            </w:r>
          </w:p>
        </w:tc>
        <w:tc>
          <w:tcPr>
            <w:tcW w:w="773" w:type="pct"/>
            <w:vAlign w:val="center"/>
          </w:tcPr>
          <w:p w:rsidR="00272122" w:rsidRPr="0019406C" w:rsidRDefault="00272122" w:rsidP="00272122">
            <w:pPr>
              <w:spacing w:before="20"/>
              <w:jc w:val="center"/>
              <w:cnfStyle w:val="000000100000" w:firstRow="0" w:lastRow="0" w:firstColumn="0" w:lastColumn="0" w:oddVBand="0" w:evenVBand="0" w:oddHBand="1" w:evenHBand="0" w:firstRowFirstColumn="0" w:firstRowLastColumn="0" w:lastRowFirstColumn="0" w:lastRowLastColumn="0"/>
              <w:rPr>
                <w:color w:val="000000"/>
                <w:lang w:val="lv-LV"/>
              </w:rPr>
            </w:pPr>
            <w:r w:rsidRPr="0019406C">
              <w:rPr>
                <w:color w:val="000000"/>
                <w:lang w:val="lv-LV"/>
              </w:rPr>
              <w:t>390</w:t>
            </w:r>
          </w:p>
        </w:tc>
        <w:tc>
          <w:tcPr>
            <w:cnfStyle w:val="000010000000" w:firstRow="0" w:lastRow="0" w:firstColumn="0" w:lastColumn="0" w:oddVBand="1" w:evenVBand="0" w:oddHBand="0" w:evenHBand="0" w:firstRowFirstColumn="0" w:firstRowLastColumn="0" w:lastRowFirstColumn="0" w:lastRowLastColumn="0"/>
            <w:tcW w:w="853" w:type="pct"/>
            <w:vAlign w:val="center"/>
          </w:tcPr>
          <w:p w:rsidR="00272122" w:rsidRPr="0019406C" w:rsidRDefault="00272122" w:rsidP="00272122">
            <w:pPr>
              <w:spacing w:before="20"/>
              <w:jc w:val="center"/>
              <w:rPr>
                <w:color w:val="000000"/>
                <w:lang w:val="lv-LV"/>
              </w:rPr>
            </w:pPr>
            <w:r w:rsidRPr="0019406C">
              <w:rPr>
                <w:color w:val="000000"/>
                <w:lang w:val="lv-LV"/>
              </w:rPr>
              <w:t>53.1</w:t>
            </w:r>
          </w:p>
        </w:tc>
        <w:tc>
          <w:tcPr>
            <w:tcW w:w="859" w:type="pct"/>
            <w:noWrap/>
            <w:vAlign w:val="center"/>
          </w:tcPr>
          <w:p w:rsidR="00272122" w:rsidRPr="0019406C" w:rsidRDefault="007B41BD" w:rsidP="00272122">
            <w:pPr>
              <w:spacing w:before="20"/>
              <w:jc w:val="center"/>
              <w:cnfStyle w:val="000000100000" w:firstRow="0" w:lastRow="0" w:firstColumn="0" w:lastColumn="0" w:oddVBand="0" w:evenVBand="0" w:oddHBand="1" w:evenHBand="0" w:firstRowFirstColumn="0" w:firstRowLastColumn="0" w:lastRowFirstColumn="0" w:lastRowLastColumn="0"/>
              <w:rPr>
                <w:color w:val="000000"/>
                <w:lang w:val="lv-LV" w:eastAsia="lv-LV"/>
              </w:rPr>
            </w:pPr>
            <w:r w:rsidRPr="0019406C">
              <w:rPr>
                <w:color w:val="000000"/>
                <w:lang w:val="lv-LV" w:eastAsia="lv-LV"/>
              </w:rPr>
              <w:t>54,</w:t>
            </w:r>
            <w:r w:rsidR="00272122" w:rsidRPr="0019406C">
              <w:rPr>
                <w:color w:val="000000"/>
                <w:lang w:val="lv-LV" w:eastAsia="lv-LV"/>
              </w:rPr>
              <w:t>7</w:t>
            </w:r>
          </w:p>
        </w:tc>
      </w:tr>
      <w:tr w:rsidR="00272122" w:rsidRPr="0019406C" w:rsidTr="00A9489E">
        <w:trPr>
          <w:trHeight w:val="20"/>
        </w:trPr>
        <w:tc>
          <w:tcPr>
            <w:cnfStyle w:val="001000000000" w:firstRow="0" w:lastRow="0" w:firstColumn="1" w:lastColumn="0" w:oddVBand="0" w:evenVBand="0" w:oddHBand="0" w:evenHBand="0" w:firstRowFirstColumn="0" w:firstRowLastColumn="0" w:lastRowFirstColumn="0" w:lastRowLastColumn="0"/>
            <w:tcW w:w="1882" w:type="pct"/>
            <w:noWrap/>
            <w:vAlign w:val="bottom"/>
          </w:tcPr>
          <w:p w:rsidR="00272122" w:rsidRPr="0019406C" w:rsidRDefault="00272122" w:rsidP="00272122">
            <w:pPr>
              <w:spacing w:before="20"/>
              <w:rPr>
                <w:color w:val="000000"/>
                <w:lang w:val="lv-LV" w:eastAsia="lv-LV"/>
              </w:rPr>
            </w:pPr>
            <w:r w:rsidRPr="0019406C">
              <w:rPr>
                <w:color w:val="000000"/>
                <w:lang w:val="lv-LV" w:eastAsia="lv-LV"/>
              </w:rPr>
              <w:t>2  Pierīgas statistiskais reģions</w:t>
            </w:r>
          </w:p>
        </w:tc>
        <w:tc>
          <w:tcPr>
            <w:cnfStyle w:val="000010000000" w:firstRow="0" w:lastRow="0" w:firstColumn="0" w:lastColumn="0" w:oddVBand="1" w:evenVBand="0" w:oddHBand="0" w:evenHBand="0" w:firstRowFirstColumn="0" w:firstRowLastColumn="0" w:lastRowFirstColumn="0" w:lastRowLastColumn="0"/>
            <w:tcW w:w="633" w:type="pct"/>
            <w:vAlign w:val="center"/>
          </w:tcPr>
          <w:p w:rsidR="00272122" w:rsidRPr="0019406C" w:rsidRDefault="00272122" w:rsidP="00272122">
            <w:pPr>
              <w:spacing w:before="20"/>
              <w:jc w:val="center"/>
              <w:rPr>
                <w:color w:val="000000"/>
                <w:lang w:val="lv-LV" w:eastAsia="lv-LV"/>
              </w:rPr>
            </w:pPr>
            <w:r w:rsidRPr="0019406C">
              <w:rPr>
                <w:color w:val="000000"/>
                <w:lang w:val="lv-LV" w:eastAsia="lv-LV"/>
              </w:rPr>
              <w:t>16</w:t>
            </w:r>
          </w:p>
        </w:tc>
        <w:tc>
          <w:tcPr>
            <w:tcW w:w="773" w:type="pct"/>
            <w:vAlign w:val="center"/>
          </w:tcPr>
          <w:p w:rsidR="00272122" w:rsidRPr="0019406C" w:rsidRDefault="00272122" w:rsidP="00272122">
            <w:pPr>
              <w:spacing w:before="20"/>
              <w:jc w:val="center"/>
              <w:cnfStyle w:val="000000000000" w:firstRow="0" w:lastRow="0" w:firstColumn="0" w:lastColumn="0" w:oddVBand="0" w:evenVBand="0" w:oddHBand="0" w:evenHBand="0" w:firstRowFirstColumn="0" w:firstRowLastColumn="0" w:lastRowFirstColumn="0" w:lastRowLastColumn="0"/>
              <w:rPr>
                <w:color w:val="000000"/>
                <w:lang w:val="lv-LV"/>
              </w:rPr>
            </w:pPr>
            <w:r w:rsidRPr="0019406C">
              <w:rPr>
                <w:color w:val="000000"/>
                <w:lang w:val="lv-LV"/>
              </w:rPr>
              <w:t>117</w:t>
            </w:r>
          </w:p>
        </w:tc>
        <w:tc>
          <w:tcPr>
            <w:cnfStyle w:val="000010000000" w:firstRow="0" w:lastRow="0" w:firstColumn="0" w:lastColumn="0" w:oddVBand="1" w:evenVBand="0" w:oddHBand="0" w:evenHBand="0" w:firstRowFirstColumn="0" w:firstRowLastColumn="0" w:lastRowFirstColumn="0" w:lastRowLastColumn="0"/>
            <w:tcW w:w="853" w:type="pct"/>
            <w:vAlign w:val="center"/>
          </w:tcPr>
          <w:p w:rsidR="00272122" w:rsidRPr="0019406C" w:rsidRDefault="00272122" w:rsidP="00272122">
            <w:pPr>
              <w:spacing w:before="20"/>
              <w:jc w:val="center"/>
              <w:rPr>
                <w:color w:val="000000"/>
                <w:lang w:val="lv-LV"/>
              </w:rPr>
            </w:pPr>
            <w:r w:rsidRPr="0019406C">
              <w:rPr>
                <w:color w:val="000000"/>
                <w:lang w:val="lv-LV"/>
              </w:rPr>
              <w:t>15.9</w:t>
            </w:r>
          </w:p>
        </w:tc>
        <w:tc>
          <w:tcPr>
            <w:tcW w:w="859" w:type="pct"/>
            <w:noWrap/>
            <w:vAlign w:val="center"/>
          </w:tcPr>
          <w:p w:rsidR="00272122" w:rsidRPr="0019406C" w:rsidRDefault="007B41BD" w:rsidP="00272122">
            <w:pPr>
              <w:spacing w:before="20"/>
              <w:jc w:val="center"/>
              <w:cnfStyle w:val="000000000000" w:firstRow="0" w:lastRow="0" w:firstColumn="0" w:lastColumn="0" w:oddVBand="0" w:evenVBand="0" w:oddHBand="0" w:evenHBand="0" w:firstRowFirstColumn="0" w:firstRowLastColumn="0" w:lastRowFirstColumn="0" w:lastRowLastColumn="0"/>
              <w:rPr>
                <w:color w:val="000000"/>
                <w:lang w:val="lv-LV" w:eastAsia="lv-LV"/>
              </w:rPr>
            </w:pPr>
            <w:r w:rsidRPr="0019406C">
              <w:rPr>
                <w:color w:val="000000"/>
                <w:lang w:val="lv-LV" w:eastAsia="lv-LV"/>
              </w:rPr>
              <w:t>16,</w:t>
            </w:r>
            <w:r w:rsidR="00272122" w:rsidRPr="0019406C">
              <w:rPr>
                <w:color w:val="000000"/>
                <w:lang w:val="lv-LV" w:eastAsia="lv-LV"/>
              </w:rPr>
              <w:t>0</w:t>
            </w:r>
          </w:p>
        </w:tc>
      </w:tr>
      <w:tr w:rsidR="00272122" w:rsidRPr="0019406C" w:rsidTr="00A9489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82" w:type="pct"/>
            <w:noWrap/>
            <w:vAlign w:val="bottom"/>
          </w:tcPr>
          <w:p w:rsidR="00272122" w:rsidRPr="0019406C" w:rsidRDefault="00272122" w:rsidP="00272122">
            <w:pPr>
              <w:spacing w:before="20"/>
              <w:rPr>
                <w:color w:val="000000"/>
                <w:lang w:val="lv-LV" w:eastAsia="lv-LV"/>
              </w:rPr>
            </w:pPr>
            <w:r w:rsidRPr="0019406C">
              <w:rPr>
                <w:color w:val="000000"/>
                <w:lang w:val="lv-LV" w:eastAsia="lv-LV"/>
              </w:rPr>
              <w:t>3  Vidzemes statistiskais reģions</w:t>
            </w:r>
          </w:p>
        </w:tc>
        <w:tc>
          <w:tcPr>
            <w:cnfStyle w:val="000010000000" w:firstRow="0" w:lastRow="0" w:firstColumn="0" w:lastColumn="0" w:oddVBand="1" w:evenVBand="0" w:oddHBand="0" w:evenHBand="0" w:firstRowFirstColumn="0" w:firstRowLastColumn="0" w:lastRowFirstColumn="0" w:lastRowLastColumn="0"/>
            <w:tcW w:w="633" w:type="pct"/>
            <w:vAlign w:val="center"/>
          </w:tcPr>
          <w:p w:rsidR="00272122" w:rsidRPr="0019406C" w:rsidRDefault="00272122" w:rsidP="00272122">
            <w:pPr>
              <w:spacing w:before="20"/>
              <w:jc w:val="center"/>
              <w:rPr>
                <w:color w:val="000000"/>
                <w:lang w:val="lv-LV" w:eastAsia="lv-LV"/>
              </w:rPr>
            </w:pPr>
            <w:r w:rsidRPr="0019406C">
              <w:rPr>
                <w:color w:val="000000"/>
                <w:lang w:val="lv-LV" w:eastAsia="lv-LV"/>
              </w:rPr>
              <w:t>7</w:t>
            </w:r>
          </w:p>
        </w:tc>
        <w:tc>
          <w:tcPr>
            <w:tcW w:w="773" w:type="pct"/>
            <w:vAlign w:val="center"/>
          </w:tcPr>
          <w:p w:rsidR="00272122" w:rsidRPr="0019406C" w:rsidRDefault="00272122" w:rsidP="00272122">
            <w:pPr>
              <w:spacing w:before="20"/>
              <w:jc w:val="center"/>
              <w:cnfStyle w:val="000000100000" w:firstRow="0" w:lastRow="0" w:firstColumn="0" w:lastColumn="0" w:oddVBand="0" w:evenVBand="0" w:oddHBand="1" w:evenHBand="0" w:firstRowFirstColumn="0" w:firstRowLastColumn="0" w:lastRowFirstColumn="0" w:lastRowLastColumn="0"/>
              <w:rPr>
                <w:color w:val="000000"/>
                <w:lang w:val="lv-LV"/>
              </w:rPr>
            </w:pPr>
            <w:r w:rsidRPr="0019406C">
              <w:rPr>
                <w:color w:val="000000"/>
                <w:lang w:val="lv-LV"/>
              </w:rPr>
              <w:t>54</w:t>
            </w:r>
          </w:p>
        </w:tc>
        <w:tc>
          <w:tcPr>
            <w:cnfStyle w:val="000010000000" w:firstRow="0" w:lastRow="0" w:firstColumn="0" w:lastColumn="0" w:oddVBand="1" w:evenVBand="0" w:oddHBand="0" w:evenHBand="0" w:firstRowFirstColumn="0" w:firstRowLastColumn="0" w:lastRowFirstColumn="0" w:lastRowLastColumn="0"/>
            <w:tcW w:w="853" w:type="pct"/>
            <w:vAlign w:val="center"/>
          </w:tcPr>
          <w:p w:rsidR="00272122" w:rsidRPr="0019406C" w:rsidRDefault="007B41BD" w:rsidP="00272122">
            <w:pPr>
              <w:spacing w:before="20"/>
              <w:jc w:val="center"/>
              <w:rPr>
                <w:color w:val="000000"/>
                <w:lang w:val="lv-LV"/>
              </w:rPr>
            </w:pPr>
            <w:r w:rsidRPr="0019406C">
              <w:rPr>
                <w:color w:val="000000"/>
                <w:lang w:val="lv-LV"/>
              </w:rPr>
              <w:t>7,</w:t>
            </w:r>
            <w:r w:rsidR="00272122" w:rsidRPr="0019406C">
              <w:rPr>
                <w:color w:val="000000"/>
                <w:lang w:val="lv-LV"/>
              </w:rPr>
              <w:t>4</w:t>
            </w:r>
          </w:p>
        </w:tc>
        <w:tc>
          <w:tcPr>
            <w:tcW w:w="859" w:type="pct"/>
            <w:noWrap/>
            <w:vAlign w:val="center"/>
          </w:tcPr>
          <w:p w:rsidR="00272122" w:rsidRPr="0019406C" w:rsidRDefault="007B41BD" w:rsidP="00272122">
            <w:pPr>
              <w:spacing w:before="20"/>
              <w:jc w:val="center"/>
              <w:cnfStyle w:val="000000100000" w:firstRow="0" w:lastRow="0" w:firstColumn="0" w:lastColumn="0" w:oddVBand="0" w:evenVBand="0" w:oddHBand="1" w:evenHBand="0" w:firstRowFirstColumn="0" w:firstRowLastColumn="0" w:lastRowFirstColumn="0" w:lastRowLastColumn="0"/>
              <w:rPr>
                <w:color w:val="000000"/>
                <w:lang w:val="lv-LV" w:eastAsia="lv-LV"/>
              </w:rPr>
            </w:pPr>
            <w:r w:rsidRPr="0019406C">
              <w:rPr>
                <w:color w:val="000000"/>
                <w:lang w:val="lv-LV" w:eastAsia="lv-LV"/>
              </w:rPr>
              <w:t>7,</w:t>
            </w:r>
            <w:r w:rsidR="00272122" w:rsidRPr="0019406C">
              <w:rPr>
                <w:color w:val="000000"/>
                <w:lang w:val="lv-LV" w:eastAsia="lv-LV"/>
              </w:rPr>
              <w:t>0</w:t>
            </w:r>
          </w:p>
        </w:tc>
      </w:tr>
      <w:tr w:rsidR="00272122" w:rsidRPr="0019406C" w:rsidTr="00A9489E">
        <w:trPr>
          <w:trHeight w:val="20"/>
        </w:trPr>
        <w:tc>
          <w:tcPr>
            <w:cnfStyle w:val="001000000000" w:firstRow="0" w:lastRow="0" w:firstColumn="1" w:lastColumn="0" w:oddVBand="0" w:evenVBand="0" w:oddHBand="0" w:evenHBand="0" w:firstRowFirstColumn="0" w:firstRowLastColumn="0" w:lastRowFirstColumn="0" w:lastRowLastColumn="0"/>
            <w:tcW w:w="1882" w:type="pct"/>
            <w:noWrap/>
            <w:vAlign w:val="bottom"/>
          </w:tcPr>
          <w:p w:rsidR="00272122" w:rsidRPr="0019406C" w:rsidRDefault="00272122" w:rsidP="00272122">
            <w:pPr>
              <w:spacing w:before="20"/>
              <w:rPr>
                <w:color w:val="000000"/>
                <w:lang w:val="lv-LV" w:eastAsia="lv-LV"/>
              </w:rPr>
            </w:pPr>
            <w:r w:rsidRPr="0019406C">
              <w:rPr>
                <w:color w:val="000000"/>
                <w:lang w:val="lv-LV" w:eastAsia="lv-LV"/>
              </w:rPr>
              <w:t>4  Kurzemes statistiskais reģions</w:t>
            </w:r>
          </w:p>
        </w:tc>
        <w:tc>
          <w:tcPr>
            <w:cnfStyle w:val="000010000000" w:firstRow="0" w:lastRow="0" w:firstColumn="0" w:lastColumn="0" w:oddVBand="1" w:evenVBand="0" w:oddHBand="0" w:evenHBand="0" w:firstRowFirstColumn="0" w:firstRowLastColumn="0" w:lastRowFirstColumn="0" w:lastRowLastColumn="0"/>
            <w:tcW w:w="633" w:type="pct"/>
            <w:vAlign w:val="center"/>
          </w:tcPr>
          <w:p w:rsidR="00272122" w:rsidRPr="0019406C" w:rsidRDefault="00272122" w:rsidP="00272122">
            <w:pPr>
              <w:spacing w:before="20"/>
              <w:jc w:val="center"/>
              <w:rPr>
                <w:color w:val="000000"/>
                <w:lang w:val="lv-LV" w:eastAsia="lv-LV"/>
              </w:rPr>
            </w:pPr>
            <w:r w:rsidRPr="0019406C">
              <w:rPr>
                <w:color w:val="000000"/>
                <w:lang w:val="lv-LV" w:eastAsia="lv-LV"/>
              </w:rPr>
              <w:t>9</w:t>
            </w:r>
          </w:p>
        </w:tc>
        <w:tc>
          <w:tcPr>
            <w:tcW w:w="773" w:type="pct"/>
            <w:vAlign w:val="center"/>
          </w:tcPr>
          <w:p w:rsidR="00272122" w:rsidRPr="0019406C" w:rsidRDefault="00272122" w:rsidP="00272122">
            <w:pPr>
              <w:spacing w:before="20"/>
              <w:jc w:val="center"/>
              <w:cnfStyle w:val="000000000000" w:firstRow="0" w:lastRow="0" w:firstColumn="0" w:lastColumn="0" w:oddVBand="0" w:evenVBand="0" w:oddHBand="0" w:evenHBand="0" w:firstRowFirstColumn="0" w:firstRowLastColumn="0" w:lastRowFirstColumn="0" w:lastRowLastColumn="0"/>
              <w:rPr>
                <w:color w:val="000000"/>
                <w:lang w:val="lv-LV"/>
              </w:rPr>
            </w:pPr>
            <w:r w:rsidRPr="0019406C">
              <w:rPr>
                <w:color w:val="000000"/>
                <w:lang w:val="lv-LV"/>
              </w:rPr>
              <w:t>67</w:t>
            </w:r>
          </w:p>
        </w:tc>
        <w:tc>
          <w:tcPr>
            <w:cnfStyle w:val="000010000000" w:firstRow="0" w:lastRow="0" w:firstColumn="0" w:lastColumn="0" w:oddVBand="1" w:evenVBand="0" w:oddHBand="0" w:evenHBand="0" w:firstRowFirstColumn="0" w:firstRowLastColumn="0" w:lastRowFirstColumn="0" w:lastRowLastColumn="0"/>
            <w:tcW w:w="853" w:type="pct"/>
            <w:vAlign w:val="center"/>
          </w:tcPr>
          <w:p w:rsidR="00272122" w:rsidRPr="0019406C" w:rsidRDefault="007B41BD" w:rsidP="00272122">
            <w:pPr>
              <w:spacing w:before="20"/>
              <w:jc w:val="center"/>
              <w:rPr>
                <w:color w:val="000000"/>
                <w:lang w:val="lv-LV"/>
              </w:rPr>
            </w:pPr>
            <w:r w:rsidRPr="0019406C">
              <w:rPr>
                <w:color w:val="000000"/>
                <w:lang w:val="lv-LV"/>
              </w:rPr>
              <w:t>9,</w:t>
            </w:r>
            <w:r w:rsidR="00272122" w:rsidRPr="0019406C">
              <w:rPr>
                <w:color w:val="000000"/>
                <w:lang w:val="lv-LV"/>
              </w:rPr>
              <w:t>1</w:t>
            </w:r>
          </w:p>
        </w:tc>
        <w:tc>
          <w:tcPr>
            <w:tcW w:w="859" w:type="pct"/>
            <w:noWrap/>
            <w:vAlign w:val="center"/>
          </w:tcPr>
          <w:p w:rsidR="00272122" w:rsidRPr="0019406C" w:rsidRDefault="007B41BD" w:rsidP="00272122">
            <w:pPr>
              <w:spacing w:before="20"/>
              <w:jc w:val="center"/>
              <w:cnfStyle w:val="000000000000" w:firstRow="0" w:lastRow="0" w:firstColumn="0" w:lastColumn="0" w:oddVBand="0" w:evenVBand="0" w:oddHBand="0" w:evenHBand="0" w:firstRowFirstColumn="0" w:firstRowLastColumn="0" w:lastRowFirstColumn="0" w:lastRowLastColumn="0"/>
              <w:rPr>
                <w:color w:val="000000"/>
                <w:lang w:val="lv-LV" w:eastAsia="lv-LV"/>
              </w:rPr>
            </w:pPr>
            <w:r w:rsidRPr="0019406C">
              <w:rPr>
                <w:color w:val="000000"/>
                <w:lang w:val="lv-LV" w:eastAsia="lv-LV"/>
              </w:rPr>
              <w:t>8,</w:t>
            </w:r>
            <w:r w:rsidR="00272122" w:rsidRPr="0019406C">
              <w:rPr>
                <w:color w:val="000000"/>
                <w:lang w:val="lv-LV" w:eastAsia="lv-LV"/>
              </w:rPr>
              <w:t>2</w:t>
            </w:r>
          </w:p>
        </w:tc>
      </w:tr>
      <w:tr w:rsidR="00272122" w:rsidRPr="0019406C" w:rsidTr="00A9489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82" w:type="pct"/>
            <w:noWrap/>
            <w:vAlign w:val="bottom"/>
          </w:tcPr>
          <w:p w:rsidR="00272122" w:rsidRPr="0019406C" w:rsidRDefault="00272122" w:rsidP="00272122">
            <w:pPr>
              <w:spacing w:before="20"/>
              <w:rPr>
                <w:color w:val="000000"/>
                <w:lang w:val="lv-LV" w:eastAsia="lv-LV"/>
              </w:rPr>
            </w:pPr>
            <w:r w:rsidRPr="0019406C">
              <w:rPr>
                <w:color w:val="000000"/>
                <w:lang w:val="lv-LV" w:eastAsia="lv-LV"/>
              </w:rPr>
              <w:t>5  Zemgales statistiskais reģions</w:t>
            </w:r>
          </w:p>
        </w:tc>
        <w:tc>
          <w:tcPr>
            <w:cnfStyle w:val="000010000000" w:firstRow="0" w:lastRow="0" w:firstColumn="0" w:lastColumn="0" w:oddVBand="1" w:evenVBand="0" w:oddHBand="0" w:evenHBand="0" w:firstRowFirstColumn="0" w:firstRowLastColumn="0" w:lastRowFirstColumn="0" w:lastRowLastColumn="0"/>
            <w:tcW w:w="633" w:type="pct"/>
            <w:vAlign w:val="center"/>
          </w:tcPr>
          <w:p w:rsidR="00272122" w:rsidRPr="0019406C" w:rsidRDefault="00272122" w:rsidP="00272122">
            <w:pPr>
              <w:spacing w:before="20"/>
              <w:jc w:val="center"/>
              <w:rPr>
                <w:color w:val="000000"/>
                <w:lang w:val="lv-LV" w:eastAsia="lv-LV"/>
              </w:rPr>
            </w:pPr>
            <w:r w:rsidRPr="0019406C">
              <w:rPr>
                <w:color w:val="000000"/>
                <w:lang w:val="lv-LV" w:eastAsia="lv-LV"/>
              </w:rPr>
              <w:t>7</w:t>
            </w:r>
          </w:p>
        </w:tc>
        <w:tc>
          <w:tcPr>
            <w:tcW w:w="773" w:type="pct"/>
            <w:vAlign w:val="center"/>
          </w:tcPr>
          <w:p w:rsidR="00272122" w:rsidRPr="0019406C" w:rsidRDefault="00272122" w:rsidP="00272122">
            <w:pPr>
              <w:spacing w:before="20"/>
              <w:jc w:val="center"/>
              <w:cnfStyle w:val="000000100000" w:firstRow="0" w:lastRow="0" w:firstColumn="0" w:lastColumn="0" w:oddVBand="0" w:evenVBand="0" w:oddHBand="1" w:evenHBand="0" w:firstRowFirstColumn="0" w:firstRowLastColumn="0" w:lastRowFirstColumn="0" w:lastRowLastColumn="0"/>
              <w:rPr>
                <w:color w:val="000000"/>
                <w:lang w:val="lv-LV"/>
              </w:rPr>
            </w:pPr>
            <w:r w:rsidRPr="0019406C">
              <w:rPr>
                <w:color w:val="000000"/>
                <w:lang w:val="lv-LV"/>
              </w:rPr>
              <w:t>54</w:t>
            </w:r>
          </w:p>
        </w:tc>
        <w:tc>
          <w:tcPr>
            <w:cnfStyle w:val="000010000000" w:firstRow="0" w:lastRow="0" w:firstColumn="0" w:lastColumn="0" w:oddVBand="1" w:evenVBand="0" w:oddHBand="0" w:evenHBand="0" w:firstRowFirstColumn="0" w:firstRowLastColumn="0" w:lastRowFirstColumn="0" w:lastRowLastColumn="0"/>
            <w:tcW w:w="853" w:type="pct"/>
            <w:vAlign w:val="center"/>
          </w:tcPr>
          <w:p w:rsidR="00272122" w:rsidRPr="0019406C" w:rsidRDefault="007B41BD" w:rsidP="00272122">
            <w:pPr>
              <w:spacing w:before="20"/>
              <w:jc w:val="center"/>
              <w:rPr>
                <w:color w:val="000000"/>
                <w:lang w:val="lv-LV"/>
              </w:rPr>
            </w:pPr>
            <w:r w:rsidRPr="0019406C">
              <w:rPr>
                <w:color w:val="000000"/>
                <w:lang w:val="lv-LV"/>
              </w:rPr>
              <w:t>7,</w:t>
            </w:r>
            <w:r w:rsidR="00272122" w:rsidRPr="0019406C">
              <w:rPr>
                <w:color w:val="000000"/>
                <w:lang w:val="lv-LV"/>
              </w:rPr>
              <w:t>4</w:t>
            </w:r>
          </w:p>
        </w:tc>
        <w:tc>
          <w:tcPr>
            <w:tcW w:w="859" w:type="pct"/>
            <w:noWrap/>
            <w:vAlign w:val="center"/>
          </w:tcPr>
          <w:p w:rsidR="00272122" w:rsidRPr="0019406C" w:rsidRDefault="007B41BD" w:rsidP="00272122">
            <w:pPr>
              <w:spacing w:before="20"/>
              <w:jc w:val="center"/>
              <w:cnfStyle w:val="000000100000" w:firstRow="0" w:lastRow="0" w:firstColumn="0" w:lastColumn="0" w:oddVBand="0" w:evenVBand="0" w:oddHBand="1" w:evenHBand="0" w:firstRowFirstColumn="0" w:firstRowLastColumn="0" w:lastRowFirstColumn="0" w:lastRowLastColumn="0"/>
              <w:rPr>
                <w:color w:val="000000"/>
                <w:lang w:val="lv-LV" w:eastAsia="lv-LV"/>
              </w:rPr>
            </w:pPr>
            <w:r w:rsidRPr="0019406C">
              <w:rPr>
                <w:color w:val="000000"/>
                <w:lang w:val="lv-LV" w:eastAsia="lv-LV"/>
              </w:rPr>
              <w:t>6,</w:t>
            </w:r>
            <w:r w:rsidR="00272122" w:rsidRPr="0019406C">
              <w:rPr>
                <w:color w:val="000000"/>
                <w:lang w:val="lv-LV" w:eastAsia="lv-LV"/>
              </w:rPr>
              <w:t>8</w:t>
            </w:r>
          </w:p>
        </w:tc>
      </w:tr>
      <w:tr w:rsidR="00272122" w:rsidRPr="0019406C" w:rsidTr="00A9489E">
        <w:trPr>
          <w:trHeight w:val="20"/>
        </w:trPr>
        <w:tc>
          <w:tcPr>
            <w:cnfStyle w:val="001000000000" w:firstRow="0" w:lastRow="0" w:firstColumn="1" w:lastColumn="0" w:oddVBand="0" w:evenVBand="0" w:oddHBand="0" w:evenHBand="0" w:firstRowFirstColumn="0" w:firstRowLastColumn="0" w:lastRowFirstColumn="0" w:lastRowLastColumn="0"/>
            <w:tcW w:w="1882" w:type="pct"/>
            <w:noWrap/>
            <w:vAlign w:val="bottom"/>
          </w:tcPr>
          <w:p w:rsidR="00272122" w:rsidRPr="0019406C" w:rsidRDefault="00272122" w:rsidP="00272122">
            <w:pPr>
              <w:spacing w:before="20"/>
              <w:rPr>
                <w:color w:val="000000"/>
                <w:lang w:val="lv-LV" w:eastAsia="lv-LV"/>
              </w:rPr>
            </w:pPr>
            <w:r w:rsidRPr="0019406C">
              <w:rPr>
                <w:color w:val="000000"/>
                <w:lang w:val="lv-LV" w:eastAsia="lv-LV"/>
              </w:rPr>
              <w:t>6  Latgales statistiskais reģions</w:t>
            </w:r>
          </w:p>
        </w:tc>
        <w:tc>
          <w:tcPr>
            <w:cnfStyle w:val="000010000000" w:firstRow="0" w:lastRow="0" w:firstColumn="0" w:lastColumn="0" w:oddVBand="1" w:evenVBand="0" w:oddHBand="0" w:evenHBand="0" w:firstRowFirstColumn="0" w:firstRowLastColumn="0" w:lastRowFirstColumn="0" w:lastRowLastColumn="0"/>
            <w:tcW w:w="633" w:type="pct"/>
            <w:vAlign w:val="center"/>
          </w:tcPr>
          <w:p w:rsidR="00272122" w:rsidRPr="0019406C" w:rsidRDefault="00272122" w:rsidP="00272122">
            <w:pPr>
              <w:spacing w:before="20"/>
              <w:jc w:val="center"/>
              <w:rPr>
                <w:color w:val="000000"/>
                <w:lang w:val="lv-LV" w:eastAsia="lv-LV"/>
              </w:rPr>
            </w:pPr>
            <w:r w:rsidRPr="0019406C">
              <w:rPr>
                <w:color w:val="000000"/>
                <w:lang w:val="lv-LV" w:eastAsia="lv-LV"/>
              </w:rPr>
              <w:t>7</w:t>
            </w:r>
          </w:p>
        </w:tc>
        <w:tc>
          <w:tcPr>
            <w:tcW w:w="773" w:type="pct"/>
            <w:vAlign w:val="center"/>
          </w:tcPr>
          <w:p w:rsidR="00272122" w:rsidRPr="0019406C" w:rsidRDefault="00272122" w:rsidP="00272122">
            <w:pPr>
              <w:spacing w:before="20"/>
              <w:jc w:val="center"/>
              <w:cnfStyle w:val="000000000000" w:firstRow="0" w:lastRow="0" w:firstColumn="0" w:lastColumn="0" w:oddVBand="0" w:evenVBand="0" w:oddHBand="0" w:evenHBand="0" w:firstRowFirstColumn="0" w:firstRowLastColumn="0" w:lastRowFirstColumn="0" w:lastRowLastColumn="0"/>
              <w:rPr>
                <w:color w:val="000000"/>
                <w:lang w:val="lv-LV"/>
              </w:rPr>
            </w:pPr>
            <w:r w:rsidRPr="0019406C">
              <w:rPr>
                <w:color w:val="000000"/>
                <w:lang w:val="lv-LV"/>
              </w:rPr>
              <w:t>52</w:t>
            </w:r>
          </w:p>
        </w:tc>
        <w:tc>
          <w:tcPr>
            <w:cnfStyle w:val="000010000000" w:firstRow="0" w:lastRow="0" w:firstColumn="0" w:lastColumn="0" w:oddVBand="1" w:evenVBand="0" w:oddHBand="0" w:evenHBand="0" w:firstRowFirstColumn="0" w:firstRowLastColumn="0" w:lastRowFirstColumn="0" w:lastRowLastColumn="0"/>
            <w:tcW w:w="853" w:type="pct"/>
            <w:vAlign w:val="center"/>
          </w:tcPr>
          <w:p w:rsidR="00272122" w:rsidRPr="0019406C" w:rsidRDefault="00272122" w:rsidP="00272122">
            <w:pPr>
              <w:spacing w:before="20"/>
              <w:jc w:val="center"/>
              <w:rPr>
                <w:color w:val="000000"/>
                <w:lang w:val="lv-LV"/>
              </w:rPr>
            </w:pPr>
            <w:r w:rsidRPr="0019406C">
              <w:rPr>
                <w:color w:val="000000"/>
                <w:lang w:val="lv-LV"/>
              </w:rPr>
              <w:t>7</w:t>
            </w:r>
            <w:r w:rsidR="007B41BD" w:rsidRPr="0019406C">
              <w:rPr>
                <w:color w:val="000000"/>
                <w:lang w:val="lv-LV"/>
              </w:rPr>
              <w:t>,</w:t>
            </w:r>
            <w:r w:rsidRPr="0019406C">
              <w:rPr>
                <w:color w:val="000000"/>
                <w:lang w:val="lv-LV"/>
              </w:rPr>
              <w:t>1</w:t>
            </w:r>
          </w:p>
        </w:tc>
        <w:tc>
          <w:tcPr>
            <w:tcW w:w="859" w:type="pct"/>
            <w:noWrap/>
            <w:vAlign w:val="center"/>
          </w:tcPr>
          <w:p w:rsidR="00272122" w:rsidRPr="0019406C" w:rsidRDefault="00272122" w:rsidP="00272122">
            <w:pPr>
              <w:spacing w:before="20"/>
              <w:jc w:val="center"/>
              <w:cnfStyle w:val="000000000000" w:firstRow="0" w:lastRow="0" w:firstColumn="0" w:lastColumn="0" w:oddVBand="0" w:evenVBand="0" w:oddHBand="0" w:evenHBand="0" w:firstRowFirstColumn="0" w:firstRowLastColumn="0" w:lastRowFirstColumn="0" w:lastRowLastColumn="0"/>
              <w:rPr>
                <w:color w:val="000000"/>
                <w:lang w:val="lv-LV" w:eastAsia="lv-LV"/>
              </w:rPr>
            </w:pPr>
            <w:r w:rsidRPr="0019406C">
              <w:rPr>
                <w:color w:val="000000"/>
                <w:lang w:val="lv-LV" w:eastAsia="lv-LV"/>
              </w:rPr>
              <w:t>7</w:t>
            </w:r>
            <w:r w:rsidR="007B41BD" w:rsidRPr="0019406C">
              <w:rPr>
                <w:color w:val="000000"/>
                <w:lang w:val="lv-LV" w:eastAsia="lv-LV"/>
              </w:rPr>
              <w:t>,</w:t>
            </w:r>
            <w:r w:rsidRPr="0019406C">
              <w:rPr>
                <w:color w:val="000000"/>
                <w:lang w:val="lv-LV" w:eastAsia="lv-LV"/>
              </w:rPr>
              <w:t>3</w:t>
            </w:r>
          </w:p>
        </w:tc>
      </w:tr>
      <w:tr w:rsidR="00272122" w:rsidRPr="0019406C" w:rsidTr="00A9489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82" w:type="pct"/>
            <w:shd w:val="clear" w:color="auto" w:fill="FFE0C5" w:themeFill="accent1" w:themeFillTint="33"/>
            <w:noWrap/>
            <w:vAlign w:val="bottom"/>
          </w:tcPr>
          <w:p w:rsidR="00272122" w:rsidRPr="0019406C" w:rsidRDefault="00272122" w:rsidP="00272122">
            <w:pPr>
              <w:spacing w:before="40"/>
              <w:rPr>
                <w:b w:val="0"/>
                <w:i/>
                <w:color w:val="000000"/>
                <w:lang w:val="lv-LV" w:eastAsia="lv-LV"/>
              </w:rPr>
            </w:pPr>
            <w:r w:rsidRPr="0019406C">
              <w:rPr>
                <w:i/>
                <w:color w:val="000000"/>
                <w:lang w:val="lv-LV" w:eastAsia="lv-LV"/>
              </w:rPr>
              <w:t>Apdzīvotas vietas tips</w:t>
            </w:r>
          </w:p>
        </w:tc>
        <w:tc>
          <w:tcPr>
            <w:cnfStyle w:val="000010000000" w:firstRow="0" w:lastRow="0" w:firstColumn="0" w:lastColumn="0" w:oddVBand="1" w:evenVBand="0" w:oddHBand="0" w:evenHBand="0" w:firstRowFirstColumn="0" w:firstRowLastColumn="0" w:lastRowFirstColumn="0" w:lastRowLastColumn="0"/>
            <w:tcW w:w="633" w:type="pct"/>
            <w:shd w:val="clear" w:color="auto" w:fill="FFE0C5" w:themeFill="accent1" w:themeFillTint="33"/>
            <w:vAlign w:val="center"/>
          </w:tcPr>
          <w:p w:rsidR="00272122" w:rsidRPr="0019406C" w:rsidRDefault="00272122" w:rsidP="00272122">
            <w:pPr>
              <w:spacing w:before="40"/>
              <w:jc w:val="center"/>
              <w:rPr>
                <w:b/>
                <w:i/>
                <w:color w:val="000000"/>
                <w:lang w:val="lv-LV" w:eastAsia="lv-LV"/>
              </w:rPr>
            </w:pPr>
          </w:p>
        </w:tc>
        <w:tc>
          <w:tcPr>
            <w:tcW w:w="773" w:type="pct"/>
            <w:shd w:val="clear" w:color="auto" w:fill="FFE0C5" w:themeFill="accent1" w:themeFillTint="33"/>
            <w:vAlign w:val="center"/>
          </w:tcPr>
          <w:p w:rsidR="00272122" w:rsidRPr="0019406C" w:rsidRDefault="00272122" w:rsidP="00272122">
            <w:pPr>
              <w:spacing w:before="40"/>
              <w:jc w:val="center"/>
              <w:cnfStyle w:val="000000100000" w:firstRow="0" w:lastRow="0" w:firstColumn="0" w:lastColumn="0" w:oddVBand="0" w:evenVBand="0" w:oddHBand="1" w:evenHBand="0" w:firstRowFirstColumn="0" w:firstRowLastColumn="0" w:lastRowFirstColumn="0" w:lastRowLastColumn="0"/>
              <w:rPr>
                <w:b/>
                <w:i/>
                <w:color w:val="000000"/>
                <w:lang w:val="lv-LV" w:eastAsia="lv-LV"/>
              </w:rPr>
            </w:pPr>
          </w:p>
        </w:tc>
        <w:tc>
          <w:tcPr>
            <w:cnfStyle w:val="000010000000" w:firstRow="0" w:lastRow="0" w:firstColumn="0" w:lastColumn="0" w:oddVBand="1" w:evenVBand="0" w:oddHBand="0" w:evenHBand="0" w:firstRowFirstColumn="0" w:firstRowLastColumn="0" w:lastRowFirstColumn="0" w:lastRowLastColumn="0"/>
            <w:tcW w:w="853" w:type="pct"/>
            <w:shd w:val="clear" w:color="auto" w:fill="FFE0C5" w:themeFill="accent1" w:themeFillTint="33"/>
            <w:vAlign w:val="center"/>
          </w:tcPr>
          <w:p w:rsidR="00272122" w:rsidRPr="0019406C" w:rsidRDefault="00272122" w:rsidP="00272122">
            <w:pPr>
              <w:spacing w:before="40"/>
              <w:jc w:val="center"/>
              <w:rPr>
                <w:b/>
                <w:i/>
                <w:color w:val="000000"/>
                <w:lang w:val="lv-LV" w:eastAsia="lv-LV"/>
              </w:rPr>
            </w:pPr>
          </w:p>
        </w:tc>
        <w:tc>
          <w:tcPr>
            <w:tcW w:w="859" w:type="pct"/>
            <w:shd w:val="clear" w:color="auto" w:fill="FFE0C5" w:themeFill="accent1" w:themeFillTint="33"/>
            <w:noWrap/>
            <w:vAlign w:val="center"/>
          </w:tcPr>
          <w:p w:rsidR="00272122" w:rsidRPr="0019406C" w:rsidRDefault="00272122" w:rsidP="00272122">
            <w:pPr>
              <w:spacing w:before="40"/>
              <w:jc w:val="center"/>
              <w:cnfStyle w:val="000000100000" w:firstRow="0" w:lastRow="0" w:firstColumn="0" w:lastColumn="0" w:oddVBand="0" w:evenVBand="0" w:oddHBand="1" w:evenHBand="0" w:firstRowFirstColumn="0" w:firstRowLastColumn="0" w:lastRowFirstColumn="0" w:lastRowLastColumn="0"/>
              <w:rPr>
                <w:b/>
                <w:i/>
                <w:color w:val="000000"/>
                <w:lang w:val="lv-LV" w:eastAsia="lv-LV"/>
              </w:rPr>
            </w:pPr>
          </w:p>
        </w:tc>
      </w:tr>
      <w:tr w:rsidR="00272122" w:rsidRPr="0019406C" w:rsidTr="00A9489E">
        <w:trPr>
          <w:trHeight w:val="20"/>
        </w:trPr>
        <w:tc>
          <w:tcPr>
            <w:cnfStyle w:val="001000000000" w:firstRow="0" w:lastRow="0" w:firstColumn="1" w:lastColumn="0" w:oddVBand="0" w:evenVBand="0" w:oddHBand="0" w:evenHBand="0" w:firstRowFirstColumn="0" w:firstRowLastColumn="0" w:lastRowFirstColumn="0" w:lastRowLastColumn="0"/>
            <w:tcW w:w="1882" w:type="pct"/>
            <w:noWrap/>
            <w:vAlign w:val="bottom"/>
          </w:tcPr>
          <w:p w:rsidR="00272122" w:rsidRPr="0019406C" w:rsidRDefault="00272122" w:rsidP="00272122">
            <w:pPr>
              <w:spacing w:before="20"/>
              <w:rPr>
                <w:color w:val="000000"/>
                <w:lang w:val="lv-LV" w:eastAsia="lv-LV"/>
              </w:rPr>
            </w:pPr>
            <w:r w:rsidRPr="0019406C">
              <w:rPr>
                <w:color w:val="000000"/>
                <w:lang w:val="lv-LV" w:eastAsia="lv-LV"/>
              </w:rPr>
              <w:t>1  Rīga</w:t>
            </w:r>
          </w:p>
        </w:tc>
        <w:tc>
          <w:tcPr>
            <w:cnfStyle w:val="000010000000" w:firstRow="0" w:lastRow="0" w:firstColumn="0" w:lastColumn="0" w:oddVBand="1" w:evenVBand="0" w:oddHBand="0" w:evenHBand="0" w:firstRowFirstColumn="0" w:firstRowLastColumn="0" w:lastRowFirstColumn="0" w:lastRowLastColumn="0"/>
            <w:tcW w:w="633" w:type="pct"/>
            <w:vAlign w:val="center"/>
          </w:tcPr>
          <w:p w:rsidR="00272122" w:rsidRPr="0019406C" w:rsidRDefault="00272122" w:rsidP="00272122">
            <w:pPr>
              <w:spacing w:before="20"/>
              <w:jc w:val="center"/>
              <w:rPr>
                <w:color w:val="000000"/>
                <w:lang w:val="lv-LV" w:eastAsia="lv-LV"/>
              </w:rPr>
            </w:pPr>
            <w:r w:rsidRPr="0019406C">
              <w:rPr>
                <w:color w:val="000000"/>
                <w:lang w:val="lv-LV" w:eastAsia="lv-LV"/>
              </w:rPr>
              <w:t>54</w:t>
            </w:r>
          </w:p>
        </w:tc>
        <w:tc>
          <w:tcPr>
            <w:tcW w:w="773" w:type="pct"/>
            <w:vAlign w:val="center"/>
          </w:tcPr>
          <w:p w:rsidR="00272122" w:rsidRPr="0019406C" w:rsidRDefault="00272122" w:rsidP="00272122">
            <w:pPr>
              <w:spacing w:before="20"/>
              <w:jc w:val="center"/>
              <w:cnfStyle w:val="000000000000" w:firstRow="0" w:lastRow="0" w:firstColumn="0" w:lastColumn="0" w:oddVBand="0" w:evenVBand="0" w:oddHBand="0" w:evenHBand="0" w:firstRowFirstColumn="0" w:firstRowLastColumn="0" w:lastRowFirstColumn="0" w:lastRowLastColumn="0"/>
              <w:rPr>
                <w:color w:val="000000"/>
                <w:lang w:val="lv-LV"/>
              </w:rPr>
            </w:pPr>
            <w:r w:rsidRPr="0019406C">
              <w:rPr>
                <w:color w:val="000000"/>
                <w:lang w:val="lv-LV"/>
              </w:rPr>
              <w:t>390</w:t>
            </w:r>
          </w:p>
        </w:tc>
        <w:tc>
          <w:tcPr>
            <w:cnfStyle w:val="000010000000" w:firstRow="0" w:lastRow="0" w:firstColumn="0" w:lastColumn="0" w:oddVBand="1" w:evenVBand="0" w:oddHBand="0" w:evenHBand="0" w:firstRowFirstColumn="0" w:firstRowLastColumn="0" w:lastRowFirstColumn="0" w:lastRowLastColumn="0"/>
            <w:tcW w:w="853" w:type="pct"/>
            <w:vAlign w:val="center"/>
          </w:tcPr>
          <w:p w:rsidR="00272122" w:rsidRPr="0019406C" w:rsidRDefault="00272122" w:rsidP="00272122">
            <w:pPr>
              <w:spacing w:before="20"/>
              <w:jc w:val="center"/>
              <w:rPr>
                <w:color w:val="000000"/>
                <w:lang w:val="lv-LV"/>
              </w:rPr>
            </w:pPr>
            <w:r w:rsidRPr="0019406C">
              <w:rPr>
                <w:color w:val="000000"/>
                <w:lang w:val="lv-LV"/>
              </w:rPr>
              <w:t>53</w:t>
            </w:r>
            <w:r w:rsidR="007B41BD" w:rsidRPr="0019406C">
              <w:rPr>
                <w:color w:val="000000"/>
                <w:lang w:val="lv-LV"/>
              </w:rPr>
              <w:t>,</w:t>
            </w:r>
            <w:r w:rsidRPr="0019406C">
              <w:rPr>
                <w:color w:val="000000"/>
                <w:lang w:val="lv-LV"/>
              </w:rPr>
              <w:t>1</w:t>
            </w:r>
          </w:p>
        </w:tc>
        <w:tc>
          <w:tcPr>
            <w:tcW w:w="859" w:type="pct"/>
            <w:noWrap/>
            <w:vAlign w:val="center"/>
          </w:tcPr>
          <w:p w:rsidR="00272122" w:rsidRPr="0019406C" w:rsidRDefault="00272122" w:rsidP="00272122">
            <w:pPr>
              <w:spacing w:before="20"/>
              <w:jc w:val="center"/>
              <w:cnfStyle w:val="000000000000" w:firstRow="0" w:lastRow="0" w:firstColumn="0" w:lastColumn="0" w:oddVBand="0" w:evenVBand="0" w:oddHBand="0" w:evenHBand="0" w:firstRowFirstColumn="0" w:firstRowLastColumn="0" w:lastRowFirstColumn="0" w:lastRowLastColumn="0"/>
              <w:rPr>
                <w:color w:val="000000"/>
                <w:lang w:val="lv-LV" w:eastAsia="lv-LV"/>
              </w:rPr>
            </w:pPr>
            <w:r w:rsidRPr="0019406C">
              <w:rPr>
                <w:color w:val="000000"/>
                <w:lang w:val="lv-LV" w:eastAsia="lv-LV"/>
              </w:rPr>
              <w:t>54</w:t>
            </w:r>
            <w:r w:rsidR="007B41BD" w:rsidRPr="0019406C">
              <w:rPr>
                <w:color w:val="000000"/>
                <w:lang w:val="lv-LV" w:eastAsia="lv-LV"/>
              </w:rPr>
              <w:t>,</w:t>
            </w:r>
            <w:r w:rsidRPr="0019406C">
              <w:rPr>
                <w:color w:val="000000"/>
                <w:lang w:val="lv-LV" w:eastAsia="lv-LV"/>
              </w:rPr>
              <w:t>7</w:t>
            </w:r>
          </w:p>
        </w:tc>
      </w:tr>
      <w:tr w:rsidR="00272122" w:rsidRPr="0019406C" w:rsidTr="00A9489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82" w:type="pct"/>
            <w:noWrap/>
            <w:vAlign w:val="bottom"/>
          </w:tcPr>
          <w:p w:rsidR="00272122" w:rsidRPr="0019406C" w:rsidRDefault="00272122" w:rsidP="00272122">
            <w:pPr>
              <w:spacing w:before="20"/>
              <w:rPr>
                <w:color w:val="000000"/>
                <w:lang w:val="lv-LV" w:eastAsia="lv-LV"/>
              </w:rPr>
            </w:pPr>
            <w:r w:rsidRPr="0019406C">
              <w:rPr>
                <w:color w:val="000000"/>
                <w:lang w:val="lv-LV" w:eastAsia="lv-LV"/>
              </w:rPr>
              <w:t>2  Lielpilsētas</w:t>
            </w:r>
          </w:p>
        </w:tc>
        <w:tc>
          <w:tcPr>
            <w:cnfStyle w:val="000010000000" w:firstRow="0" w:lastRow="0" w:firstColumn="0" w:lastColumn="0" w:oddVBand="1" w:evenVBand="0" w:oddHBand="0" w:evenHBand="0" w:firstRowFirstColumn="0" w:firstRowLastColumn="0" w:lastRowFirstColumn="0" w:lastRowLastColumn="0"/>
            <w:tcW w:w="633" w:type="pct"/>
            <w:vAlign w:val="center"/>
          </w:tcPr>
          <w:p w:rsidR="00272122" w:rsidRPr="0019406C" w:rsidRDefault="00272122" w:rsidP="00272122">
            <w:pPr>
              <w:spacing w:before="20"/>
              <w:jc w:val="center"/>
              <w:rPr>
                <w:color w:val="000000"/>
                <w:lang w:val="lv-LV" w:eastAsia="lv-LV"/>
              </w:rPr>
            </w:pPr>
            <w:r w:rsidRPr="0019406C">
              <w:rPr>
                <w:color w:val="000000"/>
                <w:lang w:val="lv-LV" w:eastAsia="lv-LV"/>
              </w:rPr>
              <w:t>15</w:t>
            </w:r>
          </w:p>
        </w:tc>
        <w:tc>
          <w:tcPr>
            <w:tcW w:w="773" w:type="pct"/>
            <w:vAlign w:val="center"/>
          </w:tcPr>
          <w:p w:rsidR="00272122" w:rsidRPr="0019406C" w:rsidRDefault="00272122" w:rsidP="00272122">
            <w:pPr>
              <w:spacing w:before="20"/>
              <w:jc w:val="center"/>
              <w:cnfStyle w:val="000000100000" w:firstRow="0" w:lastRow="0" w:firstColumn="0" w:lastColumn="0" w:oddVBand="0" w:evenVBand="0" w:oddHBand="1" w:evenHBand="0" w:firstRowFirstColumn="0" w:firstRowLastColumn="0" w:lastRowFirstColumn="0" w:lastRowLastColumn="0"/>
              <w:rPr>
                <w:color w:val="000000"/>
                <w:lang w:val="lv-LV"/>
              </w:rPr>
            </w:pPr>
            <w:r w:rsidRPr="0019406C">
              <w:rPr>
                <w:color w:val="000000"/>
                <w:lang w:val="lv-LV"/>
              </w:rPr>
              <w:t>114</w:t>
            </w:r>
          </w:p>
        </w:tc>
        <w:tc>
          <w:tcPr>
            <w:cnfStyle w:val="000010000000" w:firstRow="0" w:lastRow="0" w:firstColumn="0" w:lastColumn="0" w:oddVBand="1" w:evenVBand="0" w:oddHBand="0" w:evenHBand="0" w:firstRowFirstColumn="0" w:firstRowLastColumn="0" w:lastRowFirstColumn="0" w:lastRowLastColumn="0"/>
            <w:tcW w:w="853" w:type="pct"/>
            <w:vAlign w:val="center"/>
          </w:tcPr>
          <w:p w:rsidR="00272122" w:rsidRPr="0019406C" w:rsidRDefault="00272122" w:rsidP="00272122">
            <w:pPr>
              <w:spacing w:before="20"/>
              <w:jc w:val="center"/>
              <w:rPr>
                <w:color w:val="000000"/>
                <w:lang w:val="lv-LV"/>
              </w:rPr>
            </w:pPr>
            <w:r w:rsidRPr="0019406C">
              <w:rPr>
                <w:color w:val="000000"/>
                <w:lang w:val="lv-LV"/>
              </w:rPr>
              <w:t>15</w:t>
            </w:r>
            <w:r w:rsidR="007B41BD" w:rsidRPr="0019406C">
              <w:rPr>
                <w:color w:val="000000"/>
                <w:lang w:val="lv-LV"/>
              </w:rPr>
              <w:t>,</w:t>
            </w:r>
            <w:r w:rsidRPr="0019406C">
              <w:rPr>
                <w:color w:val="000000"/>
                <w:lang w:val="lv-LV"/>
              </w:rPr>
              <w:t>5</w:t>
            </w:r>
          </w:p>
        </w:tc>
        <w:tc>
          <w:tcPr>
            <w:tcW w:w="859" w:type="pct"/>
            <w:noWrap/>
            <w:vAlign w:val="center"/>
          </w:tcPr>
          <w:p w:rsidR="00272122" w:rsidRPr="0019406C" w:rsidRDefault="00272122" w:rsidP="00272122">
            <w:pPr>
              <w:spacing w:before="20"/>
              <w:jc w:val="center"/>
              <w:cnfStyle w:val="000000100000" w:firstRow="0" w:lastRow="0" w:firstColumn="0" w:lastColumn="0" w:oddVBand="0" w:evenVBand="0" w:oddHBand="1" w:evenHBand="0" w:firstRowFirstColumn="0" w:firstRowLastColumn="0" w:lastRowFirstColumn="0" w:lastRowLastColumn="0"/>
              <w:rPr>
                <w:color w:val="000000"/>
                <w:lang w:val="lv-LV" w:eastAsia="lv-LV"/>
              </w:rPr>
            </w:pPr>
            <w:r w:rsidRPr="0019406C">
              <w:rPr>
                <w:color w:val="000000"/>
                <w:lang w:val="lv-LV" w:eastAsia="lv-LV"/>
              </w:rPr>
              <w:t>14</w:t>
            </w:r>
            <w:r w:rsidR="007B41BD" w:rsidRPr="0019406C">
              <w:rPr>
                <w:color w:val="000000"/>
                <w:lang w:val="lv-LV" w:eastAsia="lv-LV"/>
              </w:rPr>
              <w:t>,</w:t>
            </w:r>
            <w:r w:rsidRPr="0019406C">
              <w:rPr>
                <w:color w:val="000000"/>
                <w:lang w:val="lv-LV" w:eastAsia="lv-LV"/>
              </w:rPr>
              <w:t>3</w:t>
            </w:r>
          </w:p>
        </w:tc>
      </w:tr>
      <w:tr w:rsidR="00272122" w:rsidRPr="0019406C" w:rsidTr="00A9489E">
        <w:trPr>
          <w:trHeight w:val="20"/>
        </w:trPr>
        <w:tc>
          <w:tcPr>
            <w:cnfStyle w:val="001000000000" w:firstRow="0" w:lastRow="0" w:firstColumn="1" w:lastColumn="0" w:oddVBand="0" w:evenVBand="0" w:oddHBand="0" w:evenHBand="0" w:firstRowFirstColumn="0" w:firstRowLastColumn="0" w:lastRowFirstColumn="0" w:lastRowLastColumn="0"/>
            <w:tcW w:w="1882" w:type="pct"/>
            <w:noWrap/>
            <w:vAlign w:val="bottom"/>
          </w:tcPr>
          <w:p w:rsidR="00272122" w:rsidRPr="0019406C" w:rsidRDefault="00272122" w:rsidP="00272122">
            <w:pPr>
              <w:spacing w:before="20"/>
              <w:rPr>
                <w:color w:val="000000"/>
                <w:lang w:val="lv-LV" w:eastAsia="lv-LV"/>
              </w:rPr>
            </w:pPr>
            <w:r w:rsidRPr="0019406C">
              <w:rPr>
                <w:color w:val="000000"/>
                <w:lang w:val="lv-LV" w:eastAsia="lv-LV"/>
              </w:rPr>
              <w:t>4  Citas pilsētas</w:t>
            </w:r>
          </w:p>
        </w:tc>
        <w:tc>
          <w:tcPr>
            <w:cnfStyle w:val="000010000000" w:firstRow="0" w:lastRow="0" w:firstColumn="0" w:lastColumn="0" w:oddVBand="1" w:evenVBand="0" w:oddHBand="0" w:evenHBand="0" w:firstRowFirstColumn="0" w:firstRowLastColumn="0" w:lastRowFirstColumn="0" w:lastRowLastColumn="0"/>
            <w:tcW w:w="633" w:type="pct"/>
            <w:vAlign w:val="center"/>
          </w:tcPr>
          <w:p w:rsidR="00272122" w:rsidRPr="0019406C" w:rsidRDefault="00272122" w:rsidP="00272122">
            <w:pPr>
              <w:spacing w:before="20"/>
              <w:jc w:val="center"/>
              <w:rPr>
                <w:color w:val="000000"/>
                <w:lang w:val="lv-LV" w:eastAsia="lv-LV"/>
              </w:rPr>
            </w:pPr>
            <w:r w:rsidRPr="0019406C">
              <w:rPr>
                <w:color w:val="000000"/>
                <w:lang w:val="lv-LV" w:eastAsia="lv-LV"/>
              </w:rPr>
              <w:t>13</w:t>
            </w:r>
          </w:p>
        </w:tc>
        <w:tc>
          <w:tcPr>
            <w:tcW w:w="773" w:type="pct"/>
            <w:vAlign w:val="center"/>
          </w:tcPr>
          <w:p w:rsidR="00272122" w:rsidRPr="0019406C" w:rsidRDefault="00272122" w:rsidP="00272122">
            <w:pPr>
              <w:spacing w:before="20"/>
              <w:jc w:val="center"/>
              <w:cnfStyle w:val="000000000000" w:firstRow="0" w:lastRow="0" w:firstColumn="0" w:lastColumn="0" w:oddVBand="0" w:evenVBand="0" w:oddHBand="0" w:evenHBand="0" w:firstRowFirstColumn="0" w:firstRowLastColumn="0" w:lastRowFirstColumn="0" w:lastRowLastColumn="0"/>
              <w:rPr>
                <w:color w:val="000000"/>
                <w:lang w:val="lv-LV"/>
              </w:rPr>
            </w:pPr>
            <w:r w:rsidRPr="0019406C">
              <w:rPr>
                <w:color w:val="000000"/>
                <w:lang w:val="lv-LV"/>
              </w:rPr>
              <w:t>119</w:t>
            </w:r>
          </w:p>
        </w:tc>
        <w:tc>
          <w:tcPr>
            <w:cnfStyle w:val="000010000000" w:firstRow="0" w:lastRow="0" w:firstColumn="0" w:lastColumn="0" w:oddVBand="1" w:evenVBand="0" w:oddHBand="0" w:evenHBand="0" w:firstRowFirstColumn="0" w:firstRowLastColumn="0" w:lastRowFirstColumn="0" w:lastRowLastColumn="0"/>
            <w:tcW w:w="853" w:type="pct"/>
            <w:vAlign w:val="center"/>
          </w:tcPr>
          <w:p w:rsidR="00272122" w:rsidRPr="0019406C" w:rsidRDefault="00272122" w:rsidP="00272122">
            <w:pPr>
              <w:spacing w:before="20"/>
              <w:jc w:val="center"/>
              <w:rPr>
                <w:color w:val="000000"/>
                <w:lang w:val="lv-LV"/>
              </w:rPr>
            </w:pPr>
            <w:r w:rsidRPr="0019406C">
              <w:rPr>
                <w:color w:val="000000"/>
                <w:lang w:val="lv-LV"/>
              </w:rPr>
              <w:t>16</w:t>
            </w:r>
            <w:r w:rsidR="007B41BD" w:rsidRPr="0019406C">
              <w:rPr>
                <w:color w:val="000000"/>
                <w:lang w:val="lv-LV"/>
              </w:rPr>
              <w:t>,</w:t>
            </w:r>
            <w:r w:rsidRPr="0019406C">
              <w:rPr>
                <w:color w:val="000000"/>
                <w:lang w:val="lv-LV"/>
              </w:rPr>
              <w:t>2</w:t>
            </w:r>
          </w:p>
        </w:tc>
        <w:tc>
          <w:tcPr>
            <w:tcW w:w="859" w:type="pct"/>
            <w:noWrap/>
            <w:vAlign w:val="center"/>
          </w:tcPr>
          <w:p w:rsidR="00272122" w:rsidRPr="0019406C" w:rsidRDefault="00272122" w:rsidP="00272122">
            <w:pPr>
              <w:spacing w:before="20"/>
              <w:jc w:val="center"/>
              <w:cnfStyle w:val="000000000000" w:firstRow="0" w:lastRow="0" w:firstColumn="0" w:lastColumn="0" w:oddVBand="0" w:evenVBand="0" w:oddHBand="0" w:evenHBand="0" w:firstRowFirstColumn="0" w:firstRowLastColumn="0" w:lastRowFirstColumn="0" w:lastRowLastColumn="0"/>
              <w:rPr>
                <w:color w:val="000000"/>
                <w:lang w:val="lv-LV" w:eastAsia="lv-LV"/>
              </w:rPr>
            </w:pPr>
            <w:r w:rsidRPr="0019406C">
              <w:rPr>
                <w:color w:val="000000"/>
                <w:lang w:val="lv-LV" w:eastAsia="lv-LV"/>
              </w:rPr>
              <w:t>13</w:t>
            </w:r>
            <w:r w:rsidR="007B41BD" w:rsidRPr="0019406C">
              <w:rPr>
                <w:color w:val="000000"/>
                <w:lang w:val="lv-LV" w:eastAsia="lv-LV"/>
              </w:rPr>
              <w:t>,</w:t>
            </w:r>
            <w:r w:rsidRPr="0019406C">
              <w:rPr>
                <w:color w:val="000000"/>
                <w:lang w:val="lv-LV" w:eastAsia="lv-LV"/>
              </w:rPr>
              <w:t>3</w:t>
            </w:r>
          </w:p>
        </w:tc>
      </w:tr>
      <w:tr w:rsidR="00272122" w:rsidRPr="0019406C" w:rsidTr="00A9489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82" w:type="pct"/>
            <w:noWrap/>
            <w:vAlign w:val="bottom"/>
          </w:tcPr>
          <w:p w:rsidR="00272122" w:rsidRPr="0019406C" w:rsidRDefault="00272122" w:rsidP="00272122">
            <w:pPr>
              <w:spacing w:before="20"/>
              <w:rPr>
                <w:color w:val="000000"/>
                <w:lang w:val="lv-LV" w:eastAsia="lv-LV"/>
              </w:rPr>
            </w:pPr>
            <w:r w:rsidRPr="0019406C">
              <w:rPr>
                <w:color w:val="000000"/>
                <w:lang w:val="lv-LV" w:eastAsia="lv-LV"/>
              </w:rPr>
              <w:t>5  Lauki</w:t>
            </w:r>
          </w:p>
        </w:tc>
        <w:tc>
          <w:tcPr>
            <w:cnfStyle w:val="000010000000" w:firstRow="0" w:lastRow="0" w:firstColumn="0" w:lastColumn="0" w:oddVBand="1" w:evenVBand="0" w:oddHBand="0" w:evenHBand="0" w:firstRowFirstColumn="0" w:firstRowLastColumn="0" w:lastRowFirstColumn="0" w:lastRowLastColumn="0"/>
            <w:tcW w:w="633" w:type="pct"/>
            <w:vAlign w:val="center"/>
          </w:tcPr>
          <w:p w:rsidR="00272122" w:rsidRPr="0019406C" w:rsidRDefault="00272122" w:rsidP="00272122">
            <w:pPr>
              <w:spacing w:before="20"/>
              <w:jc w:val="center"/>
              <w:rPr>
                <w:color w:val="000000"/>
                <w:lang w:val="lv-LV" w:eastAsia="lv-LV"/>
              </w:rPr>
            </w:pPr>
            <w:r w:rsidRPr="0019406C">
              <w:rPr>
                <w:color w:val="000000"/>
                <w:lang w:val="lv-LV" w:eastAsia="lv-LV"/>
              </w:rPr>
              <w:t>18</w:t>
            </w:r>
          </w:p>
        </w:tc>
        <w:tc>
          <w:tcPr>
            <w:tcW w:w="773" w:type="pct"/>
            <w:vAlign w:val="center"/>
          </w:tcPr>
          <w:p w:rsidR="00272122" w:rsidRPr="0019406C" w:rsidRDefault="00272122" w:rsidP="00272122">
            <w:pPr>
              <w:spacing w:before="20"/>
              <w:jc w:val="center"/>
              <w:cnfStyle w:val="000000100000" w:firstRow="0" w:lastRow="0" w:firstColumn="0" w:lastColumn="0" w:oddVBand="0" w:evenVBand="0" w:oddHBand="1" w:evenHBand="0" w:firstRowFirstColumn="0" w:firstRowLastColumn="0" w:lastRowFirstColumn="0" w:lastRowLastColumn="0"/>
              <w:rPr>
                <w:color w:val="000000"/>
                <w:lang w:val="lv-LV"/>
              </w:rPr>
            </w:pPr>
            <w:r w:rsidRPr="0019406C">
              <w:rPr>
                <w:color w:val="000000"/>
                <w:lang w:val="lv-LV"/>
              </w:rPr>
              <w:t>111</w:t>
            </w:r>
          </w:p>
        </w:tc>
        <w:tc>
          <w:tcPr>
            <w:cnfStyle w:val="000010000000" w:firstRow="0" w:lastRow="0" w:firstColumn="0" w:lastColumn="0" w:oddVBand="1" w:evenVBand="0" w:oddHBand="0" w:evenHBand="0" w:firstRowFirstColumn="0" w:firstRowLastColumn="0" w:lastRowFirstColumn="0" w:lastRowLastColumn="0"/>
            <w:tcW w:w="853" w:type="pct"/>
            <w:vAlign w:val="center"/>
          </w:tcPr>
          <w:p w:rsidR="00272122" w:rsidRPr="0019406C" w:rsidRDefault="00272122" w:rsidP="00272122">
            <w:pPr>
              <w:spacing w:before="20"/>
              <w:jc w:val="center"/>
              <w:rPr>
                <w:color w:val="000000"/>
                <w:lang w:val="lv-LV"/>
              </w:rPr>
            </w:pPr>
            <w:r w:rsidRPr="0019406C">
              <w:rPr>
                <w:color w:val="000000"/>
                <w:lang w:val="lv-LV"/>
              </w:rPr>
              <w:t>15</w:t>
            </w:r>
            <w:r w:rsidR="007B41BD" w:rsidRPr="0019406C">
              <w:rPr>
                <w:color w:val="000000"/>
                <w:lang w:val="lv-LV"/>
              </w:rPr>
              <w:t>,</w:t>
            </w:r>
            <w:r w:rsidRPr="0019406C">
              <w:rPr>
                <w:color w:val="000000"/>
                <w:lang w:val="lv-LV"/>
              </w:rPr>
              <w:t>1</w:t>
            </w:r>
          </w:p>
        </w:tc>
        <w:tc>
          <w:tcPr>
            <w:tcW w:w="859" w:type="pct"/>
            <w:noWrap/>
            <w:vAlign w:val="center"/>
          </w:tcPr>
          <w:p w:rsidR="00272122" w:rsidRPr="0019406C" w:rsidRDefault="00272122" w:rsidP="00272122">
            <w:pPr>
              <w:spacing w:before="20"/>
              <w:jc w:val="center"/>
              <w:cnfStyle w:val="000000100000" w:firstRow="0" w:lastRow="0" w:firstColumn="0" w:lastColumn="0" w:oddVBand="0" w:evenVBand="0" w:oddHBand="1" w:evenHBand="0" w:firstRowFirstColumn="0" w:firstRowLastColumn="0" w:lastRowFirstColumn="0" w:lastRowLastColumn="0"/>
              <w:rPr>
                <w:color w:val="000000"/>
                <w:lang w:val="lv-LV" w:eastAsia="lv-LV"/>
              </w:rPr>
            </w:pPr>
            <w:r w:rsidRPr="0019406C">
              <w:rPr>
                <w:color w:val="000000"/>
                <w:lang w:val="lv-LV" w:eastAsia="lv-LV"/>
              </w:rPr>
              <w:t>17</w:t>
            </w:r>
            <w:r w:rsidR="007B41BD" w:rsidRPr="0019406C">
              <w:rPr>
                <w:color w:val="000000"/>
                <w:lang w:val="lv-LV" w:eastAsia="lv-LV"/>
              </w:rPr>
              <w:t>,</w:t>
            </w:r>
            <w:r w:rsidRPr="0019406C">
              <w:rPr>
                <w:color w:val="000000"/>
                <w:lang w:val="lv-LV" w:eastAsia="lv-LV"/>
              </w:rPr>
              <w:t>7</w:t>
            </w:r>
          </w:p>
        </w:tc>
      </w:tr>
      <w:tr w:rsidR="00272122" w:rsidRPr="0019406C" w:rsidTr="00A9489E">
        <w:trPr>
          <w:trHeight w:val="20"/>
        </w:trPr>
        <w:tc>
          <w:tcPr>
            <w:cnfStyle w:val="001000000000" w:firstRow="0" w:lastRow="0" w:firstColumn="1" w:lastColumn="0" w:oddVBand="0" w:evenVBand="0" w:oddHBand="0" w:evenHBand="0" w:firstRowFirstColumn="0" w:firstRowLastColumn="0" w:lastRowFirstColumn="0" w:lastRowLastColumn="0"/>
            <w:tcW w:w="1882" w:type="pct"/>
            <w:shd w:val="clear" w:color="auto" w:fill="FFE0C5" w:themeFill="accent1" w:themeFillTint="33"/>
            <w:noWrap/>
            <w:vAlign w:val="bottom"/>
          </w:tcPr>
          <w:p w:rsidR="00272122" w:rsidRPr="0019406C" w:rsidRDefault="00272122" w:rsidP="00272122">
            <w:pPr>
              <w:spacing w:before="40"/>
              <w:rPr>
                <w:b w:val="0"/>
                <w:i/>
                <w:color w:val="000000"/>
                <w:lang w:val="lv-LV" w:eastAsia="lv-LV"/>
              </w:rPr>
            </w:pPr>
            <w:r w:rsidRPr="0019406C">
              <w:rPr>
                <w:i/>
                <w:color w:val="000000"/>
                <w:lang w:val="lv-LV" w:eastAsia="lv-LV"/>
              </w:rPr>
              <w:t>Eksports</w:t>
            </w:r>
          </w:p>
        </w:tc>
        <w:tc>
          <w:tcPr>
            <w:cnfStyle w:val="000010000000" w:firstRow="0" w:lastRow="0" w:firstColumn="0" w:lastColumn="0" w:oddVBand="1" w:evenVBand="0" w:oddHBand="0" w:evenHBand="0" w:firstRowFirstColumn="0" w:firstRowLastColumn="0" w:lastRowFirstColumn="0" w:lastRowLastColumn="0"/>
            <w:tcW w:w="633" w:type="pct"/>
            <w:shd w:val="clear" w:color="auto" w:fill="FFE0C5" w:themeFill="accent1" w:themeFillTint="33"/>
            <w:vAlign w:val="center"/>
          </w:tcPr>
          <w:p w:rsidR="00272122" w:rsidRPr="0019406C" w:rsidRDefault="00272122" w:rsidP="00272122">
            <w:pPr>
              <w:spacing w:before="40"/>
              <w:jc w:val="center"/>
              <w:rPr>
                <w:color w:val="000000"/>
                <w:lang w:val="lv-LV" w:eastAsia="lv-LV"/>
              </w:rPr>
            </w:pPr>
          </w:p>
        </w:tc>
        <w:tc>
          <w:tcPr>
            <w:tcW w:w="773" w:type="pct"/>
            <w:shd w:val="clear" w:color="auto" w:fill="FFE0C5" w:themeFill="accent1" w:themeFillTint="33"/>
            <w:vAlign w:val="center"/>
          </w:tcPr>
          <w:p w:rsidR="00272122" w:rsidRPr="0019406C" w:rsidRDefault="00272122" w:rsidP="00272122">
            <w:pPr>
              <w:spacing w:before="40"/>
              <w:jc w:val="center"/>
              <w:cnfStyle w:val="000000000000" w:firstRow="0" w:lastRow="0" w:firstColumn="0" w:lastColumn="0" w:oddVBand="0" w:evenVBand="0" w:oddHBand="0" w:evenHBand="0" w:firstRowFirstColumn="0" w:firstRowLastColumn="0" w:lastRowFirstColumn="0" w:lastRowLastColumn="0"/>
              <w:rPr>
                <w:color w:val="000000"/>
                <w:lang w:val="lv-LV" w:eastAsia="lv-LV"/>
              </w:rPr>
            </w:pPr>
          </w:p>
        </w:tc>
        <w:tc>
          <w:tcPr>
            <w:cnfStyle w:val="000010000000" w:firstRow="0" w:lastRow="0" w:firstColumn="0" w:lastColumn="0" w:oddVBand="1" w:evenVBand="0" w:oddHBand="0" w:evenHBand="0" w:firstRowFirstColumn="0" w:firstRowLastColumn="0" w:lastRowFirstColumn="0" w:lastRowLastColumn="0"/>
            <w:tcW w:w="853" w:type="pct"/>
            <w:shd w:val="clear" w:color="auto" w:fill="FFE0C5" w:themeFill="accent1" w:themeFillTint="33"/>
            <w:vAlign w:val="center"/>
          </w:tcPr>
          <w:p w:rsidR="00272122" w:rsidRPr="0019406C" w:rsidRDefault="00272122" w:rsidP="00272122">
            <w:pPr>
              <w:spacing w:before="40"/>
              <w:jc w:val="center"/>
              <w:rPr>
                <w:color w:val="000000"/>
                <w:lang w:val="lv-LV" w:eastAsia="lv-LV"/>
              </w:rPr>
            </w:pPr>
          </w:p>
        </w:tc>
        <w:tc>
          <w:tcPr>
            <w:tcW w:w="859" w:type="pct"/>
            <w:shd w:val="clear" w:color="auto" w:fill="FFE0C5" w:themeFill="accent1" w:themeFillTint="33"/>
            <w:noWrap/>
            <w:vAlign w:val="center"/>
          </w:tcPr>
          <w:p w:rsidR="00272122" w:rsidRPr="0019406C" w:rsidRDefault="00272122" w:rsidP="00272122">
            <w:pPr>
              <w:spacing w:before="40"/>
              <w:jc w:val="center"/>
              <w:cnfStyle w:val="000000000000" w:firstRow="0" w:lastRow="0" w:firstColumn="0" w:lastColumn="0" w:oddVBand="0" w:evenVBand="0" w:oddHBand="0" w:evenHBand="0" w:firstRowFirstColumn="0" w:firstRowLastColumn="0" w:lastRowFirstColumn="0" w:lastRowLastColumn="0"/>
              <w:rPr>
                <w:color w:val="000000"/>
                <w:lang w:val="lv-LV" w:eastAsia="lv-LV"/>
              </w:rPr>
            </w:pPr>
          </w:p>
        </w:tc>
      </w:tr>
      <w:tr w:rsidR="00272122" w:rsidRPr="0019406C" w:rsidTr="00A9489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82" w:type="pct"/>
            <w:noWrap/>
            <w:vAlign w:val="bottom"/>
          </w:tcPr>
          <w:p w:rsidR="00272122" w:rsidRPr="0019406C" w:rsidRDefault="00272122" w:rsidP="00272122">
            <w:pPr>
              <w:spacing w:before="20"/>
              <w:rPr>
                <w:color w:val="000000"/>
                <w:lang w:val="lv-LV" w:eastAsia="lv-LV"/>
              </w:rPr>
            </w:pPr>
            <w:r w:rsidRPr="0019406C">
              <w:rPr>
                <w:color w:val="000000"/>
                <w:lang w:val="lv-LV" w:eastAsia="lv-LV"/>
              </w:rPr>
              <w:t>1  Nav eksportētājs</w:t>
            </w:r>
          </w:p>
        </w:tc>
        <w:tc>
          <w:tcPr>
            <w:cnfStyle w:val="000010000000" w:firstRow="0" w:lastRow="0" w:firstColumn="0" w:lastColumn="0" w:oddVBand="1" w:evenVBand="0" w:oddHBand="0" w:evenHBand="0" w:firstRowFirstColumn="0" w:firstRowLastColumn="0" w:lastRowFirstColumn="0" w:lastRowLastColumn="0"/>
            <w:tcW w:w="633" w:type="pct"/>
            <w:vAlign w:val="center"/>
          </w:tcPr>
          <w:p w:rsidR="00272122" w:rsidRPr="0019406C" w:rsidRDefault="00272122" w:rsidP="00272122">
            <w:pPr>
              <w:spacing w:before="20"/>
              <w:jc w:val="center"/>
              <w:rPr>
                <w:color w:val="000000"/>
                <w:lang w:val="lv-LV" w:eastAsia="lv-LV"/>
              </w:rPr>
            </w:pPr>
            <w:r w:rsidRPr="0019406C">
              <w:rPr>
                <w:color w:val="000000"/>
                <w:lang w:val="lv-LV" w:eastAsia="lv-LV"/>
              </w:rPr>
              <w:t>94</w:t>
            </w:r>
          </w:p>
        </w:tc>
        <w:tc>
          <w:tcPr>
            <w:tcW w:w="773" w:type="pct"/>
            <w:vAlign w:val="center"/>
          </w:tcPr>
          <w:p w:rsidR="00272122" w:rsidRPr="0019406C" w:rsidRDefault="00272122" w:rsidP="00272122">
            <w:pPr>
              <w:spacing w:before="20"/>
              <w:jc w:val="center"/>
              <w:cnfStyle w:val="000000100000" w:firstRow="0" w:lastRow="0" w:firstColumn="0" w:lastColumn="0" w:oddVBand="0" w:evenVBand="0" w:oddHBand="1" w:evenHBand="0" w:firstRowFirstColumn="0" w:firstRowLastColumn="0" w:lastRowFirstColumn="0" w:lastRowLastColumn="0"/>
              <w:rPr>
                <w:color w:val="000000"/>
                <w:lang w:val="lv-LV" w:eastAsia="lv-LV"/>
              </w:rPr>
            </w:pPr>
            <w:r w:rsidRPr="0019406C">
              <w:rPr>
                <w:color w:val="000000"/>
                <w:lang w:val="lv-LV" w:eastAsia="lv-LV"/>
              </w:rPr>
              <w:t>599</w:t>
            </w:r>
          </w:p>
        </w:tc>
        <w:tc>
          <w:tcPr>
            <w:cnfStyle w:val="000010000000" w:firstRow="0" w:lastRow="0" w:firstColumn="0" w:lastColumn="0" w:oddVBand="1" w:evenVBand="0" w:oddHBand="0" w:evenHBand="0" w:firstRowFirstColumn="0" w:firstRowLastColumn="0" w:lastRowFirstColumn="0" w:lastRowLastColumn="0"/>
            <w:tcW w:w="853" w:type="pct"/>
            <w:vAlign w:val="center"/>
          </w:tcPr>
          <w:p w:rsidR="00272122" w:rsidRPr="0019406C" w:rsidRDefault="00272122" w:rsidP="00272122">
            <w:pPr>
              <w:spacing w:before="20"/>
              <w:jc w:val="center"/>
              <w:rPr>
                <w:color w:val="000000"/>
                <w:lang w:val="lv-LV" w:eastAsia="lv-LV"/>
              </w:rPr>
            </w:pPr>
            <w:r w:rsidRPr="0019406C">
              <w:rPr>
                <w:color w:val="000000"/>
                <w:lang w:val="lv-LV" w:eastAsia="lv-LV"/>
              </w:rPr>
              <w:t>81</w:t>
            </w:r>
            <w:r w:rsidR="007B41BD" w:rsidRPr="0019406C">
              <w:rPr>
                <w:color w:val="000000"/>
                <w:lang w:val="lv-LV" w:eastAsia="lv-LV"/>
              </w:rPr>
              <w:t>,</w:t>
            </w:r>
            <w:r w:rsidRPr="0019406C">
              <w:rPr>
                <w:color w:val="000000"/>
                <w:lang w:val="lv-LV" w:eastAsia="lv-LV"/>
              </w:rPr>
              <w:t>6</w:t>
            </w:r>
          </w:p>
        </w:tc>
        <w:tc>
          <w:tcPr>
            <w:tcW w:w="859" w:type="pct"/>
            <w:noWrap/>
            <w:vAlign w:val="center"/>
          </w:tcPr>
          <w:p w:rsidR="00272122" w:rsidRPr="0019406C" w:rsidRDefault="00272122" w:rsidP="00272122">
            <w:pPr>
              <w:spacing w:before="20"/>
              <w:jc w:val="center"/>
              <w:cnfStyle w:val="000000100000" w:firstRow="0" w:lastRow="0" w:firstColumn="0" w:lastColumn="0" w:oddVBand="0" w:evenVBand="0" w:oddHBand="1" w:evenHBand="0" w:firstRowFirstColumn="0" w:firstRowLastColumn="0" w:lastRowFirstColumn="0" w:lastRowLastColumn="0"/>
              <w:rPr>
                <w:color w:val="000000"/>
                <w:lang w:val="lv-LV" w:eastAsia="lv-LV"/>
              </w:rPr>
            </w:pPr>
            <w:r w:rsidRPr="0019406C">
              <w:rPr>
                <w:color w:val="000000"/>
                <w:lang w:val="lv-LV" w:eastAsia="lv-LV"/>
              </w:rPr>
              <w:t>95</w:t>
            </w:r>
            <w:r w:rsidR="007B41BD" w:rsidRPr="0019406C">
              <w:rPr>
                <w:color w:val="000000"/>
                <w:lang w:val="lv-LV" w:eastAsia="lv-LV"/>
              </w:rPr>
              <w:t>,</w:t>
            </w:r>
            <w:r w:rsidRPr="0019406C">
              <w:rPr>
                <w:color w:val="000000"/>
                <w:lang w:val="lv-LV" w:eastAsia="lv-LV"/>
              </w:rPr>
              <w:t>0</w:t>
            </w:r>
          </w:p>
        </w:tc>
      </w:tr>
      <w:tr w:rsidR="00272122" w:rsidRPr="0019406C" w:rsidTr="00A9489E">
        <w:trPr>
          <w:trHeight w:val="20"/>
        </w:trPr>
        <w:tc>
          <w:tcPr>
            <w:cnfStyle w:val="001000000000" w:firstRow="0" w:lastRow="0" w:firstColumn="1" w:lastColumn="0" w:oddVBand="0" w:evenVBand="0" w:oddHBand="0" w:evenHBand="0" w:firstRowFirstColumn="0" w:firstRowLastColumn="0" w:lastRowFirstColumn="0" w:lastRowLastColumn="0"/>
            <w:tcW w:w="1882" w:type="pct"/>
            <w:noWrap/>
            <w:vAlign w:val="bottom"/>
          </w:tcPr>
          <w:p w:rsidR="00272122" w:rsidRPr="0019406C" w:rsidRDefault="00272122" w:rsidP="00272122">
            <w:pPr>
              <w:spacing w:before="20"/>
              <w:rPr>
                <w:color w:val="000000"/>
                <w:lang w:val="lv-LV" w:eastAsia="lv-LV"/>
              </w:rPr>
            </w:pPr>
            <w:r w:rsidRPr="0019406C">
              <w:rPr>
                <w:color w:val="000000"/>
                <w:lang w:val="lv-LV" w:eastAsia="lv-LV"/>
              </w:rPr>
              <w:t>2  Eksportētājs</w:t>
            </w:r>
          </w:p>
        </w:tc>
        <w:tc>
          <w:tcPr>
            <w:cnfStyle w:val="000010000000" w:firstRow="0" w:lastRow="0" w:firstColumn="0" w:lastColumn="0" w:oddVBand="1" w:evenVBand="0" w:oddHBand="0" w:evenHBand="0" w:firstRowFirstColumn="0" w:firstRowLastColumn="0" w:lastRowFirstColumn="0" w:lastRowLastColumn="0"/>
            <w:tcW w:w="633" w:type="pct"/>
            <w:vAlign w:val="center"/>
          </w:tcPr>
          <w:p w:rsidR="00272122" w:rsidRPr="0019406C" w:rsidRDefault="00272122" w:rsidP="00272122">
            <w:pPr>
              <w:spacing w:before="20"/>
              <w:jc w:val="center"/>
              <w:rPr>
                <w:color w:val="000000"/>
                <w:lang w:val="lv-LV" w:eastAsia="lv-LV"/>
              </w:rPr>
            </w:pPr>
            <w:r w:rsidRPr="0019406C">
              <w:rPr>
                <w:color w:val="000000"/>
                <w:lang w:val="lv-LV" w:eastAsia="lv-LV"/>
              </w:rPr>
              <w:t>6</w:t>
            </w:r>
          </w:p>
        </w:tc>
        <w:tc>
          <w:tcPr>
            <w:tcW w:w="773" w:type="pct"/>
            <w:vAlign w:val="center"/>
          </w:tcPr>
          <w:p w:rsidR="00272122" w:rsidRPr="0019406C" w:rsidRDefault="00272122" w:rsidP="00272122">
            <w:pPr>
              <w:spacing w:before="20"/>
              <w:jc w:val="center"/>
              <w:cnfStyle w:val="000000000000" w:firstRow="0" w:lastRow="0" w:firstColumn="0" w:lastColumn="0" w:oddVBand="0" w:evenVBand="0" w:oddHBand="0" w:evenHBand="0" w:firstRowFirstColumn="0" w:firstRowLastColumn="0" w:lastRowFirstColumn="0" w:lastRowLastColumn="0"/>
              <w:rPr>
                <w:color w:val="000000"/>
                <w:lang w:val="lv-LV" w:eastAsia="lv-LV"/>
              </w:rPr>
            </w:pPr>
            <w:r w:rsidRPr="0019406C">
              <w:rPr>
                <w:color w:val="000000"/>
                <w:lang w:val="lv-LV" w:eastAsia="lv-LV"/>
              </w:rPr>
              <w:t>135</w:t>
            </w:r>
          </w:p>
        </w:tc>
        <w:tc>
          <w:tcPr>
            <w:cnfStyle w:val="000010000000" w:firstRow="0" w:lastRow="0" w:firstColumn="0" w:lastColumn="0" w:oddVBand="1" w:evenVBand="0" w:oddHBand="0" w:evenHBand="0" w:firstRowFirstColumn="0" w:firstRowLastColumn="0" w:lastRowFirstColumn="0" w:lastRowLastColumn="0"/>
            <w:tcW w:w="853" w:type="pct"/>
            <w:vAlign w:val="center"/>
          </w:tcPr>
          <w:p w:rsidR="00272122" w:rsidRPr="0019406C" w:rsidRDefault="00272122" w:rsidP="00272122">
            <w:pPr>
              <w:spacing w:before="20"/>
              <w:jc w:val="center"/>
              <w:rPr>
                <w:color w:val="000000"/>
                <w:lang w:val="lv-LV" w:eastAsia="lv-LV"/>
              </w:rPr>
            </w:pPr>
            <w:r w:rsidRPr="0019406C">
              <w:rPr>
                <w:color w:val="000000"/>
                <w:lang w:val="lv-LV" w:eastAsia="lv-LV"/>
              </w:rPr>
              <w:t>18</w:t>
            </w:r>
            <w:r w:rsidR="007B41BD" w:rsidRPr="0019406C">
              <w:rPr>
                <w:color w:val="000000"/>
                <w:lang w:val="lv-LV" w:eastAsia="lv-LV"/>
              </w:rPr>
              <w:t>,</w:t>
            </w:r>
            <w:r w:rsidRPr="0019406C">
              <w:rPr>
                <w:color w:val="000000"/>
                <w:lang w:val="lv-LV" w:eastAsia="lv-LV"/>
              </w:rPr>
              <w:t>4</w:t>
            </w:r>
          </w:p>
        </w:tc>
        <w:tc>
          <w:tcPr>
            <w:tcW w:w="859" w:type="pct"/>
            <w:noWrap/>
            <w:vAlign w:val="center"/>
          </w:tcPr>
          <w:p w:rsidR="00272122" w:rsidRPr="0019406C" w:rsidRDefault="00272122" w:rsidP="00272122">
            <w:pPr>
              <w:spacing w:before="20"/>
              <w:jc w:val="center"/>
              <w:cnfStyle w:val="000000000000" w:firstRow="0" w:lastRow="0" w:firstColumn="0" w:lastColumn="0" w:oddVBand="0" w:evenVBand="0" w:oddHBand="0" w:evenHBand="0" w:firstRowFirstColumn="0" w:firstRowLastColumn="0" w:lastRowFirstColumn="0" w:lastRowLastColumn="0"/>
              <w:rPr>
                <w:color w:val="000000"/>
                <w:lang w:val="lv-LV" w:eastAsia="lv-LV"/>
              </w:rPr>
            </w:pPr>
            <w:r w:rsidRPr="0019406C">
              <w:rPr>
                <w:color w:val="000000"/>
                <w:lang w:val="lv-LV" w:eastAsia="lv-LV"/>
              </w:rPr>
              <w:t>5</w:t>
            </w:r>
            <w:r w:rsidR="007B41BD" w:rsidRPr="0019406C">
              <w:rPr>
                <w:color w:val="000000"/>
                <w:lang w:val="lv-LV" w:eastAsia="lv-LV"/>
              </w:rPr>
              <w:t>,</w:t>
            </w:r>
            <w:r w:rsidRPr="0019406C">
              <w:rPr>
                <w:color w:val="000000"/>
                <w:lang w:val="lv-LV" w:eastAsia="lv-LV"/>
              </w:rPr>
              <w:t>0</w:t>
            </w:r>
          </w:p>
        </w:tc>
      </w:tr>
      <w:tr w:rsidR="00272122" w:rsidRPr="0019406C" w:rsidTr="00A9489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82" w:type="pct"/>
            <w:noWrap/>
            <w:vAlign w:val="bottom"/>
          </w:tcPr>
          <w:p w:rsidR="00272122" w:rsidRPr="0019406C" w:rsidRDefault="00272122" w:rsidP="00272122">
            <w:pPr>
              <w:spacing w:before="40"/>
              <w:rPr>
                <w:b w:val="0"/>
                <w:i/>
                <w:color w:val="000000"/>
                <w:lang w:val="lv-LV" w:eastAsia="lv-LV"/>
              </w:rPr>
            </w:pPr>
            <w:r w:rsidRPr="0019406C">
              <w:rPr>
                <w:i/>
                <w:color w:val="000000"/>
                <w:lang w:val="lv-LV" w:eastAsia="lv-LV"/>
              </w:rPr>
              <w:t>Dibināšanas gads</w:t>
            </w:r>
          </w:p>
        </w:tc>
        <w:tc>
          <w:tcPr>
            <w:cnfStyle w:val="000010000000" w:firstRow="0" w:lastRow="0" w:firstColumn="0" w:lastColumn="0" w:oddVBand="1" w:evenVBand="0" w:oddHBand="0" w:evenHBand="0" w:firstRowFirstColumn="0" w:firstRowLastColumn="0" w:lastRowFirstColumn="0" w:lastRowLastColumn="0"/>
            <w:tcW w:w="633" w:type="pct"/>
            <w:vAlign w:val="center"/>
          </w:tcPr>
          <w:p w:rsidR="00272122" w:rsidRPr="0019406C" w:rsidRDefault="00272122" w:rsidP="00272122">
            <w:pPr>
              <w:spacing w:before="40"/>
              <w:jc w:val="center"/>
              <w:rPr>
                <w:color w:val="000000"/>
                <w:lang w:val="lv-LV" w:eastAsia="lv-LV"/>
              </w:rPr>
            </w:pPr>
          </w:p>
        </w:tc>
        <w:tc>
          <w:tcPr>
            <w:tcW w:w="773" w:type="pct"/>
            <w:vAlign w:val="center"/>
          </w:tcPr>
          <w:p w:rsidR="00272122" w:rsidRPr="0019406C" w:rsidRDefault="00272122" w:rsidP="00272122">
            <w:pPr>
              <w:spacing w:before="40"/>
              <w:jc w:val="center"/>
              <w:cnfStyle w:val="000000100000" w:firstRow="0" w:lastRow="0" w:firstColumn="0" w:lastColumn="0" w:oddVBand="0" w:evenVBand="0" w:oddHBand="1" w:evenHBand="0" w:firstRowFirstColumn="0" w:firstRowLastColumn="0" w:lastRowFirstColumn="0" w:lastRowLastColumn="0"/>
              <w:rPr>
                <w:color w:val="000000"/>
                <w:lang w:val="lv-LV" w:eastAsia="lv-LV"/>
              </w:rPr>
            </w:pPr>
          </w:p>
        </w:tc>
        <w:tc>
          <w:tcPr>
            <w:cnfStyle w:val="000010000000" w:firstRow="0" w:lastRow="0" w:firstColumn="0" w:lastColumn="0" w:oddVBand="1" w:evenVBand="0" w:oddHBand="0" w:evenHBand="0" w:firstRowFirstColumn="0" w:firstRowLastColumn="0" w:lastRowFirstColumn="0" w:lastRowLastColumn="0"/>
            <w:tcW w:w="853" w:type="pct"/>
            <w:vAlign w:val="center"/>
          </w:tcPr>
          <w:p w:rsidR="00272122" w:rsidRPr="0019406C" w:rsidRDefault="00272122" w:rsidP="00272122">
            <w:pPr>
              <w:spacing w:before="40"/>
              <w:jc w:val="center"/>
              <w:rPr>
                <w:color w:val="000000"/>
                <w:lang w:val="lv-LV" w:eastAsia="lv-LV"/>
              </w:rPr>
            </w:pPr>
          </w:p>
        </w:tc>
        <w:tc>
          <w:tcPr>
            <w:tcW w:w="859" w:type="pct"/>
            <w:noWrap/>
            <w:vAlign w:val="center"/>
          </w:tcPr>
          <w:p w:rsidR="00272122" w:rsidRPr="0019406C" w:rsidRDefault="00272122" w:rsidP="00272122">
            <w:pPr>
              <w:spacing w:before="40"/>
              <w:jc w:val="center"/>
              <w:cnfStyle w:val="000000100000" w:firstRow="0" w:lastRow="0" w:firstColumn="0" w:lastColumn="0" w:oddVBand="0" w:evenVBand="0" w:oddHBand="1" w:evenHBand="0" w:firstRowFirstColumn="0" w:firstRowLastColumn="0" w:lastRowFirstColumn="0" w:lastRowLastColumn="0"/>
              <w:rPr>
                <w:color w:val="000000"/>
                <w:lang w:val="lv-LV" w:eastAsia="lv-LV"/>
              </w:rPr>
            </w:pPr>
          </w:p>
        </w:tc>
      </w:tr>
      <w:tr w:rsidR="00272122" w:rsidRPr="0019406C" w:rsidTr="00A9489E">
        <w:trPr>
          <w:trHeight w:val="20"/>
        </w:trPr>
        <w:tc>
          <w:tcPr>
            <w:cnfStyle w:val="001000000000" w:firstRow="0" w:lastRow="0" w:firstColumn="1" w:lastColumn="0" w:oddVBand="0" w:evenVBand="0" w:oddHBand="0" w:evenHBand="0" w:firstRowFirstColumn="0" w:firstRowLastColumn="0" w:lastRowFirstColumn="0" w:lastRowLastColumn="0"/>
            <w:tcW w:w="1882" w:type="pct"/>
            <w:noWrap/>
            <w:vAlign w:val="bottom"/>
          </w:tcPr>
          <w:p w:rsidR="00272122" w:rsidRPr="0019406C" w:rsidRDefault="00272122" w:rsidP="00272122">
            <w:pPr>
              <w:spacing w:before="40"/>
              <w:rPr>
                <w:color w:val="000000"/>
                <w:lang w:val="lv-LV" w:eastAsia="lv-LV"/>
              </w:rPr>
            </w:pPr>
            <w:r w:rsidRPr="0019406C">
              <w:rPr>
                <w:color w:val="000000"/>
                <w:lang w:val="lv-LV" w:eastAsia="lv-LV"/>
              </w:rPr>
              <w:t>1  Līdz 2011</w:t>
            </w:r>
            <w:r w:rsidR="007B41BD" w:rsidRPr="0019406C">
              <w:rPr>
                <w:color w:val="000000"/>
                <w:lang w:val="lv-LV" w:eastAsia="lv-LV"/>
              </w:rPr>
              <w:t>.</w:t>
            </w:r>
            <w:r w:rsidRPr="0019406C">
              <w:rPr>
                <w:color w:val="000000"/>
                <w:lang w:val="lv-LV" w:eastAsia="lv-LV"/>
              </w:rPr>
              <w:t>gada 31</w:t>
            </w:r>
            <w:r w:rsidR="007B41BD" w:rsidRPr="0019406C">
              <w:rPr>
                <w:color w:val="000000"/>
                <w:lang w:val="lv-LV" w:eastAsia="lv-LV"/>
              </w:rPr>
              <w:t>.</w:t>
            </w:r>
            <w:r w:rsidRPr="0019406C">
              <w:rPr>
                <w:color w:val="000000"/>
                <w:lang w:val="lv-LV" w:eastAsia="lv-LV"/>
              </w:rPr>
              <w:t>decembrim</w:t>
            </w:r>
          </w:p>
        </w:tc>
        <w:tc>
          <w:tcPr>
            <w:cnfStyle w:val="000010000000" w:firstRow="0" w:lastRow="0" w:firstColumn="0" w:lastColumn="0" w:oddVBand="1" w:evenVBand="0" w:oddHBand="0" w:evenHBand="0" w:firstRowFirstColumn="0" w:firstRowLastColumn="0" w:lastRowFirstColumn="0" w:lastRowLastColumn="0"/>
            <w:tcW w:w="633" w:type="pct"/>
            <w:vAlign w:val="center"/>
          </w:tcPr>
          <w:p w:rsidR="00272122" w:rsidRPr="0019406C" w:rsidRDefault="00272122" w:rsidP="00272122">
            <w:pPr>
              <w:spacing w:before="40"/>
              <w:jc w:val="center"/>
              <w:rPr>
                <w:color w:val="000000"/>
                <w:lang w:val="lv-LV" w:eastAsia="lv-LV"/>
              </w:rPr>
            </w:pPr>
            <w:r w:rsidRPr="0019406C">
              <w:rPr>
                <w:color w:val="000000"/>
                <w:lang w:val="lv-LV" w:eastAsia="lv-LV"/>
              </w:rPr>
              <w:t>88</w:t>
            </w:r>
          </w:p>
        </w:tc>
        <w:tc>
          <w:tcPr>
            <w:tcW w:w="773" w:type="pct"/>
            <w:vAlign w:val="center"/>
          </w:tcPr>
          <w:p w:rsidR="00272122" w:rsidRPr="0019406C" w:rsidRDefault="00272122" w:rsidP="00272122">
            <w:pPr>
              <w:spacing w:before="40"/>
              <w:jc w:val="center"/>
              <w:cnfStyle w:val="000000000000" w:firstRow="0" w:lastRow="0" w:firstColumn="0" w:lastColumn="0" w:oddVBand="0" w:evenVBand="0" w:oddHBand="0" w:evenHBand="0" w:firstRowFirstColumn="0" w:firstRowLastColumn="0" w:lastRowFirstColumn="0" w:lastRowLastColumn="0"/>
              <w:rPr>
                <w:color w:val="000000"/>
                <w:lang w:val="lv-LV"/>
              </w:rPr>
            </w:pPr>
            <w:r w:rsidRPr="0019406C">
              <w:rPr>
                <w:color w:val="000000"/>
                <w:lang w:val="lv-LV"/>
              </w:rPr>
              <w:t>652</w:t>
            </w:r>
          </w:p>
        </w:tc>
        <w:tc>
          <w:tcPr>
            <w:cnfStyle w:val="000010000000" w:firstRow="0" w:lastRow="0" w:firstColumn="0" w:lastColumn="0" w:oddVBand="1" w:evenVBand="0" w:oddHBand="0" w:evenHBand="0" w:firstRowFirstColumn="0" w:firstRowLastColumn="0" w:lastRowFirstColumn="0" w:lastRowLastColumn="0"/>
            <w:tcW w:w="853" w:type="pct"/>
            <w:vAlign w:val="center"/>
          </w:tcPr>
          <w:p w:rsidR="00272122" w:rsidRPr="0019406C" w:rsidRDefault="007B41BD" w:rsidP="00272122">
            <w:pPr>
              <w:spacing w:before="40"/>
              <w:jc w:val="center"/>
              <w:rPr>
                <w:color w:val="000000"/>
                <w:lang w:val="lv-LV"/>
              </w:rPr>
            </w:pPr>
            <w:r w:rsidRPr="0019406C">
              <w:rPr>
                <w:color w:val="000000"/>
                <w:lang w:val="lv-LV"/>
              </w:rPr>
              <w:t>88,</w:t>
            </w:r>
            <w:r w:rsidR="00272122" w:rsidRPr="0019406C">
              <w:rPr>
                <w:color w:val="000000"/>
                <w:lang w:val="lv-LV"/>
              </w:rPr>
              <w:t>8</w:t>
            </w:r>
          </w:p>
        </w:tc>
        <w:tc>
          <w:tcPr>
            <w:tcW w:w="859" w:type="pct"/>
            <w:noWrap/>
            <w:vAlign w:val="center"/>
          </w:tcPr>
          <w:p w:rsidR="00272122" w:rsidRPr="0019406C" w:rsidRDefault="00272122" w:rsidP="007B41BD">
            <w:pPr>
              <w:spacing w:before="40"/>
              <w:jc w:val="center"/>
              <w:cnfStyle w:val="000000000000" w:firstRow="0" w:lastRow="0" w:firstColumn="0" w:lastColumn="0" w:oddVBand="0" w:evenVBand="0" w:oddHBand="0" w:evenHBand="0" w:firstRowFirstColumn="0" w:firstRowLastColumn="0" w:lastRowFirstColumn="0" w:lastRowLastColumn="0"/>
              <w:rPr>
                <w:color w:val="000000"/>
                <w:lang w:val="lv-LV" w:eastAsia="lv-LV"/>
              </w:rPr>
            </w:pPr>
            <w:r w:rsidRPr="0019406C">
              <w:rPr>
                <w:color w:val="000000"/>
                <w:lang w:val="lv-LV" w:eastAsia="lv-LV"/>
              </w:rPr>
              <w:t>89</w:t>
            </w:r>
            <w:r w:rsidR="007B41BD" w:rsidRPr="0019406C">
              <w:rPr>
                <w:color w:val="000000"/>
                <w:lang w:val="lv-LV" w:eastAsia="lv-LV"/>
              </w:rPr>
              <w:t>,</w:t>
            </w:r>
            <w:r w:rsidRPr="0019406C">
              <w:rPr>
                <w:color w:val="000000"/>
                <w:lang w:val="lv-LV" w:eastAsia="lv-LV"/>
              </w:rPr>
              <w:t>5</w:t>
            </w:r>
          </w:p>
        </w:tc>
      </w:tr>
      <w:tr w:rsidR="00272122" w:rsidRPr="0019406C" w:rsidTr="00A9489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82" w:type="pct"/>
            <w:noWrap/>
            <w:vAlign w:val="bottom"/>
          </w:tcPr>
          <w:p w:rsidR="00272122" w:rsidRPr="0019406C" w:rsidRDefault="00272122" w:rsidP="00272122">
            <w:pPr>
              <w:spacing w:before="40"/>
              <w:rPr>
                <w:color w:val="000000"/>
                <w:lang w:val="lv-LV" w:eastAsia="lv-LV"/>
              </w:rPr>
            </w:pPr>
            <w:r w:rsidRPr="0019406C">
              <w:rPr>
                <w:color w:val="000000"/>
                <w:lang w:val="lv-LV" w:eastAsia="lv-LV"/>
              </w:rPr>
              <w:t>2  Pēc 2012.gada 1.janvāra</w:t>
            </w:r>
          </w:p>
        </w:tc>
        <w:tc>
          <w:tcPr>
            <w:cnfStyle w:val="000010000000" w:firstRow="0" w:lastRow="0" w:firstColumn="0" w:lastColumn="0" w:oddVBand="1" w:evenVBand="0" w:oddHBand="0" w:evenHBand="0" w:firstRowFirstColumn="0" w:firstRowLastColumn="0" w:lastRowFirstColumn="0" w:lastRowLastColumn="0"/>
            <w:tcW w:w="633" w:type="pct"/>
            <w:vAlign w:val="center"/>
          </w:tcPr>
          <w:p w:rsidR="00272122" w:rsidRPr="0019406C" w:rsidRDefault="00272122" w:rsidP="00272122">
            <w:pPr>
              <w:spacing w:before="40"/>
              <w:jc w:val="center"/>
              <w:rPr>
                <w:color w:val="000000"/>
                <w:lang w:val="lv-LV" w:eastAsia="lv-LV"/>
              </w:rPr>
            </w:pPr>
            <w:r w:rsidRPr="0019406C">
              <w:rPr>
                <w:color w:val="000000"/>
                <w:lang w:val="lv-LV" w:eastAsia="lv-LV"/>
              </w:rPr>
              <w:t>12</w:t>
            </w:r>
          </w:p>
        </w:tc>
        <w:tc>
          <w:tcPr>
            <w:tcW w:w="773" w:type="pct"/>
            <w:vAlign w:val="center"/>
          </w:tcPr>
          <w:p w:rsidR="00272122" w:rsidRPr="0019406C" w:rsidRDefault="00272122" w:rsidP="00272122">
            <w:pPr>
              <w:spacing w:before="40"/>
              <w:jc w:val="center"/>
              <w:cnfStyle w:val="000000100000" w:firstRow="0" w:lastRow="0" w:firstColumn="0" w:lastColumn="0" w:oddVBand="0" w:evenVBand="0" w:oddHBand="1" w:evenHBand="0" w:firstRowFirstColumn="0" w:firstRowLastColumn="0" w:lastRowFirstColumn="0" w:lastRowLastColumn="0"/>
              <w:rPr>
                <w:color w:val="000000"/>
                <w:lang w:val="lv-LV"/>
              </w:rPr>
            </w:pPr>
            <w:r w:rsidRPr="0019406C">
              <w:rPr>
                <w:color w:val="000000"/>
                <w:lang w:val="lv-LV"/>
              </w:rPr>
              <w:t>82</w:t>
            </w:r>
          </w:p>
        </w:tc>
        <w:tc>
          <w:tcPr>
            <w:cnfStyle w:val="000010000000" w:firstRow="0" w:lastRow="0" w:firstColumn="0" w:lastColumn="0" w:oddVBand="1" w:evenVBand="0" w:oddHBand="0" w:evenHBand="0" w:firstRowFirstColumn="0" w:firstRowLastColumn="0" w:lastRowFirstColumn="0" w:lastRowLastColumn="0"/>
            <w:tcW w:w="853" w:type="pct"/>
            <w:vAlign w:val="center"/>
          </w:tcPr>
          <w:p w:rsidR="00272122" w:rsidRPr="0019406C" w:rsidRDefault="007B41BD" w:rsidP="00272122">
            <w:pPr>
              <w:spacing w:before="40"/>
              <w:jc w:val="center"/>
              <w:rPr>
                <w:color w:val="000000"/>
                <w:lang w:val="lv-LV"/>
              </w:rPr>
            </w:pPr>
            <w:r w:rsidRPr="0019406C">
              <w:rPr>
                <w:color w:val="000000"/>
                <w:lang w:val="lv-LV"/>
              </w:rPr>
              <w:t>11,</w:t>
            </w:r>
            <w:r w:rsidR="00272122" w:rsidRPr="0019406C">
              <w:rPr>
                <w:color w:val="000000"/>
                <w:lang w:val="lv-LV"/>
              </w:rPr>
              <w:t>2</w:t>
            </w:r>
          </w:p>
        </w:tc>
        <w:tc>
          <w:tcPr>
            <w:tcW w:w="859" w:type="pct"/>
            <w:noWrap/>
            <w:vAlign w:val="center"/>
          </w:tcPr>
          <w:p w:rsidR="00272122" w:rsidRPr="0019406C" w:rsidRDefault="007B41BD" w:rsidP="00272122">
            <w:pPr>
              <w:spacing w:before="40"/>
              <w:jc w:val="center"/>
              <w:cnfStyle w:val="000000100000" w:firstRow="0" w:lastRow="0" w:firstColumn="0" w:lastColumn="0" w:oddVBand="0" w:evenVBand="0" w:oddHBand="1" w:evenHBand="0" w:firstRowFirstColumn="0" w:firstRowLastColumn="0" w:lastRowFirstColumn="0" w:lastRowLastColumn="0"/>
              <w:rPr>
                <w:color w:val="000000"/>
                <w:lang w:val="lv-LV" w:eastAsia="lv-LV"/>
              </w:rPr>
            </w:pPr>
            <w:r w:rsidRPr="0019406C">
              <w:rPr>
                <w:color w:val="000000"/>
                <w:lang w:val="lv-LV" w:eastAsia="lv-LV"/>
              </w:rPr>
              <w:t>10,</w:t>
            </w:r>
            <w:r w:rsidR="00272122" w:rsidRPr="0019406C">
              <w:rPr>
                <w:color w:val="000000"/>
                <w:lang w:val="lv-LV" w:eastAsia="lv-LV"/>
              </w:rPr>
              <w:t>5</w:t>
            </w:r>
          </w:p>
        </w:tc>
      </w:tr>
      <w:tr w:rsidR="00272122" w:rsidRPr="0019406C" w:rsidTr="00A9489E">
        <w:trPr>
          <w:trHeight w:val="20"/>
        </w:trPr>
        <w:tc>
          <w:tcPr>
            <w:cnfStyle w:val="001000000000" w:firstRow="0" w:lastRow="0" w:firstColumn="1" w:lastColumn="0" w:oddVBand="0" w:evenVBand="0" w:oddHBand="0" w:evenHBand="0" w:firstRowFirstColumn="0" w:firstRowLastColumn="0" w:lastRowFirstColumn="0" w:lastRowLastColumn="0"/>
            <w:tcW w:w="1882" w:type="pct"/>
            <w:shd w:val="clear" w:color="auto" w:fill="FFE0C5" w:themeFill="accent1" w:themeFillTint="33"/>
            <w:noWrap/>
            <w:vAlign w:val="bottom"/>
          </w:tcPr>
          <w:p w:rsidR="00272122" w:rsidRPr="0019406C" w:rsidRDefault="00272122" w:rsidP="00272122">
            <w:pPr>
              <w:spacing w:before="40"/>
              <w:rPr>
                <w:b w:val="0"/>
                <w:i/>
                <w:color w:val="000000"/>
                <w:lang w:val="lv-LV" w:eastAsia="lv-LV"/>
              </w:rPr>
            </w:pPr>
            <w:r w:rsidRPr="0019406C">
              <w:rPr>
                <w:i/>
                <w:color w:val="000000"/>
                <w:lang w:val="lv-LV" w:eastAsia="lv-LV"/>
              </w:rPr>
              <w:t>Juridiskā forma</w:t>
            </w:r>
          </w:p>
        </w:tc>
        <w:tc>
          <w:tcPr>
            <w:cnfStyle w:val="000010000000" w:firstRow="0" w:lastRow="0" w:firstColumn="0" w:lastColumn="0" w:oddVBand="1" w:evenVBand="0" w:oddHBand="0" w:evenHBand="0" w:firstRowFirstColumn="0" w:firstRowLastColumn="0" w:lastRowFirstColumn="0" w:lastRowLastColumn="0"/>
            <w:tcW w:w="633" w:type="pct"/>
            <w:shd w:val="clear" w:color="auto" w:fill="FFE0C5" w:themeFill="accent1" w:themeFillTint="33"/>
            <w:vAlign w:val="center"/>
          </w:tcPr>
          <w:p w:rsidR="00272122" w:rsidRPr="0019406C" w:rsidRDefault="00272122" w:rsidP="00272122">
            <w:pPr>
              <w:spacing w:before="40"/>
              <w:jc w:val="center"/>
              <w:rPr>
                <w:color w:val="000000"/>
                <w:lang w:val="lv-LV" w:eastAsia="lv-LV"/>
              </w:rPr>
            </w:pPr>
          </w:p>
        </w:tc>
        <w:tc>
          <w:tcPr>
            <w:tcW w:w="773" w:type="pct"/>
            <w:shd w:val="clear" w:color="auto" w:fill="FFE0C5" w:themeFill="accent1" w:themeFillTint="33"/>
            <w:vAlign w:val="center"/>
          </w:tcPr>
          <w:p w:rsidR="00272122" w:rsidRPr="0019406C" w:rsidRDefault="00272122" w:rsidP="00272122">
            <w:pPr>
              <w:spacing w:before="40"/>
              <w:jc w:val="center"/>
              <w:cnfStyle w:val="000000000000" w:firstRow="0" w:lastRow="0" w:firstColumn="0" w:lastColumn="0" w:oddVBand="0" w:evenVBand="0" w:oddHBand="0" w:evenHBand="0" w:firstRowFirstColumn="0" w:firstRowLastColumn="0" w:lastRowFirstColumn="0" w:lastRowLastColumn="0"/>
              <w:rPr>
                <w:color w:val="000000"/>
                <w:lang w:val="lv-LV" w:eastAsia="lv-LV"/>
              </w:rPr>
            </w:pPr>
          </w:p>
        </w:tc>
        <w:tc>
          <w:tcPr>
            <w:cnfStyle w:val="000010000000" w:firstRow="0" w:lastRow="0" w:firstColumn="0" w:lastColumn="0" w:oddVBand="1" w:evenVBand="0" w:oddHBand="0" w:evenHBand="0" w:firstRowFirstColumn="0" w:firstRowLastColumn="0" w:lastRowFirstColumn="0" w:lastRowLastColumn="0"/>
            <w:tcW w:w="853" w:type="pct"/>
            <w:shd w:val="clear" w:color="auto" w:fill="FFE0C5" w:themeFill="accent1" w:themeFillTint="33"/>
            <w:vAlign w:val="center"/>
          </w:tcPr>
          <w:p w:rsidR="00272122" w:rsidRPr="0019406C" w:rsidRDefault="00272122" w:rsidP="00272122">
            <w:pPr>
              <w:spacing w:before="40"/>
              <w:jc w:val="center"/>
              <w:rPr>
                <w:color w:val="000000"/>
                <w:lang w:val="lv-LV" w:eastAsia="lv-LV"/>
              </w:rPr>
            </w:pPr>
          </w:p>
        </w:tc>
        <w:tc>
          <w:tcPr>
            <w:tcW w:w="859" w:type="pct"/>
            <w:shd w:val="clear" w:color="auto" w:fill="FFE0C5" w:themeFill="accent1" w:themeFillTint="33"/>
            <w:noWrap/>
            <w:vAlign w:val="center"/>
          </w:tcPr>
          <w:p w:rsidR="00272122" w:rsidRPr="0019406C" w:rsidRDefault="00272122" w:rsidP="00272122">
            <w:pPr>
              <w:spacing w:before="40"/>
              <w:jc w:val="center"/>
              <w:cnfStyle w:val="000000000000" w:firstRow="0" w:lastRow="0" w:firstColumn="0" w:lastColumn="0" w:oddVBand="0" w:evenVBand="0" w:oddHBand="0" w:evenHBand="0" w:firstRowFirstColumn="0" w:firstRowLastColumn="0" w:lastRowFirstColumn="0" w:lastRowLastColumn="0"/>
              <w:rPr>
                <w:color w:val="000000"/>
                <w:lang w:val="lv-LV" w:eastAsia="lv-LV"/>
              </w:rPr>
            </w:pPr>
          </w:p>
        </w:tc>
      </w:tr>
      <w:tr w:rsidR="00272122" w:rsidRPr="0019406C" w:rsidTr="00A9489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82" w:type="pct"/>
            <w:noWrap/>
            <w:vAlign w:val="bottom"/>
          </w:tcPr>
          <w:p w:rsidR="00272122" w:rsidRPr="0019406C" w:rsidRDefault="00272122" w:rsidP="00272122">
            <w:pPr>
              <w:spacing w:before="40"/>
              <w:rPr>
                <w:color w:val="000000"/>
                <w:lang w:val="lv-LV" w:eastAsia="lv-LV"/>
              </w:rPr>
            </w:pPr>
            <w:r w:rsidRPr="0019406C">
              <w:rPr>
                <w:color w:val="000000"/>
                <w:lang w:val="lv-LV" w:eastAsia="lv-LV"/>
              </w:rPr>
              <w:t>1  SIA / A/S</w:t>
            </w:r>
          </w:p>
        </w:tc>
        <w:tc>
          <w:tcPr>
            <w:cnfStyle w:val="000010000000" w:firstRow="0" w:lastRow="0" w:firstColumn="0" w:lastColumn="0" w:oddVBand="1" w:evenVBand="0" w:oddHBand="0" w:evenHBand="0" w:firstRowFirstColumn="0" w:firstRowLastColumn="0" w:lastRowFirstColumn="0" w:lastRowLastColumn="0"/>
            <w:tcW w:w="633" w:type="pct"/>
            <w:vAlign w:val="center"/>
          </w:tcPr>
          <w:p w:rsidR="00272122" w:rsidRPr="0019406C" w:rsidRDefault="00272122" w:rsidP="00272122">
            <w:pPr>
              <w:spacing w:before="40"/>
              <w:jc w:val="center"/>
              <w:rPr>
                <w:color w:val="000000"/>
                <w:lang w:val="lv-LV" w:eastAsia="lv-LV"/>
              </w:rPr>
            </w:pPr>
            <w:r w:rsidRPr="0019406C">
              <w:rPr>
                <w:color w:val="000000"/>
                <w:lang w:val="lv-LV" w:eastAsia="lv-LV"/>
              </w:rPr>
              <w:t>91</w:t>
            </w:r>
          </w:p>
        </w:tc>
        <w:tc>
          <w:tcPr>
            <w:tcW w:w="773" w:type="pct"/>
            <w:vAlign w:val="center"/>
          </w:tcPr>
          <w:p w:rsidR="00272122" w:rsidRPr="0019406C" w:rsidRDefault="00272122" w:rsidP="00272122">
            <w:pPr>
              <w:spacing w:before="40"/>
              <w:jc w:val="center"/>
              <w:cnfStyle w:val="000000100000" w:firstRow="0" w:lastRow="0" w:firstColumn="0" w:lastColumn="0" w:oddVBand="0" w:evenVBand="0" w:oddHBand="1" w:evenHBand="0" w:firstRowFirstColumn="0" w:firstRowLastColumn="0" w:lastRowFirstColumn="0" w:lastRowLastColumn="0"/>
              <w:rPr>
                <w:color w:val="000000"/>
                <w:lang w:val="lv-LV"/>
              </w:rPr>
            </w:pPr>
            <w:r w:rsidRPr="0019406C">
              <w:rPr>
                <w:color w:val="000000"/>
                <w:lang w:val="lv-LV"/>
              </w:rPr>
              <w:t>623</w:t>
            </w:r>
          </w:p>
        </w:tc>
        <w:tc>
          <w:tcPr>
            <w:cnfStyle w:val="000010000000" w:firstRow="0" w:lastRow="0" w:firstColumn="0" w:lastColumn="0" w:oddVBand="1" w:evenVBand="0" w:oddHBand="0" w:evenHBand="0" w:firstRowFirstColumn="0" w:firstRowLastColumn="0" w:lastRowFirstColumn="0" w:lastRowLastColumn="0"/>
            <w:tcW w:w="853" w:type="pct"/>
            <w:vAlign w:val="center"/>
          </w:tcPr>
          <w:p w:rsidR="00272122" w:rsidRPr="0019406C" w:rsidRDefault="007B41BD" w:rsidP="00272122">
            <w:pPr>
              <w:spacing w:before="40"/>
              <w:jc w:val="center"/>
              <w:rPr>
                <w:color w:val="000000"/>
                <w:lang w:val="lv-LV"/>
              </w:rPr>
            </w:pPr>
            <w:r w:rsidRPr="0019406C">
              <w:rPr>
                <w:color w:val="000000"/>
                <w:lang w:val="lv-LV"/>
              </w:rPr>
              <w:t>84,</w:t>
            </w:r>
            <w:r w:rsidR="00272122" w:rsidRPr="0019406C">
              <w:rPr>
                <w:color w:val="000000"/>
                <w:lang w:val="lv-LV"/>
              </w:rPr>
              <w:t>9</w:t>
            </w:r>
          </w:p>
        </w:tc>
        <w:tc>
          <w:tcPr>
            <w:tcW w:w="859" w:type="pct"/>
            <w:noWrap/>
            <w:vAlign w:val="center"/>
          </w:tcPr>
          <w:p w:rsidR="00272122" w:rsidRPr="0019406C" w:rsidRDefault="007B41BD" w:rsidP="00272122">
            <w:pPr>
              <w:spacing w:before="40"/>
              <w:jc w:val="center"/>
              <w:cnfStyle w:val="000000100000" w:firstRow="0" w:lastRow="0" w:firstColumn="0" w:lastColumn="0" w:oddVBand="0" w:evenVBand="0" w:oddHBand="1" w:evenHBand="0" w:firstRowFirstColumn="0" w:firstRowLastColumn="0" w:lastRowFirstColumn="0" w:lastRowLastColumn="0"/>
              <w:rPr>
                <w:color w:val="000000"/>
                <w:lang w:val="lv-LV" w:eastAsia="lv-LV"/>
              </w:rPr>
            </w:pPr>
            <w:r w:rsidRPr="0019406C">
              <w:rPr>
                <w:color w:val="000000"/>
                <w:lang w:val="lv-LV" w:eastAsia="lv-LV"/>
              </w:rPr>
              <w:t>89,</w:t>
            </w:r>
            <w:r w:rsidR="00272122" w:rsidRPr="0019406C">
              <w:rPr>
                <w:color w:val="000000"/>
                <w:lang w:val="lv-LV" w:eastAsia="lv-LV"/>
              </w:rPr>
              <w:t>1</w:t>
            </w:r>
          </w:p>
        </w:tc>
      </w:tr>
      <w:tr w:rsidR="00272122" w:rsidRPr="0019406C" w:rsidTr="00A9489E">
        <w:trPr>
          <w:trHeight w:val="20"/>
        </w:trPr>
        <w:tc>
          <w:tcPr>
            <w:cnfStyle w:val="001000000000" w:firstRow="0" w:lastRow="0" w:firstColumn="1" w:lastColumn="0" w:oddVBand="0" w:evenVBand="0" w:oddHBand="0" w:evenHBand="0" w:firstRowFirstColumn="0" w:firstRowLastColumn="0" w:lastRowFirstColumn="0" w:lastRowLastColumn="0"/>
            <w:tcW w:w="1882" w:type="pct"/>
            <w:noWrap/>
            <w:vAlign w:val="bottom"/>
          </w:tcPr>
          <w:p w:rsidR="00272122" w:rsidRPr="0019406C" w:rsidRDefault="00272122" w:rsidP="00272122">
            <w:pPr>
              <w:spacing w:before="40"/>
              <w:rPr>
                <w:color w:val="000000"/>
                <w:lang w:val="lv-LV" w:eastAsia="lv-LV"/>
              </w:rPr>
            </w:pPr>
            <w:r w:rsidRPr="0019406C">
              <w:rPr>
                <w:color w:val="000000"/>
                <w:lang w:val="lv-LV" w:eastAsia="lv-LV"/>
              </w:rPr>
              <w:t>3  IU/ IK</w:t>
            </w:r>
          </w:p>
        </w:tc>
        <w:tc>
          <w:tcPr>
            <w:cnfStyle w:val="000010000000" w:firstRow="0" w:lastRow="0" w:firstColumn="0" w:lastColumn="0" w:oddVBand="1" w:evenVBand="0" w:oddHBand="0" w:evenHBand="0" w:firstRowFirstColumn="0" w:firstRowLastColumn="0" w:lastRowFirstColumn="0" w:lastRowLastColumn="0"/>
            <w:tcW w:w="633" w:type="pct"/>
            <w:vAlign w:val="center"/>
          </w:tcPr>
          <w:p w:rsidR="00272122" w:rsidRPr="0019406C" w:rsidRDefault="00272122" w:rsidP="00272122">
            <w:pPr>
              <w:spacing w:before="40"/>
              <w:jc w:val="center"/>
              <w:rPr>
                <w:color w:val="000000"/>
                <w:lang w:val="lv-LV" w:eastAsia="lv-LV"/>
              </w:rPr>
            </w:pPr>
            <w:r w:rsidRPr="0019406C">
              <w:rPr>
                <w:color w:val="000000"/>
                <w:lang w:val="lv-LV" w:eastAsia="lv-LV"/>
              </w:rPr>
              <w:t>9</w:t>
            </w:r>
          </w:p>
        </w:tc>
        <w:tc>
          <w:tcPr>
            <w:tcW w:w="773" w:type="pct"/>
            <w:vAlign w:val="center"/>
          </w:tcPr>
          <w:p w:rsidR="00272122" w:rsidRPr="0019406C" w:rsidRDefault="00272122" w:rsidP="00272122">
            <w:pPr>
              <w:spacing w:before="40"/>
              <w:jc w:val="center"/>
              <w:cnfStyle w:val="000000000000" w:firstRow="0" w:lastRow="0" w:firstColumn="0" w:lastColumn="0" w:oddVBand="0" w:evenVBand="0" w:oddHBand="0" w:evenHBand="0" w:firstRowFirstColumn="0" w:firstRowLastColumn="0" w:lastRowFirstColumn="0" w:lastRowLastColumn="0"/>
              <w:rPr>
                <w:color w:val="000000"/>
                <w:lang w:val="lv-LV"/>
              </w:rPr>
            </w:pPr>
            <w:r w:rsidRPr="0019406C">
              <w:rPr>
                <w:color w:val="000000"/>
                <w:lang w:val="lv-LV"/>
              </w:rPr>
              <w:t>111</w:t>
            </w:r>
          </w:p>
        </w:tc>
        <w:tc>
          <w:tcPr>
            <w:cnfStyle w:val="000010000000" w:firstRow="0" w:lastRow="0" w:firstColumn="0" w:lastColumn="0" w:oddVBand="1" w:evenVBand="0" w:oddHBand="0" w:evenHBand="0" w:firstRowFirstColumn="0" w:firstRowLastColumn="0" w:lastRowFirstColumn="0" w:lastRowLastColumn="0"/>
            <w:tcW w:w="853" w:type="pct"/>
            <w:vAlign w:val="center"/>
          </w:tcPr>
          <w:p w:rsidR="00272122" w:rsidRPr="0019406C" w:rsidRDefault="007B41BD" w:rsidP="00272122">
            <w:pPr>
              <w:spacing w:before="40"/>
              <w:jc w:val="center"/>
              <w:rPr>
                <w:color w:val="000000"/>
                <w:lang w:val="lv-LV"/>
              </w:rPr>
            </w:pPr>
            <w:r w:rsidRPr="0019406C">
              <w:rPr>
                <w:color w:val="000000"/>
                <w:lang w:val="lv-LV"/>
              </w:rPr>
              <w:t>15,</w:t>
            </w:r>
            <w:r w:rsidR="00272122" w:rsidRPr="0019406C">
              <w:rPr>
                <w:color w:val="000000"/>
                <w:lang w:val="lv-LV"/>
              </w:rPr>
              <w:t>1</w:t>
            </w:r>
          </w:p>
        </w:tc>
        <w:tc>
          <w:tcPr>
            <w:tcW w:w="859" w:type="pct"/>
            <w:noWrap/>
            <w:vAlign w:val="center"/>
          </w:tcPr>
          <w:p w:rsidR="00272122" w:rsidRPr="0019406C" w:rsidRDefault="007B41BD" w:rsidP="00272122">
            <w:pPr>
              <w:spacing w:before="40"/>
              <w:jc w:val="center"/>
              <w:cnfStyle w:val="000000000000" w:firstRow="0" w:lastRow="0" w:firstColumn="0" w:lastColumn="0" w:oddVBand="0" w:evenVBand="0" w:oddHBand="0" w:evenHBand="0" w:firstRowFirstColumn="0" w:firstRowLastColumn="0" w:lastRowFirstColumn="0" w:lastRowLastColumn="0"/>
              <w:rPr>
                <w:color w:val="000000"/>
                <w:lang w:val="lv-LV" w:eastAsia="lv-LV"/>
              </w:rPr>
            </w:pPr>
            <w:r w:rsidRPr="0019406C">
              <w:rPr>
                <w:color w:val="000000"/>
                <w:lang w:val="lv-LV" w:eastAsia="lv-LV"/>
              </w:rPr>
              <w:t>10,</w:t>
            </w:r>
            <w:r w:rsidR="00272122" w:rsidRPr="0019406C">
              <w:rPr>
                <w:color w:val="000000"/>
                <w:lang w:val="lv-LV" w:eastAsia="lv-LV"/>
              </w:rPr>
              <w:t>9</w:t>
            </w:r>
          </w:p>
        </w:tc>
      </w:tr>
      <w:tr w:rsidR="00272122" w:rsidRPr="0019406C" w:rsidTr="00A9489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82" w:type="pct"/>
            <w:noWrap/>
            <w:vAlign w:val="bottom"/>
          </w:tcPr>
          <w:p w:rsidR="00272122" w:rsidRPr="0019406C" w:rsidRDefault="00272122" w:rsidP="00272122">
            <w:pPr>
              <w:spacing w:before="40"/>
              <w:rPr>
                <w:b w:val="0"/>
                <w:i/>
                <w:color w:val="000000"/>
                <w:lang w:val="lv-LV" w:eastAsia="lv-LV"/>
              </w:rPr>
            </w:pPr>
            <w:r w:rsidRPr="0019406C">
              <w:rPr>
                <w:i/>
                <w:color w:val="000000"/>
                <w:lang w:val="lv-LV" w:eastAsia="lv-LV"/>
              </w:rPr>
              <w:t>Īpašumtiesības**</w:t>
            </w:r>
          </w:p>
        </w:tc>
        <w:tc>
          <w:tcPr>
            <w:cnfStyle w:val="000010000000" w:firstRow="0" w:lastRow="0" w:firstColumn="0" w:lastColumn="0" w:oddVBand="1" w:evenVBand="0" w:oddHBand="0" w:evenHBand="0" w:firstRowFirstColumn="0" w:firstRowLastColumn="0" w:lastRowFirstColumn="0" w:lastRowLastColumn="0"/>
            <w:tcW w:w="633" w:type="pct"/>
            <w:vAlign w:val="center"/>
          </w:tcPr>
          <w:p w:rsidR="00272122" w:rsidRPr="0019406C" w:rsidRDefault="00272122" w:rsidP="00272122">
            <w:pPr>
              <w:spacing w:before="40"/>
              <w:jc w:val="center"/>
              <w:rPr>
                <w:color w:val="000000"/>
                <w:lang w:val="lv-LV" w:eastAsia="lv-LV"/>
              </w:rPr>
            </w:pPr>
          </w:p>
        </w:tc>
        <w:tc>
          <w:tcPr>
            <w:tcW w:w="773" w:type="pct"/>
            <w:vAlign w:val="center"/>
          </w:tcPr>
          <w:p w:rsidR="00272122" w:rsidRPr="0019406C" w:rsidRDefault="00272122" w:rsidP="00272122">
            <w:pPr>
              <w:spacing w:before="40"/>
              <w:jc w:val="center"/>
              <w:cnfStyle w:val="000000100000" w:firstRow="0" w:lastRow="0" w:firstColumn="0" w:lastColumn="0" w:oddVBand="0" w:evenVBand="0" w:oddHBand="1" w:evenHBand="0" w:firstRowFirstColumn="0" w:firstRowLastColumn="0" w:lastRowFirstColumn="0" w:lastRowLastColumn="0"/>
              <w:rPr>
                <w:color w:val="000000"/>
                <w:lang w:val="lv-LV" w:eastAsia="lv-LV"/>
              </w:rPr>
            </w:pPr>
          </w:p>
        </w:tc>
        <w:tc>
          <w:tcPr>
            <w:cnfStyle w:val="000010000000" w:firstRow="0" w:lastRow="0" w:firstColumn="0" w:lastColumn="0" w:oddVBand="1" w:evenVBand="0" w:oddHBand="0" w:evenHBand="0" w:firstRowFirstColumn="0" w:firstRowLastColumn="0" w:lastRowFirstColumn="0" w:lastRowLastColumn="0"/>
            <w:tcW w:w="853" w:type="pct"/>
            <w:vAlign w:val="center"/>
          </w:tcPr>
          <w:p w:rsidR="00272122" w:rsidRPr="0019406C" w:rsidRDefault="00272122" w:rsidP="00272122">
            <w:pPr>
              <w:spacing w:before="40"/>
              <w:jc w:val="center"/>
              <w:rPr>
                <w:color w:val="000000"/>
                <w:lang w:val="lv-LV" w:eastAsia="lv-LV"/>
              </w:rPr>
            </w:pPr>
          </w:p>
        </w:tc>
        <w:tc>
          <w:tcPr>
            <w:tcW w:w="859" w:type="pct"/>
            <w:noWrap/>
            <w:vAlign w:val="center"/>
          </w:tcPr>
          <w:p w:rsidR="00272122" w:rsidRPr="0019406C" w:rsidRDefault="00272122" w:rsidP="00272122">
            <w:pPr>
              <w:spacing w:before="40"/>
              <w:jc w:val="center"/>
              <w:cnfStyle w:val="000000100000" w:firstRow="0" w:lastRow="0" w:firstColumn="0" w:lastColumn="0" w:oddVBand="0" w:evenVBand="0" w:oddHBand="1" w:evenHBand="0" w:firstRowFirstColumn="0" w:firstRowLastColumn="0" w:lastRowFirstColumn="0" w:lastRowLastColumn="0"/>
              <w:rPr>
                <w:color w:val="000000"/>
                <w:lang w:val="lv-LV" w:eastAsia="lv-LV"/>
              </w:rPr>
            </w:pPr>
          </w:p>
        </w:tc>
      </w:tr>
      <w:tr w:rsidR="00272122" w:rsidRPr="0019406C" w:rsidTr="00A9489E">
        <w:trPr>
          <w:trHeight w:val="20"/>
        </w:trPr>
        <w:tc>
          <w:tcPr>
            <w:cnfStyle w:val="001000000000" w:firstRow="0" w:lastRow="0" w:firstColumn="1" w:lastColumn="0" w:oddVBand="0" w:evenVBand="0" w:oddHBand="0" w:evenHBand="0" w:firstRowFirstColumn="0" w:firstRowLastColumn="0" w:lastRowFirstColumn="0" w:lastRowLastColumn="0"/>
            <w:tcW w:w="1882" w:type="pct"/>
            <w:noWrap/>
            <w:vAlign w:val="bottom"/>
          </w:tcPr>
          <w:p w:rsidR="00272122" w:rsidRPr="0019406C" w:rsidRDefault="00272122" w:rsidP="00272122">
            <w:pPr>
              <w:spacing w:before="40"/>
              <w:rPr>
                <w:color w:val="000000"/>
                <w:lang w:val="lv-LV" w:eastAsia="lv-LV"/>
              </w:rPr>
            </w:pPr>
            <w:r w:rsidRPr="0019406C">
              <w:rPr>
                <w:color w:val="000000"/>
                <w:lang w:val="lv-LV" w:eastAsia="lv-LV"/>
              </w:rPr>
              <w:t>1  Vietējais kapitāls</w:t>
            </w:r>
          </w:p>
        </w:tc>
        <w:tc>
          <w:tcPr>
            <w:cnfStyle w:val="000010000000" w:firstRow="0" w:lastRow="0" w:firstColumn="0" w:lastColumn="0" w:oddVBand="1" w:evenVBand="0" w:oddHBand="0" w:evenHBand="0" w:firstRowFirstColumn="0" w:firstRowLastColumn="0" w:lastRowFirstColumn="0" w:lastRowLastColumn="0"/>
            <w:tcW w:w="633" w:type="pct"/>
            <w:vAlign w:val="center"/>
          </w:tcPr>
          <w:p w:rsidR="00272122" w:rsidRPr="0019406C" w:rsidRDefault="00272122" w:rsidP="00272122">
            <w:pPr>
              <w:spacing w:before="40"/>
              <w:jc w:val="center"/>
              <w:rPr>
                <w:color w:val="000000"/>
                <w:lang w:val="lv-LV" w:eastAsia="lv-LV"/>
              </w:rPr>
            </w:pPr>
            <w:r w:rsidRPr="0019406C">
              <w:rPr>
                <w:color w:val="000000"/>
                <w:lang w:val="lv-LV" w:eastAsia="lv-LV"/>
              </w:rPr>
              <w:t>-</w:t>
            </w:r>
          </w:p>
        </w:tc>
        <w:tc>
          <w:tcPr>
            <w:tcW w:w="773" w:type="pct"/>
            <w:vAlign w:val="center"/>
          </w:tcPr>
          <w:p w:rsidR="00272122" w:rsidRPr="0019406C" w:rsidRDefault="00272122" w:rsidP="00272122">
            <w:pPr>
              <w:spacing w:before="40"/>
              <w:jc w:val="center"/>
              <w:cnfStyle w:val="000000000000" w:firstRow="0" w:lastRow="0" w:firstColumn="0" w:lastColumn="0" w:oddVBand="0" w:evenVBand="0" w:oddHBand="0" w:evenHBand="0" w:firstRowFirstColumn="0" w:firstRowLastColumn="0" w:lastRowFirstColumn="0" w:lastRowLastColumn="0"/>
              <w:rPr>
                <w:color w:val="000000"/>
                <w:lang w:val="lv-LV"/>
              </w:rPr>
            </w:pPr>
            <w:r w:rsidRPr="0019406C">
              <w:rPr>
                <w:color w:val="000000"/>
                <w:lang w:val="lv-LV"/>
              </w:rPr>
              <w:t>687</w:t>
            </w:r>
          </w:p>
        </w:tc>
        <w:tc>
          <w:tcPr>
            <w:cnfStyle w:val="000010000000" w:firstRow="0" w:lastRow="0" w:firstColumn="0" w:lastColumn="0" w:oddVBand="1" w:evenVBand="0" w:oddHBand="0" w:evenHBand="0" w:firstRowFirstColumn="0" w:firstRowLastColumn="0" w:lastRowFirstColumn="0" w:lastRowLastColumn="0"/>
            <w:tcW w:w="853" w:type="pct"/>
            <w:vAlign w:val="center"/>
          </w:tcPr>
          <w:p w:rsidR="00272122" w:rsidRPr="0019406C" w:rsidRDefault="007B41BD" w:rsidP="00272122">
            <w:pPr>
              <w:spacing w:before="40"/>
              <w:jc w:val="center"/>
              <w:rPr>
                <w:color w:val="000000"/>
                <w:lang w:val="lv-LV"/>
              </w:rPr>
            </w:pPr>
            <w:r w:rsidRPr="0019406C">
              <w:rPr>
                <w:color w:val="000000"/>
                <w:lang w:val="lv-LV"/>
              </w:rPr>
              <w:t>93,</w:t>
            </w:r>
            <w:r w:rsidR="00272122" w:rsidRPr="0019406C">
              <w:rPr>
                <w:color w:val="000000"/>
                <w:lang w:val="lv-LV"/>
              </w:rPr>
              <w:t>6</w:t>
            </w:r>
          </w:p>
        </w:tc>
        <w:tc>
          <w:tcPr>
            <w:tcW w:w="859" w:type="pct"/>
            <w:noWrap/>
            <w:vAlign w:val="center"/>
          </w:tcPr>
          <w:p w:rsidR="00272122" w:rsidRPr="0019406C" w:rsidRDefault="007B41BD" w:rsidP="00272122">
            <w:pPr>
              <w:spacing w:before="40"/>
              <w:jc w:val="center"/>
              <w:cnfStyle w:val="000000000000" w:firstRow="0" w:lastRow="0" w:firstColumn="0" w:lastColumn="0" w:oddVBand="0" w:evenVBand="0" w:oddHBand="0" w:evenHBand="0" w:firstRowFirstColumn="0" w:firstRowLastColumn="0" w:lastRowFirstColumn="0" w:lastRowLastColumn="0"/>
              <w:rPr>
                <w:color w:val="000000"/>
                <w:lang w:val="lv-LV"/>
              </w:rPr>
            </w:pPr>
            <w:r w:rsidRPr="0019406C">
              <w:rPr>
                <w:color w:val="000000"/>
                <w:lang w:val="lv-LV"/>
              </w:rPr>
              <w:t>95,</w:t>
            </w:r>
            <w:r w:rsidR="00272122" w:rsidRPr="0019406C">
              <w:rPr>
                <w:color w:val="000000"/>
                <w:lang w:val="lv-LV"/>
              </w:rPr>
              <w:t>6</w:t>
            </w:r>
          </w:p>
        </w:tc>
      </w:tr>
      <w:tr w:rsidR="00272122" w:rsidRPr="0019406C" w:rsidTr="00A9489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82" w:type="pct"/>
            <w:noWrap/>
            <w:vAlign w:val="bottom"/>
          </w:tcPr>
          <w:p w:rsidR="00272122" w:rsidRPr="0019406C" w:rsidRDefault="00272122" w:rsidP="00272122">
            <w:pPr>
              <w:spacing w:before="40"/>
              <w:rPr>
                <w:color w:val="000000"/>
                <w:lang w:val="lv-LV" w:eastAsia="lv-LV"/>
              </w:rPr>
            </w:pPr>
            <w:r w:rsidRPr="0019406C">
              <w:rPr>
                <w:color w:val="000000"/>
                <w:lang w:val="lv-LV" w:eastAsia="lv-LV"/>
              </w:rPr>
              <w:t>2  Ārvalstu kapitāls</w:t>
            </w:r>
          </w:p>
        </w:tc>
        <w:tc>
          <w:tcPr>
            <w:cnfStyle w:val="000010000000" w:firstRow="0" w:lastRow="0" w:firstColumn="0" w:lastColumn="0" w:oddVBand="1" w:evenVBand="0" w:oddHBand="0" w:evenHBand="0" w:firstRowFirstColumn="0" w:firstRowLastColumn="0" w:lastRowFirstColumn="0" w:lastRowLastColumn="0"/>
            <w:tcW w:w="633" w:type="pct"/>
            <w:vAlign w:val="center"/>
          </w:tcPr>
          <w:p w:rsidR="00272122" w:rsidRPr="0019406C" w:rsidRDefault="00272122" w:rsidP="00272122">
            <w:pPr>
              <w:spacing w:before="40"/>
              <w:jc w:val="center"/>
              <w:rPr>
                <w:color w:val="000000"/>
                <w:lang w:val="lv-LV" w:eastAsia="lv-LV"/>
              </w:rPr>
            </w:pPr>
            <w:r w:rsidRPr="0019406C">
              <w:rPr>
                <w:color w:val="000000"/>
                <w:lang w:val="lv-LV" w:eastAsia="lv-LV"/>
              </w:rPr>
              <w:t>-</w:t>
            </w:r>
          </w:p>
        </w:tc>
        <w:tc>
          <w:tcPr>
            <w:tcW w:w="773" w:type="pct"/>
            <w:vAlign w:val="center"/>
          </w:tcPr>
          <w:p w:rsidR="00272122" w:rsidRPr="0019406C" w:rsidRDefault="00272122" w:rsidP="00272122">
            <w:pPr>
              <w:spacing w:before="40"/>
              <w:jc w:val="center"/>
              <w:cnfStyle w:val="000000100000" w:firstRow="0" w:lastRow="0" w:firstColumn="0" w:lastColumn="0" w:oddVBand="0" w:evenVBand="0" w:oddHBand="1" w:evenHBand="0" w:firstRowFirstColumn="0" w:firstRowLastColumn="0" w:lastRowFirstColumn="0" w:lastRowLastColumn="0"/>
              <w:rPr>
                <w:color w:val="000000"/>
                <w:lang w:val="lv-LV"/>
              </w:rPr>
            </w:pPr>
            <w:r w:rsidRPr="0019406C">
              <w:rPr>
                <w:color w:val="000000"/>
                <w:lang w:val="lv-LV"/>
              </w:rPr>
              <w:t>47</w:t>
            </w:r>
          </w:p>
        </w:tc>
        <w:tc>
          <w:tcPr>
            <w:cnfStyle w:val="000010000000" w:firstRow="0" w:lastRow="0" w:firstColumn="0" w:lastColumn="0" w:oddVBand="1" w:evenVBand="0" w:oddHBand="0" w:evenHBand="0" w:firstRowFirstColumn="0" w:firstRowLastColumn="0" w:lastRowFirstColumn="0" w:lastRowLastColumn="0"/>
            <w:tcW w:w="853" w:type="pct"/>
            <w:vAlign w:val="center"/>
          </w:tcPr>
          <w:p w:rsidR="00272122" w:rsidRPr="0019406C" w:rsidRDefault="007B41BD" w:rsidP="00272122">
            <w:pPr>
              <w:spacing w:before="40"/>
              <w:jc w:val="center"/>
              <w:rPr>
                <w:color w:val="000000"/>
                <w:lang w:val="lv-LV"/>
              </w:rPr>
            </w:pPr>
            <w:r w:rsidRPr="0019406C">
              <w:rPr>
                <w:color w:val="000000"/>
                <w:lang w:val="lv-LV"/>
              </w:rPr>
              <w:t>6,</w:t>
            </w:r>
            <w:r w:rsidR="00272122" w:rsidRPr="0019406C">
              <w:rPr>
                <w:color w:val="000000"/>
                <w:lang w:val="lv-LV"/>
              </w:rPr>
              <w:t>4</w:t>
            </w:r>
          </w:p>
        </w:tc>
        <w:tc>
          <w:tcPr>
            <w:tcW w:w="859" w:type="pct"/>
            <w:noWrap/>
            <w:vAlign w:val="center"/>
          </w:tcPr>
          <w:p w:rsidR="00272122" w:rsidRPr="0019406C" w:rsidRDefault="007B41BD" w:rsidP="00272122">
            <w:pPr>
              <w:spacing w:before="40"/>
              <w:jc w:val="center"/>
              <w:cnfStyle w:val="000000100000" w:firstRow="0" w:lastRow="0" w:firstColumn="0" w:lastColumn="0" w:oddVBand="0" w:evenVBand="0" w:oddHBand="1" w:evenHBand="0" w:firstRowFirstColumn="0" w:firstRowLastColumn="0" w:lastRowFirstColumn="0" w:lastRowLastColumn="0"/>
              <w:rPr>
                <w:color w:val="000000"/>
                <w:lang w:val="lv-LV"/>
              </w:rPr>
            </w:pPr>
            <w:r w:rsidRPr="0019406C">
              <w:rPr>
                <w:color w:val="000000"/>
                <w:lang w:val="lv-LV"/>
              </w:rPr>
              <w:t>4,</w:t>
            </w:r>
            <w:r w:rsidR="00272122" w:rsidRPr="0019406C">
              <w:rPr>
                <w:color w:val="000000"/>
                <w:lang w:val="lv-LV"/>
              </w:rPr>
              <w:t>4</w:t>
            </w:r>
          </w:p>
        </w:tc>
      </w:tr>
      <w:tr w:rsidR="00272122" w:rsidRPr="0019406C" w:rsidTr="00A9489E">
        <w:trPr>
          <w:trHeight w:val="20"/>
        </w:trPr>
        <w:tc>
          <w:tcPr>
            <w:cnfStyle w:val="001000000000" w:firstRow="0" w:lastRow="0" w:firstColumn="1" w:lastColumn="0" w:oddVBand="0" w:evenVBand="0" w:oddHBand="0" w:evenHBand="0" w:firstRowFirstColumn="0" w:firstRowLastColumn="0" w:lastRowFirstColumn="0" w:lastRowLastColumn="0"/>
            <w:tcW w:w="1882" w:type="pct"/>
            <w:noWrap/>
            <w:vAlign w:val="bottom"/>
          </w:tcPr>
          <w:p w:rsidR="00272122" w:rsidRPr="0019406C" w:rsidRDefault="00272122" w:rsidP="00272122">
            <w:pPr>
              <w:spacing w:before="40"/>
              <w:rPr>
                <w:b w:val="0"/>
                <w:bCs w:val="0"/>
                <w:color w:val="000000"/>
                <w:lang w:val="lv-LV" w:eastAsia="lv-LV"/>
              </w:rPr>
            </w:pPr>
            <w:r w:rsidRPr="0019406C">
              <w:rPr>
                <w:color w:val="000000"/>
                <w:lang w:val="lv-LV" w:eastAsia="lv-LV"/>
              </w:rPr>
              <w:t>KOPĀ</w:t>
            </w:r>
          </w:p>
        </w:tc>
        <w:tc>
          <w:tcPr>
            <w:cnfStyle w:val="000010000000" w:firstRow="0" w:lastRow="0" w:firstColumn="0" w:lastColumn="0" w:oddVBand="1" w:evenVBand="0" w:oddHBand="0" w:evenHBand="0" w:firstRowFirstColumn="0" w:firstRowLastColumn="0" w:lastRowFirstColumn="0" w:lastRowLastColumn="0"/>
            <w:tcW w:w="633" w:type="pct"/>
            <w:vAlign w:val="bottom"/>
          </w:tcPr>
          <w:p w:rsidR="00272122" w:rsidRPr="0019406C" w:rsidRDefault="00272122" w:rsidP="007B41BD">
            <w:pPr>
              <w:spacing w:before="40"/>
              <w:jc w:val="center"/>
              <w:rPr>
                <w:b/>
                <w:bCs/>
                <w:color w:val="000000"/>
                <w:lang w:val="lv-LV" w:eastAsia="lv-LV"/>
              </w:rPr>
            </w:pPr>
            <w:r w:rsidRPr="0019406C">
              <w:rPr>
                <w:b/>
                <w:bCs/>
                <w:color w:val="000000"/>
                <w:lang w:val="lv-LV" w:eastAsia="lv-LV"/>
              </w:rPr>
              <w:t>100</w:t>
            </w:r>
            <w:r w:rsidR="007B41BD" w:rsidRPr="0019406C">
              <w:rPr>
                <w:b/>
                <w:bCs/>
                <w:color w:val="000000"/>
                <w:lang w:val="lv-LV" w:eastAsia="lv-LV"/>
              </w:rPr>
              <w:t>,</w:t>
            </w:r>
            <w:r w:rsidRPr="0019406C">
              <w:rPr>
                <w:b/>
                <w:bCs/>
                <w:color w:val="000000"/>
                <w:lang w:val="lv-LV" w:eastAsia="lv-LV"/>
              </w:rPr>
              <w:t>0</w:t>
            </w:r>
          </w:p>
        </w:tc>
        <w:tc>
          <w:tcPr>
            <w:tcW w:w="773" w:type="pct"/>
            <w:vAlign w:val="bottom"/>
          </w:tcPr>
          <w:p w:rsidR="00272122" w:rsidRPr="0019406C" w:rsidRDefault="00272122" w:rsidP="00272122">
            <w:pPr>
              <w:spacing w:before="40"/>
              <w:jc w:val="center"/>
              <w:cnfStyle w:val="000000000000" w:firstRow="0" w:lastRow="0" w:firstColumn="0" w:lastColumn="0" w:oddVBand="0" w:evenVBand="0" w:oddHBand="0" w:evenHBand="0" w:firstRowFirstColumn="0" w:firstRowLastColumn="0" w:lastRowFirstColumn="0" w:lastRowLastColumn="0"/>
              <w:rPr>
                <w:b/>
                <w:bCs/>
                <w:color w:val="000000"/>
                <w:lang w:val="lv-LV" w:eastAsia="lv-LV"/>
              </w:rPr>
            </w:pPr>
            <w:r w:rsidRPr="0019406C">
              <w:rPr>
                <w:b/>
                <w:bCs/>
                <w:color w:val="000000"/>
                <w:lang w:val="lv-LV" w:eastAsia="lv-LV"/>
              </w:rPr>
              <w:t>734</w:t>
            </w:r>
          </w:p>
        </w:tc>
        <w:tc>
          <w:tcPr>
            <w:cnfStyle w:val="000010000000" w:firstRow="0" w:lastRow="0" w:firstColumn="0" w:lastColumn="0" w:oddVBand="1" w:evenVBand="0" w:oddHBand="0" w:evenHBand="0" w:firstRowFirstColumn="0" w:firstRowLastColumn="0" w:lastRowFirstColumn="0" w:lastRowLastColumn="0"/>
            <w:tcW w:w="853" w:type="pct"/>
            <w:vAlign w:val="bottom"/>
          </w:tcPr>
          <w:p w:rsidR="00272122" w:rsidRPr="0019406C" w:rsidRDefault="00272122" w:rsidP="007B41BD">
            <w:pPr>
              <w:spacing w:before="40"/>
              <w:jc w:val="center"/>
              <w:rPr>
                <w:b/>
                <w:bCs/>
                <w:color w:val="000000"/>
                <w:lang w:val="lv-LV" w:eastAsia="lv-LV"/>
              </w:rPr>
            </w:pPr>
            <w:r w:rsidRPr="0019406C">
              <w:rPr>
                <w:b/>
                <w:bCs/>
                <w:color w:val="000000"/>
                <w:lang w:val="lv-LV" w:eastAsia="lv-LV"/>
              </w:rPr>
              <w:t>100</w:t>
            </w:r>
            <w:r w:rsidR="007B41BD" w:rsidRPr="0019406C">
              <w:rPr>
                <w:b/>
                <w:bCs/>
                <w:color w:val="000000"/>
                <w:lang w:val="lv-LV" w:eastAsia="lv-LV"/>
              </w:rPr>
              <w:t>,</w:t>
            </w:r>
            <w:r w:rsidRPr="0019406C">
              <w:rPr>
                <w:b/>
                <w:bCs/>
                <w:color w:val="000000"/>
                <w:lang w:val="lv-LV" w:eastAsia="lv-LV"/>
              </w:rPr>
              <w:t>0</w:t>
            </w:r>
          </w:p>
        </w:tc>
        <w:tc>
          <w:tcPr>
            <w:tcW w:w="859" w:type="pct"/>
            <w:noWrap/>
            <w:vAlign w:val="bottom"/>
          </w:tcPr>
          <w:p w:rsidR="00272122" w:rsidRPr="0019406C" w:rsidRDefault="00272122" w:rsidP="007B41BD">
            <w:pPr>
              <w:spacing w:before="40"/>
              <w:jc w:val="center"/>
              <w:cnfStyle w:val="000000000000" w:firstRow="0" w:lastRow="0" w:firstColumn="0" w:lastColumn="0" w:oddVBand="0" w:evenVBand="0" w:oddHBand="0" w:evenHBand="0" w:firstRowFirstColumn="0" w:firstRowLastColumn="0" w:lastRowFirstColumn="0" w:lastRowLastColumn="0"/>
              <w:rPr>
                <w:b/>
                <w:bCs/>
                <w:color w:val="000000"/>
                <w:lang w:val="lv-LV" w:eastAsia="lv-LV"/>
              </w:rPr>
            </w:pPr>
            <w:r w:rsidRPr="0019406C">
              <w:rPr>
                <w:b/>
                <w:bCs/>
                <w:color w:val="000000"/>
                <w:lang w:val="lv-LV" w:eastAsia="lv-LV"/>
              </w:rPr>
              <w:t>100</w:t>
            </w:r>
            <w:r w:rsidR="007B41BD" w:rsidRPr="0019406C">
              <w:rPr>
                <w:b/>
                <w:bCs/>
                <w:color w:val="000000"/>
                <w:lang w:val="lv-LV" w:eastAsia="lv-LV"/>
              </w:rPr>
              <w:t>,</w:t>
            </w:r>
            <w:r w:rsidRPr="0019406C">
              <w:rPr>
                <w:b/>
                <w:bCs/>
                <w:color w:val="000000"/>
                <w:lang w:val="lv-LV" w:eastAsia="lv-LV"/>
              </w:rPr>
              <w:t>0</w:t>
            </w:r>
          </w:p>
        </w:tc>
      </w:tr>
    </w:tbl>
    <w:p w:rsidR="004C51AE" w:rsidRPr="0019406C" w:rsidRDefault="004C51AE" w:rsidP="00031E71">
      <w:pPr>
        <w:spacing w:line="276" w:lineRule="auto"/>
        <w:jc w:val="both"/>
        <w:rPr>
          <w:rFonts w:asciiTheme="majorHAnsi" w:hAnsiTheme="majorHAnsi"/>
          <w:i/>
          <w:lang w:val="lv-LV"/>
        </w:rPr>
      </w:pPr>
      <w:r w:rsidRPr="0019406C">
        <w:rPr>
          <w:rFonts w:asciiTheme="majorHAnsi" w:hAnsiTheme="majorHAnsi"/>
          <w:i/>
          <w:lang w:val="lv-LV"/>
        </w:rPr>
        <w:t xml:space="preserve">*Statistika – aptaujas </w:t>
      </w:r>
      <w:smartTag w:uri="schemas-tilde-lv/tildestengine" w:element="veidnes">
        <w:smartTagPr>
          <w:attr w:name="id" w:val="-1"/>
          <w:attr w:name="baseform" w:val="ģenerālā"/>
          <w:attr w:name="text" w:val="ģenerālā"/>
        </w:smartTagPr>
        <w:r w:rsidRPr="0019406C">
          <w:rPr>
            <w:rFonts w:asciiTheme="majorHAnsi" w:hAnsiTheme="majorHAnsi"/>
            <w:i/>
            <w:lang w:val="lv-LV"/>
          </w:rPr>
          <w:t>ģenerālā</w:t>
        </w:r>
      </w:smartTag>
      <w:r w:rsidRPr="0019406C">
        <w:rPr>
          <w:rFonts w:asciiTheme="majorHAnsi" w:hAnsiTheme="majorHAnsi"/>
          <w:i/>
          <w:lang w:val="lv-LV"/>
        </w:rPr>
        <w:t xml:space="preserve"> kopuma raksturojums: CSP sagatavotais Latvijas ekonomiski aktīvo uzņēmumu statistiskais profils (dati sagatavoti par situāciju uz 2013.</w:t>
      </w:r>
      <w:r w:rsidR="007B41BD" w:rsidRPr="0019406C">
        <w:rPr>
          <w:rFonts w:asciiTheme="majorHAnsi" w:hAnsiTheme="majorHAnsi"/>
          <w:i/>
          <w:lang w:val="lv-LV"/>
        </w:rPr>
        <w:t xml:space="preserve"> </w:t>
      </w:r>
      <w:r w:rsidRPr="0019406C">
        <w:rPr>
          <w:rFonts w:asciiTheme="majorHAnsi" w:hAnsiTheme="majorHAnsi"/>
          <w:i/>
          <w:lang w:val="lv-LV"/>
        </w:rPr>
        <w:t>gada pirmo pusgadu).</w:t>
      </w:r>
    </w:p>
    <w:p w:rsidR="003407E7" w:rsidRPr="0019406C" w:rsidRDefault="004C51AE" w:rsidP="003407E7">
      <w:pPr>
        <w:spacing w:line="276" w:lineRule="auto"/>
        <w:jc w:val="both"/>
        <w:rPr>
          <w:rFonts w:asciiTheme="majorHAnsi" w:hAnsiTheme="majorHAnsi"/>
          <w:i/>
          <w:lang w:val="lv-LV"/>
        </w:rPr>
      </w:pPr>
      <w:r w:rsidRPr="0019406C">
        <w:rPr>
          <w:rFonts w:asciiTheme="majorHAnsi" w:hAnsiTheme="majorHAnsi"/>
          <w:i/>
          <w:lang w:val="lv-LV"/>
        </w:rPr>
        <w:t>** Statistikas dati nav pieejami</w:t>
      </w:r>
    </w:p>
    <w:p w:rsidR="003407E7" w:rsidRPr="0019406C" w:rsidRDefault="0033103A" w:rsidP="003407E7">
      <w:pPr>
        <w:spacing w:line="276" w:lineRule="auto"/>
        <w:jc w:val="both"/>
        <w:rPr>
          <w:rFonts w:asciiTheme="majorHAnsi" w:hAnsiTheme="majorHAnsi"/>
          <w:lang w:val="lv-LV"/>
        </w:rPr>
      </w:pPr>
      <w:r w:rsidRPr="0019406C">
        <w:rPr>
          <w:noProof/>
          <w:lang w:eastAsia="en-GB"/>
        </w:rPr>
        <w:lastRenderedPageBreak/>
        <w:drawing>
          <wp:inline distT="0" distB="0" distL="0" distR="0" wp14:anchorId="70CD3741" wp14:editId="0BCDADCE">
            <wp:extent cx="5410200" cy="4524375"/>
            <wp:effectExtent l="0" t="0" r="0" b="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3103A" w:rsidRPr="0019406C" w:rsidRDefault="0033103A" w:rsidP="003407E7">
      <w:pPr>
        <w:spacing w:line="276" w:lineRule="auto"/>
        <w:jc w:val="both"/>
        <w:rPr>
          <w:b/>
          <w:sz w:val="16"/>
          <w:lang w:val="lv-LV"/>
        </w:rPr>
      </w:pPr>
      <w:r w:rsidRPr="0019406C">
        <w:rPr>
          <w:rFonts w:asciiTheme="majorHAnsi" w:hAnsiTheme="majorHAnsi"/>
          <w:b/>
          <w:sz w:val="16"/>
          <w:lang w:val="lv-LV"/>
        </w:rPr>
        <w:t xml:space="preserve">Ilustrācija </w:t>
      </w:r>
      <w:r w:rsidRPr="0019406C">
        <w:rPr>
          <w:rFonts w:asciiTheme="majorHAnsi" w:hAnsiTheme="majorHAnsi"/>
          <w:b/>
          <w:sz w:val="16"/>
          <w:lang w:val="lv-LV"/>
        </w:rPr>
        <w:fldChar w:fldCharType="begin"/>
      </w:r>
      <w:r w:rsidRPr="0019406C">
        <w:rPr>
          <w:rFonts w:asciiTheme="majorHAnsi" w:hAnsiTheme="majorHAnsi"/>
          <w:b/>
          <w:sz w:val="16"/>
          <w:lang w:val="lv-LV"/>
        </w:rPr>
        <w:instrText xml:space="preserve"> SEQ Ilustrācija \* ARABIC </w:instrText>
      </w:r>
      <w:r w:rsidRPr="0019406C">
        <w:rPr>
          <w:rFonts w:asciiTheme="majorHAnsi" w:hAnsiTheme="majorHAnsi"/>
          <w:b/>
          <w:sz w:val="16"/>
          <w:lang w:val="lv-LV"/>
        </w:rPr>
        <w:fldChar w:fldCharType="separate"/>
      </w:r>
      <w:r w:rsidR="00410806" w:rsidRPr="0019406C">
        <w:rPr>
          <w:rFonts w:asciiTheme="majorHAnsi" w:hAnsiTheme="majorHAnsi"/>
          <w:b/>
          <w:noProof/>
          <w:sz w:val="16"/>
          <w:lang w:val="lv-LV"/>
        </w:rPr>
        <w:t>1</w:t>
      </w:r>
      <w:r w:rsidRPr="0019406C">
        <w:rPr>
          <w:rFonts w:asciiTheme="majorHAnsi" w:hAnsiTheme="majorHAnsi"/>
          <w:b/>
          <w:sz w:val="16"/>
          <w:lang w:val="lv-LV"/>
        </w:rPr>
        <w:fldChar w:fldCharType="end"/>
      </w:r>
      <w:r w:rsidRPr="0019406C">
        <w:rPr>
          <w:rFonts w:asciiTheme="majorHAnsi" w:hAnsiTheme="majorHAnsi"/>
          <w:b/>
          <w:sz w:val="16"/>
          <w:lang w:val="lv-LV"/>
        </w:rPr>
        <w:t xml:space="preserve"> </w:t>
      </w:r>
      <w:r w:rsidRPr="0019406C">
        <w:rPr>
          <w:b/>
          <w:sz w:val="16"/>
          <w:lang w:val="lv-LV"/>
        </w:rPr>
        <w:t>Aptaujāto uzņēmumu profils pēc datu svēršanas</w:t>
      </w:r>
    </w:p>
    <w:p w:rsidR="00A9489E" w:rsidRPr="0019406C" w:rsidRDefault="00A9489E" w:rsidP="003407E7">
      <w:pPr>
        <w:spacing w:line="276" w:lineRule="auto"/>
        <w:jc w:val="both"/>
        <w:rPr>
          <w:rFonts w:asciiTheme="majorHAnsi" w:hAnsiTheme="majorHAnsi"/>
          <w:lang w:val="lv-LV"/>
        </w:rPr>
      </w:pPr>
    </w:p>
    <w:p w:rsidR="004C51AE" w:rsidRPr="0019406C" w:rsidRDefault="004C51AE" w:rsidP="00151092">
      <w:pPr>
        <w:pStyle w:val="Heading2"/>
        <w:rPr>
          <w:lang w:val="lv-LV"/>
        </w:rPr>
      </w:pPr>
      <w:bookmarkStart w:id="39" w:name="_Toc389226072"/>
      <w:r w:rsidRPr="0019406C">
        <w:rPr>
          <w:lang w:val="lv-LV"/>
        </w:rPr>
        <w:t>Lauka darba organizācija un kvalitātes kontrole</w:t>
      </w:r>
      <w:bookmarkEnd w:id="39"/>
    </w:p>
    <w:p w:rsidR="004C51AE" w:rsidRPr="0019406C" w:rsidRDefault="004C51AE" w:rsidP="004C51AE">
      <w:pPr>
        <w:pStyle w:val="ListParagraph"/>
        <w:rPr>
          <w:rFonts w:asciiTheme="majorHAnsi" w:hAnsiTheme="majorHAnsi"/>
          <w:lang w:val="lv-LV"/>
        </w:rPr>
      </w:pPr>
    </w:p>
    <w:p w:rsidR="004C51AE" w:rsidRPr="0019406C" w:rsidRDefault="004C51AE" w:rsidP="00031E71">
      <w:pPr>
        <w:spacing w:after="120" w:line="276" w:lineRule="auto"/>
        <w:jc w:val="both"/>
        <w:rPr>
          <w:rFonts w:asciiTheme="majorHAnsi" w:hAnsiTheme="majorHAnsi"/>
          <w:bCs/>
          <w:lang w:val="lv-LV"/>
        </w:rPr>
      </w:pPr>
      <w:r w:rsidRPr="0019406C">
        <w:rPr>
          <w:rFonts w:asciiTheme="majorHAnsi" w:hAnsiTheme="majorHAnsi"/>
          <w:bCs/>
          <w:lang w:val="lv-LV"/>
        </w:rPr>
        <w:t xml:space="preserve">Lauka darbs tika organizēts </w:t>
      </w:r>
      <w:r w:rsidR="00031E71" w:rsidRPr="0019406C">
        <w:rPr>
          <w:rFonts w:asciiTheme="majorHAnsi" w:hAnsiTheme="majorHAnsi"/>
          <w:bCs/>
          <w:lang w:val="lv-LV"/>
        </w:rPr>
        <w:t>šādos</w:t>
      </w:r>
      <w:r w:rsidRPr="0019406C">
        <w:rPr>
          <w:rFonts w:asciiTheme="majorHAnsi" w:hAnsiTheme="majorHAnsi"/>
          <w:bCs/>
          <w:lang w:val="lv-LV"/>
        </w:rPr>
        <w:t xml:space="preserve"> secīgos posmos:</w:t>
      </w:r>
    </w:p>
    <w:p w:rsidR="004C51AE" w:rsidRPr="0019406C" w:rsidRDefault="004C51AE" w:rsidP="003F48D5">
      <w:pPr>
        <w:numPr>
          <w:ilvl w:val="0"/>
          <w:numId w:val="15"/>
        </w:numPr>
        <w:spacing w:after="0" w:line="276" w:lineRule="auto"/>
        <w:ind w:left="714" w:hanging="357"/>
        <w:jc w:val="both"/>
        <w:rPr>
          <w:rFonts w:asciiTheme="majorHAnsi" w:hAnsiTheme="majorHAnsi"/>
          <w:bCs/>
          <w:lang w:val="lv-LV"/>
        </w:rPr>
      </w:pPr>
      <w:r w:rsidRPr="0019406C">
        <w:rPr>
          <w:rFonts w:asciiTheme="majorHAnsi" w:hAnsiTheme="majorHAnsi"/>
          <w:bCs/>
          <w:lang w:val="lv-LV"/>
        </w:rPr>
        <w:t>Testa interviju veikšana;</w:t>
      </w:r>
    </w:p>
    <w:p w:rsidR="004C51AE" w:rsidRPr="0019406C" w:rsidRDefault="004C51AE" w:rsidP="003F48D5">
      <w:pPr>
        <w:numPr>
          <w:ilvl w:val="0"/>
          <w:numId w:val="15"/>
        </w:numPr>
        <w:spacing w:after="0" w:line="276" w:lineRule="auto"/>
        <w:ind w:left="714" w:hanging="357"/>
        <w:jc w:val="both"/>
        <w:rPr>
          <w:rFonts w:asciiTheme="majorHAnsi" w:hAnsiTheme="majorHAnsi"/>
          <w:bCs/>
          <w:lang w:val="lv-LV"/>
        </w:rPr>
      </w:pPr>
      <w:r w:rsidRPr="0019406C">
        <w:rPr>
          <w:rFonts w:asciiTheme="majorHAnsi" w:hAnsiTheme="majorHAnsi"/>
          <w:bCs/>
          <w:lang w:val="lv-LV"/>
        </w:rPr>
        <w:t>Lauka darba plānošana un sagatavošana;</w:t>
      </w:r>
    </w:p>
    <w:p w:rsidR="004C51AE" w:rsidRPr="0019406C" w:rsidRDefault="004C51AE" w:rsidP="003F48D5">
      <w:pPr>
        <w:numPr>
          <w:ilvl w:val="0"/>
          <w:numId w:val="15"/>
        </w:numPr>
        <w:spacing w:after="0" w:line="276" w:lineRule="auto"/>
        <w:ind w:left="714" w:hanging="357"/>
        <w:jc w:val="both"/>
        <w:rPr>
          <w:rFonts w:asciiTheme="majorHAnsi" w:hAnsiTheme="majorHAnsi"/>
          <w:bCs/>
          <w:lang w:val="lv-LV"/>
        </w:rPr>
      </w:pPr>
      <w:r w:rsidRPr="0019406C">
        <w:rPr>
          <w:rFonts w:asciiTheme="majorHAnsi" w:hAnsiTheme="majorHAnsi"/>
          <w:bCs/>
          <w:lang w:val="lv-LV"/>
        </w:rPr>
        <w:t>Tiešo interviju veikšana</w:t>
      </w:r>
      <w:r w:rsidR="00031E71" w:rsidRPr="0019406C">
        <w:rPr>
          <w:rFonts w:asciiTheme="majorHAnsi" w:hAnsiTheme="majorHAnsi"/>
          <w:bCs/>
          <w:lang w:val="lv-LV"/>
        </w:rPr>
        <w:t>;</w:t>
      </w:r>
    </w:p>
    <w:p w:rsidR="004C51AE" w:rsidRPr="0019406C" w:rsidRDefault="004C51AE" w:rsidP="003F48D5">
      <w:pPr>
        <w:numPr>
          <w:ilvl w:val="0"/>
          <w:numId w:val="15"/>
        </w:numPr>
        <w:spacing w:after="0" w:line="276" w:lineRule="auto"/>
        <w:ind w:left="714" w:hanging="357"/>
        <w:jc w:val="both"/>
        <w:rPr>
          <w:rFonts w:asciiTheme="majorHAnsi" w:hAnsiTheme="majorHAnsi"/>
          <w:bCs/>
          <w:lang w:val="lv-LV"/>
        </w:rPr>
      </w:pPr>
      <w:r w:rsidRPr="0019406C">
        <w:rPr>
          <w:rFonts w:asciiTheme="majorHAnsi" w:hAnsiTheme="majorHAnsi"/>
          <w:bCs/>
          <w:lang w:val="lv-LV"/>
        </w:rPr>
        <w:t>Kvalitātes kontrole</w:t>
      </w:r>
      <w:r w:rsidR="00031E71" w:rsidRPr="0019406C">
        <w:rPr>
          <w:rFonts w:asciiTheme="majorHAnsi" w:hAnsiTheme="majorHAnsi"/>
          <w:bCs/>
          <w:lang w:val="lv-LV"/>
        </w:rPr>
        <w:t>.</w:t>
      </w:r>
    </w:p>
    <w:p w:rsidR="004C51AE" w:rsidRPr="0019406C" w:rsidRDefault="004C51AE" w:rsidP="003F48D5">
      <w:pPr>
        <w:spacing w:after="0" w:line="276" w:lineRule="auto"/>
        <w:jc w:val="both"/>
        <w:rPr>
          <w:rFonts w:asciiTheme="majorHAnsi" w:hAnsiTheme="majorHAnsi"/>
          <w:i/>
          <w:iCs/>
          <w:u w:val="single"/>
          <w:lang w:val="lv-LV"/>
        </w:rPr>
      </w:pPr>
    </w:p>
    <w:p w:rsidR="004C51AE" w:rsidRPr="0019406C" w:rsidRDefault="00E15DD7" w:rsidP="003F48D5">
      <w:pPr>
        <w:pStyle w:val="BodyText"/>
        <w:spacing w:line="276" w:lineRule="auto"/>
        <w:rPr>
          <w:rFonts w:asciiTheme="majorHAnsi" w:hAnsiTheme="majorHAnsi"/>
          <w:b/>
          <w:sz w:val="22"/>
          <w:lang w:val="lv-LV"/>
        </w:rPr>
      </w:pPr>
      <w:r w:rsidRPr="0019406C">
        <w:rPr>
          <w:rFonts w:asciiTheme="majorHAnsi" w:hAnsiTheme="majorHAnsi"/>
          <w:b/>
          <w:sz w:val="22"/>
          <w:lang w:val="lv-LV"/>
        </w:rPr>
        <w:t>Testa intervijas</w:t>
      </w:r>
      <w:r w:rsidR="004C51AE" w:rsidRPr="0019406C">
        <w:rPr>
          <w:rFonts w:asciiTheme="majorHAnsi" w:hAnsiTheme="majorHAnsi"/>
          <w:b/>
          <w:sz w:val="22"/>
          <w:lang w:val="lv-LV"/>
        </w:rPr>
        <w:t xml:space="preserve"> (20. – 29. novembris) </w:t>
      </w:r>
    </w:p>
    <w:p w:rsidR="004C51AE" w:rsidRPr="0019406C" w:rsidRDefault="004C51AE" w:rsidP="003F48D5">
      <w:pPr>
        <w:pStyle w:val="BodyTextIndent"/>
        <w:spacing w:line="276" w:lineRule="auto"/>
        <w:ind w:left="0"/>
        <w:jc w:val="both"/>
        <w:rPr>
          <w:rFonts w:asciiTheme="majorHAnsi" w:hAnsiTheme="majorHAnsi"/>
          <w:b/>
          <w:lang w:val="lv-LV"/>
        </w:rPr>
      </w:pPr>
      <w:r w:rsidRPr="0019406C">
        <w:rPr>
          <w:rFonts w:asciiTheme="majorHAnsi" w:hAnsiTheme="majorHAnsi"/>
          <w:lang w:val="lv-LV"/>
        </w:rPr>
        <w:t xml:space="preserve">Lai pārliecinātos par aptaujas anketas gatavību aptaujai, tika veiktas 10 testa intervijas pēc dažādiem parametriem atšķirīgos uzņēmumos (pēc lieluma, atrašanās vietas, nozares </w:t>
      </w:r>
      <w:proofErr w:type="spellStart"/>
      <w:r w:rsidRPr="0019406C">
        <w:rPr>
          <w:rFonts w:asciiTheme="majorHAnsi" w:hAnsiTheme="majorHAnsi"/>
          <w:lang w:val="lv-LV"/>
        </w:rPr>
        <w:t>u</w:t>
      </w:r>
      <w:r w:rsidR="0072729F">
        <w:rPr>
          <w:rFonts w:asciiTheme="majorHAnsi" w:hAnsiTheme="majorHAnsi"/>
          <w:lang w:val="lv-LV"/>
        </w:rPr>
        <w:t>.</w:t>
      </w:r>
      <w:r w:rsidRPr="0019406C">
        <w:rPr>
          <w:rFonts w:asciiTheme="majorHAnsi" w:hAnsiTheme="majorHAnsi"/>
          <w:lang w:val="lv-LV"/>
        </w:rPr>
        <w:t>tml</w:t>
      </w:r>
      <w:proofErr w:type="spellEnd"/>
      <w:r w:rsidRPr="0019406C">
        <w:rPr>
          <w:rFonts w:asciiTheme="majorHAnsi" w:hAnsiTheme="majorHAnsi"/>
          <w:lang w:val="lv-LV"/>
        </w:rPr>
        <w:t xml:space="preserve">.). Pēc testa interviju veikšanas tika identificēti potenciālie anketas uzlabojumi, kuri tika saskaņoti ar Pasūtītāju un iestrādāti pētījuma anketā pirms lauka darba uzsākšanas. </w:t>
      </w:r>
    </w:p>
    <w:p w:rsidR="004C51AE" w:rsidRPr="0019406C" w:rsidRDefault="004C51AE" w:rsidP="003F48D5">
      <w:pPr>
        <w:spacing w:after="120" w:line="276" w:lineRule="auto"/>
        <w:jc w:val="both"/>
        <w:rPr>
          <w:rFonts w:asciiTheme="majorHAnsi" w:hAnsiTheme="majorHAnsi"/>
          <w:lang w:val="lv-LV"/>
        </w:rPr>
      </w:pPr>
    </w:p>
    <w:p w:rsidR="004C51AE" w:rsidRDefault="004C51AE" w:rsidP="003F48D5">
      <w:pPr>
        <w:pStyle w:val="BodyText"/>
        <w:spacing w:line="276" w:lineRule="auto"/>
        <w:rPr>
          <w:rFonts w:asciiTheme="majorHAnsi" w:hAnsiTheme="majorHAnsi"/>
          <w:b/>
          <w:sz w:val="22"/>
          <w:lang w:val="lv-LV"/>
        </w:rPr>
      </w:pPr>
      <w:r w:rsidRPr="0019406C">
        <w:rPr>
          <w:rFonts w:asciiTheme="majorHAnsi" w:hAnsiTheme="majorHAnsi"/>
          <w:b/>
          <w:sz w:val="22"/>
          <w:lang w:val="lv-LV"/>
        </w:rPr>
        <w:t>Lauka darba plānošana un sagatavošana (20. novembris – 6. decembris)</w:t>
      </w:r>
    </w:p>
    <w:p w:rsidR="003F48D5" w:rsidRPr="0019406C" w:rsidRDefault="003F48D5" w:rsidP="003F48D5">
      <w:pPr>
        <w:pStyle w:val="BodyText"/>
        <w:spacing w:line="276" w:lineRule="auto"/>
        <w:rPr>
          <w:rFonts w:asciiTheme="majorHAnsi" w:hAnsiTheme="majorHAnsi"/>
          <w:b/>
          <w:sz w:val="22"/>
          <w:lang w:val="lv-LV"/>
        </w:rPr>
      </w:pPr>
    </w:p>
    <w:p w:rsidR="004C51AE" w:rsidRPr="0019406C" w:rsidRDefault="004C51AE" w:rsidP="003F48D5">
      <w:pPr>
        <w:spacing w:after="120" w:line="276" w:lineRule="auto"/>
        <w:jc w:val="both"/>
        <w:rPr>
          <w:rFonts w:asciiTheme="majorHAnsi" w:hAnsiTheme="majorHAnsi"/>
          <w:lang w:val="lv-LV"/>
        </w:rPr>
      </w:pPr>
      <w:r w:rsidRPr="0019406C">
        <w:rPr>
          <w:rFonts w:asciiTheme="majorHAnsi" w:hAnsiTheme="majorHAnsi"/>
          <w:lang w:val="lv-LV"/>
        </w:rPr>
        <w:lastRenderedPageBreak/>
        <w:t>Lauka darba plānošana un sagatavošana ietvēra:</w:t>
      </w:r>
    </w:p>
    <w:p w:rsidR="004C51AE" w:rsidRPr="0019406C" w:rsidRDefault="004C51AE" w:rsidP="00E521EE">
      <w:pPr>
        <w:numPr>
          <w:ilvl w:val="0"/>
          <w:numId w:val="14"/>
        </w:numPr>
        <w:spacing w:after="0" w:line="276" w:lineRule="auto"/>
        <w:ind w:left="1077" w:hanging="357"/>
        <w:jc w:val="both"/>
        <w:rPr>
          <w:rFonts w:asciiTheme="majorHAnsi" w:hAnsiTheme="majorHAnsi"/>
          <w:lang w:val="lv-LV"/>
        </w:rPr>
      </w:pPr>
      <w:r w:rsidRPr="0019406C">
        <w:rPr>
          <w:rFonts w:asciiTheme="majorHAnsi" w:hAnsiTheme="majorHAnsi"/>
          <w:lang w:val="lv-LV"/>
        </w:rPr>
        <w:t>pētījuma vajadzībām nepieciešamo materiālu sagatavošanu (instrukcijas intervētājiem, atskaites lapas, telefonu atskaites lapas);</w:t>
      </w:r>
    </w:p>
    <w:p w:rsidR="004C51AE" w:rsidRPr="0019406C" w:rsidRDefault="004C51AE" w:rsidP="00E521EE">
      <w:pPr>
        <w:numPr>
          <w:ilvl w:val="0"/>
          <w:numId w:val="14"/>
        </w:numPr>
        <w:spacing w:after="0" w:line="276" w:lineRule="auto"/>
        <w:ind w:left="1077" w:hanging="357"/>
        <w:jc w:val="both"/>
        <w:rPr>
          <w:rFonts w:asciiTheme="majorHAnsi" w:hAnsiTheme="majorHAnsi"/>
          <w:lang w:val="lv-LV"/>
        </w:rPr>
      </w:pPr>
      <w:r w:rsidRPr="0019406C">
        <w:rPr>
          <w:rFonts w:asciiTheme="majorHAnsi" w:hAnsiTheme="majorHAnsi"/>
          <w:lang w:val="lv-LV"/>
        </w:rPr>
        <w:t>CSP sastādītās uzņēmumu datu bāzes apstrādi pētījuma vajadzībām (uzņēmumu grupēšana/ filtrēšana atbilstoši novadiem un reģioniem un citām stratifikācijas pazīmēm);</w:t>
      </w:r>
    </w:p>
    <w:p w:rsidR="004C51AE" w:rsidRPr="0019406C" w:rsidRDefault="004C51AE" w:rsidP="00E521EE">
      <w:pPr>
        <w:numPr>
          <w:ilvl w:val="0"/>
          <w:numId w:val="14"/>
        </w:numPr>
        <w:spacing w:after="0" w:line="276" w:lineRule="auto"/>
        <w:ind w:left="1077" w:hanging="357"/>
        <w:jc w:val="both"/>
        <w:rPr>
          <w:rFonts w:asciiTheme="majorHAnsi" w:hAnsiTheme="majorHAnsi"/>
          <w:bCs/>
          <w:lang w:val="lv-LV"/>
        </w:rPr>
      </w:pPr>
      <w:r w:rsidRPr="0019406C">
        <w:rPr>
          <w:rFonts w:asciiTheme="majorHAnsi" w:hAnsiTheme="majorHAnsi"/>
          <w:lang w:val="lv-LV"/>
        </w:rPr>
        <w:t>potenciālo intervētāju atlasi;</w:t>
      </w:r>
    </w:p>
    <w:p w:rsidR="004C51AE" w:rsidRPr="0019406C" w:rsidRDefault="004C51AE" w:rsidP="00E521EE">
      <w:pPr>
        <w:numPr>
          <w:ilvl w:val="0"/>
          <w:numId w:val="14"/>
        </w:numPr>
        <w:spacing w:after="120" w:line="276" w:lineRule="auto"/>
        <w:jc w:val="both"/>
        <w:rPr>
          <w:rFonts w:asciiTheme="majorHAnsi" w:hAnsiTheme="majorHAnsi"/>
          <w:bCs/>
          <w:lang w:val="lv-LV"/>
        </w:rPr>
      </w:pPr>
      <w:r w:rsidRPr="0019406C">
        <w:rPr>
          <w:rFonts w:asciiTheme="majorHAnsi" w:hAnsiTheme="majorHAnsi"/>
          <w:lang w:val="lv-LV"/>
        </w:rPr>
        <w:t>intervētāju instruktāžu un apmācību.</w:t>
      </w:r>
    </w:p>
    <w:p w:rsidR="004C51AE" w:rsidRPr="0019406C" w:rsidRDefault="004C51AE" w:rsidP="00031E71">
      <w:pPr>
        <w:spacing w:after="120" w:line="276" w:lineRule="auto"/>
        <w:jc w:val="both"/>
        <w:rPr>
          <w:rFonts w:asciiTheme="majorHAnsi" w:hAnsiTheme="majorHAnsi"/>
          <w:lang w:val="lv-LV"/>
        </w:rPr>
      </w:pPr>
      <w:r w:rsidRPr="0019406C">
        <w:rPr>
          <w:rFonts w:asciiTheme="majorHAnsi" w:hAnsiTheme="majorHAnsi"/>
          <w:lang w:val="lv-LV"/>
        </w:rPr>
        <w:t xml:space="preserve">Kopumā aptaujā tika iesaistīti 58 intervētāji no dažādiem Latvijas reģioniem, pārstāvot pilsētu un lauku teritorijas. </w:t>
      </w:r>
    </w:p>
    <w:p w:rsidR="004C51AE" w:rsidRPr="0019406C" w:rsidRDefault="004C51AE" w:rsidP="007519BC">
      <w:pPr>
        <w:spacing w:after="0" w:line="240" w:lineRule="auto"/>
        <w:ind w:hanging="851"/>
        <w:jc w:val="both"/>
        <w:rPr>
          <w:rFonts w:asciiTheme="majorHAnsi" w:hAnsiTheme="majorHAnsi" w:cs="Arial"/>
          <w:lang w:val="lv-LV"/>
        </w:rPr>
      </w:pPr>
    </w:p>
    <w:p w:rsidR="004C51AE" w:rsidRPr="0019406C" w:rsidRDefault="004C51AE" w:rsidP="003F48D5">
      <w:pPr>
        <w:pStyle w:val="BodyText"/>
        <w:spacing w:line="276" w:lineRule="auto"/>
        <w:rPr>
          <w:rFonts w:asciiTheme="majorHAnsi" w:hAnsiTheme="majorHAnsi"/>
          <w:b/>
          <w:sz w:val="22"/>
          <w:lang w:val="lv-LV"/>
        </w:rPr>
      </w:pPr>
      <w:r w:rsidRPr="0019406C">
        <w:rPr>
          <w:rFonts w:asciiTheme="majorHAnsi" w:hAnsiTheme="majorHAnsi"/>
          <w:b/>
          <w:sz w:val="22"/>
          <w:lang w:val="lv-LV"/>
        </w:rPr>
        <w:t>Intervētāju instruktāža</w:t>
      </w:r>
    </w:p>
    <w:p w:rsidR="004C51AE" w:rsidRPr="0019406C" w:rsidRDefault="004C51AE" w:rsidP="003F48D5">
      <w:pPr>
        <w:spacing w:after="120" w:line="276" w:lineRule="auto"/>
        <w:jc w:val="both"/>
        <w:rPr>
          <w:rFonts w:asciiTheme="majorHAnsi" w:hAnsiTheme="majorHAnsi"/>
          <w:bCs/>
          <w:highlight w:val="magenta"/>
          <w:lang w:val="lv-LV"/>
        </w:rPr>
      </w:pPr>
      <w:r w:rsidRPr="0019406C">
        <w:rPr>
          <w:rFonts w:asciiTheme="majorHAnsi" w:hAnsiTheme="majorHAnsi" w:cs="Arial"/>
          <w:lang w:val="lv-LV"/>
        </w:rPr>
        <w:t>Pirms katra pētījuma veikšanas notiek intervētāju instruktāža nelielās grupās. Katrā grupā piedalās ne vairāk kā 6 intervētāji.</w:t>
      </w:r>
      <w:r w:rsidRPr="0019406C">
        <w:rPr>
          <w:rFonts w:asciiTheme="majorHAnsi" w:hAnsiTheme="majorHAnsi"/>
          <w:lang w:val="lv-LV"/>
        </w:rPr>
        <w:t xml:space="preserve">  Intervētāji, kuri nepiedalījās apmācību seminārā, tika instruēti individuāli.</w:t>
      </w:r>
    </w:p>
    <w:p w:rsidR="004C51AE" w:rsidRPr="0019406C" w:rsidRDefault="004C51AE" w:rsidP="003F48D5">
      <w:pPr>
        <w:spacing w:line="276" w:lineRule="auto"/>
        <w:ind w:right="424"/>
        <w:jc w:val="both"/>
        <w:rPr>
          <w:rFonts w:asciiTheme="majorHAnsi" w:hAnsiTheme="majorHAnsi" w:cs="Arial"/>
          <w:lang w:val="lv-LV"/>
        </w:rPr>
      </w:pPr>
      <w:r w:rsidRPr="0019406C">
        <w:rPr>
          <w:rFonts w:asciiTheme="majorHAnsi" w:hAnsiTheme="majorHAnsi" w:cs="Arial"/>
          <w:lang w:val="lv-LV"/>
        </w:rPr>
        <w:t>Intervētāju instruktāža notiek pēc sekojoša plāna:</w:t>
      </w:r>
    </w:p>
    <w:p w:rsidR="004C51AE" w:rsidRPr="0019406C" w:rsidRDefault="004C51AE" w:rsidP="003F48D5">
      <w:pPr>
        <w:numPr>
          <w:ilvl w:val="0"/>
          <w:numId w:val="17"/>
        </w:numPr>
        <w:tabs>
          <w:tab w:val="num" w:pos="1134"/>
        </w:tabs>
        <w:spacing w:after="0" w:line="276" w:lineRule="auto"/>
        <w:ind w:right="424" w:firstLine="0"/>
        <w:jc w:val="both"/>
        <w:rPr>
          <w:rFonts w:asciiTheme="majorHAnsi" w:hAnsiTheme="majorHAnsi" w:cs="Arial"/>
          <w:lang w:val="lv-LV"/>
        </w:rPr>
      </w:pPr>
      <w:r w:rsidRPr="0019406C">
        <w:rPr>
          <w:rFonts w:asciiTheme="majorHAnsi" w:hAnsiTheme="majorHAnsi" w:cs="Arial"/>
          <w:lang w:val="lv-LV"/>
        </w:rPr>
        <w:t>pētījuma mērķu un metožu izklāsts;</w:t>
      </w:r>
    </w:p>
    <w:p w:rsidR="004C51AE" w:rsidRPr="0019406C" w:rsidRDefault="004C51AE" w:rsidP="003F48D5">
      <w:pPr>
        <w:numPr>
          <w:ilvl w:val="0"/>
          <w:numId w:val="17"/>
        </w:numPr>
        <w:tabs>
          <w:tab w:val="num" w:pos="1134"/>
        </w:tabs>
        <w:spacing w:after="0" w:line="276" w:lineRule="auto"/>
        <w:ind w:right="424" w:firstLine="0"/>
        <w:jc w:val="both"/>
        <w:rPr>
          <w:rFonts w:asciiTheme="majorHAnsi" w:hAnsiTheme="majorHAnsi" w:cs="Arial"/>
          <w:lang w:val="lv-LV"/>
        </w:rPr>
      </w:pPr>
      <w:r w:rsidRPr="0019406C">
        <w:rPr>
          <w:rFonts w:asciiTheme="majorHAnsi" w:hAnsiTheme="majorHAnsi" w:cs="Arial"/>
          <w:lang w:val="lv-LV"/>
        </w:rPr>
        <w:t>izlases uzbūves principi;</w:t>
      </w:r>
    </w:p>
    <w:p w:rsidR="004C51AE" w:rsidRPr="0019406C" w:rsidRDefault="004C51AE" w:rsidP="003F48D5">
      <w:pPr>
        <w:numPr>
          <w:ilvl w:val="0"/>
          <w:numId w:val="17"/>
        </w:numPr>
        <w:tabs>
          <w:tab w:val="clear" w:pos="720"/>
          <w:tab w:val="num" w:pos="1134"/>
          <w:tab w:val="num" w:pos="1418"/>
        </w:tabs>
        <w:spacing w:after="0" w:line="276" w:lineRule="auto"/>
        <w:ind w:left="1134" w:right="424" w:hanging="414"/>
        <w:jc w:val="both"/>
        <w:rPr>
          <w:rFonts w:asciiTheme="majorHAnsi" w:hAnsiTheme="majorHAnsi" w:cs="Arial"/>
          <w:lang w:val="lv-LV"/>
        </w:rPr>
      </w:pPr>
      <w:r w:rsidRPr="0019406C">
        <w:rPr>
          <w:rFonts w:asciiTheme="majorHAnsi" w:hAnsiTheme="majorHAnsi" w:cs="Arial"/>
          <w:lang w:val="lv-LV"/>
        </w:rPr>
        <w:t xml:space="preserve">pētījuma instrumentārija (anketas) analīze </w:t>
      </w:r>
      <w:r w:rsidRPr="0019406C">
        <w:rPr>
          <w:rFonts w:asciiTheme="majorHAnsi" w:hAnsiTheme="majorHAnsi"/>
          <w:lang w:val="lv-LV"/>
        </w:rPr>
        <w:t>(tematiskajiem blokiem, sarežģītiem jautājumiem un pārejām)</w:t>
      </w:r>
      <w:r w:rsidRPr="0019406C">
        <w:rPr>
          <w:rFonts w:asciiTheme="majorHAnsi" w:hAnsiTheme="majorHAnsi" w:cs="Arial"/>
          <w:lang w:val="lv-LV"/>
        </w:rPr>
        <w:t>;</w:t>
      </w:r>
    </w:p>
    <w:p w:rsidR="004C51AE" w:rsidRPr="0019406C" w:rsidRDefault="004C51AE" w:rsidP="003F48D5">
      <w:pPr>
        <w:numPr>
          <w:ilvl w:val="0"/>
          <w:numId w:val="17"/>
        </w:numPr>
        <w:tabs>
          <w:tab w:val="num" w:pos="1134"/>
        </w:tabs>
        <w:spacing w:after="0" w:line="276" w:lineRule="auto"/>
        <w:ind w:right="424" w:firstLine="0"/>
        <w:jc w:val="both"/>
        <w:rPr>
          <w:rFonts w:asciiTheme="majorHAnsi" w:hAnsiTheme="majorHAnsi" w:cs="Arial"/>
          <w:lang w:val="lv-LV"/>
        </w:rPr>
      </w:pPr>
      <w:r w:rsidRPr="0019406C">
        <w:rPr>
          <w:rFonts w:asciiTheme="majorHAnsi" w:hAnsiTheme="majorHAnsi" w:cs="Arial"/>
          <w:lang w:val="lv-LV"/>
        </w:rPr>
        <w:t xml:space="preserve">savstarpējās </w:t>
      </w:r>
      <w:proofErr w:type="spellStart"/>
      <w:r w:rsidRPr="0019406C">
        <w:rPr>
          <w:rFonts w:asciiTheme="majorHAnsi" w:hAnsiTheme="majorHAnsi" w:cs="Arial"/>
          <w:lang w:val="lv-LV"/>
        </w:rPr>
        <w:t>testintervijas</w:t>
      </w:r>
      <w:proofErr w:type="spellEnd"/>
      <w:r w:rsidRPr="0019406C">
        <w:rPr>
          <w:rFonts w:asciiTheme="majorHAnsi" w:hAnsiTheme="majorHAnsi" w:cs="Arial"/>
          <w:lang w:val="lv-LV"/>
        </w:rPr>
        <w:t>.</w:t>
      </w:r>
    </w:p>
    <w:p w:rsidR="004C51AE" w:rsidRPr="0019406C" w:rsidRDefault="004C51AE" w:rsidP="003F48D5">
      <w:pPr>
        <w:spacing w:after="120" w:line="276" w:lineRule="auto"/>
        <w:jc w:val="both"/>
        <w:rPr>
          <w:rFonts w:asciiTheme="majorHAnsi" w:hAnsiTheme="majorHAnsi"/>
          <w:i/>
          <w:iCs/>
          <w:u w:val="single"/>
          <w:lang w:val="lv-LV"/>
        </w:rPr>
      </w:pPr>
    </w:p>
    <w:p w:rsidR="004C51AE" w:rsidRPr="0019406C" w:rsidRDefault="00F241CD" w:rsidP="003F48D5">
      <w:pPr>
        <w:pStyle w:val="BodyText"/>
        <w:spacing w:line="276" w:lineRule="auto"/>
        <w:rPr>
          <w:rFonts w:asciiTheme="majorHAnsi" w:hAnsiTheme="majorHAnsi"/>
          <w:b/>
          <w:sz w:val="22"/>
          <w:lang w:val="lv-LV"/>
        </w:rPr>
      </w:pPr>
      <w:r w:rsidRPr="0019406C">
        <w:rPr>
          <w:rFonts w:asciiTheme="majorHAnsi" w:hAnsiTheme="majorHAnsi"/>
          <w:b/>
          <w:sz w:val="22"/>
          <w:lang w:val="lv-LV"/>
        </w:rPr>
        <w:t>Tiešo interviju veikšana (2013</w:t>
      </w:r>
      <w:r w:rsidR="004C51AE" w:rsidRPr="0019406C">
        <w:rPr>
          <w:rFonts w:asciiTheme="majorHAnsi" w:hAnsiTheme="majorHAnsi"/>
          <w:b/>
          <w:sz w:val="22"/>
          <w:lang w:val="lv-LV"/>
        </w:rPr>
        <w:t>.</w:t>
      </w:r>
      <w:r w:rsidRPr="0019406C">
        <w:rPr>
          <w:rFonts w:asciiTheme="majorHAnsi" w:hAnsiTheme="majorHAnsi"/>
          <w:b/>
          <w:sz w:val="22"/>
          <w:lang w:val="lv-LV"/>
        </w:rPr>
        <w:t xml:space="preserve"> </w:t>
      </w:r>
      <w:r w:rsidR="004C51AE" w:rsidRPr="0019406C">
        <w:rPr>
          <w:rFonts w:asciiTheme="majorHAnsi" w:hAnsiTheme="majorHAnsi"/>
          <w:b/>
          <w:sz w:val="22"/>
          <w:lang w:val="lv-LV"/>
        </w:rPr>
        <w:t>gada 9. decembris – 2014.</w:t>
      </w:r>
      <w:r w:rsidRPr="0019406C">
        <w:rPr>
          <w:rFonts w:asciiTheme="majorHAnsi" w:hAnsiTheme="majorHAnsi"/>
          <w:b/>
          <w:sz w:val="22"/>
          <w:lang w:val="lv-LV"/>
        </w:rPr>
        <w:t xml:space="preserve"> </w:t>
      </w:r>
      <w:r w:rsidR="004C51AE" w:rsidRPr="0019406C">
        <w:rPr>
          <w:rFonts w:asciiTheme="majorHAnsi" w:hAnsiTheme="majorHAnsi"/>
          <w:b/>
          <w:sz w:val="22"/>
          <w:lang w:val="lv-LV"/>
        </w:rPr>
        <w:t>gada 28. marts)</w:t>
      </w:r>
    </w:p>
    <w:p w:rsidR="004C51AE" w:rsidRPr="0019406C" w:rsidRDefault="004C51AE" w:rsidP="003F48D5">
      <w:pPr>
        <w:spacing w:after="120" w:line="276" w:lineRule="auto"/>
        <w:jc w:val="both"/>
        <w:rPr>
          <w:rFonts w:asciiTheme="majorHAnsi" w:hAnsiTheme="majorHAnsi"/>
          <w:lang w:val="lv-LV"/>
        </w:rPr>
      </w:pPr>
      <w:r w:rsidRPr="0019406C">
        <w:rPr>
          <w:rFonts w:asciiTheme="majorHAnsi" w:hAnsiTheme="majorHAnsi"/>
          <w:lang w:val="lv-LV"/>
        </w:rPr>
        <w:t xml:space="preserve">Uzsākot lauka darbu, katrs intervētājs saņēma darba materiālu komplektu un noteiktu anketu skaitu. Lai veicinātu uzņēmēju atsaucību dalībai pētījumā, katram respondentam tika izsniegta LR Ekonomikas ministrijas sagatavotā pavadvēstule. </w:t>
      </w:r>
    </w:p>
    <w:p w:rsidR="004C51AE" w:rsidRPr="0019406C" w:rsidRDefault="004C51AE" w:rsidP="003F48D5">
      <w:pPr>
        <w:spacing w:after="120" w:line="276" w:lineRule="auto"/>
        <w:jc w:val="both"/>
        <w:rPr>
          <w:rFonts w:asciiTheme="majorHAnsi" w:hAnsiTheme="majorHAnsi"/>
          <w:lang w:val="lv-LV"/>
        </w:rPr>
      </w:pPr>
      <w:r w:rsidRPr="0019406C">
        <w:rPr>
          <w:rFonts w:asciiTheme="majorHAnsi" w:hAnsiTheme="majorHAnsi"/>
          <w:lang w:val="lv-LV"/>
        </w:rPr>
        <w:t>Kontakti no CSP sagatavotās uzņēmumu datu bāzes katram intervētājam tika sadalīti atbilstoši nepieciešamās izlases stratifikācijas pazīmēm (atrašanās vieta, teritoriālā piederība, uzņēmējdarbības sektors, uzņēmuma lielums, eksports un dibināšanas gads). Ņemot vērā iepriekšējo pētnieku pieredzi ar lielo atteikumu skaitu, katram intervētājam iedalīto kontaktu skaits bija 2</w:t>
      </w:r>
      <w:r w:rsidR="00863589">
        <w:rPr>
          <w:rFonts w:asciiTheme="majorHAnsi" w:hAnsiTheme="majorHAnsi"/>
          <w:lang w:val="lv-LV"/>
        </w:rPr>
        <w:t xml:space="preserve"> – </w:t>
      </w:r>
      <w:r w:rsidRPr="0019406C">
        <w:rPr>
          <w:rFonts w:asciiTheme="majorHAnsi" w:hAnsiTheme="majorHAnsi"/>
          <w:lang w:val="lv-LV"/>
        </w:rPr>
        <w:t>3 reizes lielāks, tādejādi cenšoties nodrošināt nepieciešamo interviju skaitu.</w:t>
      </w:r>
    </w:p>
    <w:p w:rsidR="004C51AE" w:rsidRPr="0019406C" w:rsidRDefault="004C51AE" w:rsidP="003F48D5">
      <w:pPr>
        <w:pStyle w:val="1Pamatateksts"/>
        <w:spacing w:before="0" w:after="120" w:line="276" w:lineRule="auto"/>
        <w:rPr>
          <w:rFonts w:asciiTheme="majorHAnsi" w:hAnsiTheme="majorHAnsi"/>
          <w:sz w:val="20"/>
          <w:szCs w:val="20"/>
        </w:rPr>
      </w:pPr>
      <w:r w:rsidRPr="0019406C">
        <w:rPr>
          <w:rFonts w:asciiTheme="majorHAnsi" w:hAnsiTheme="majorHAnsi"/>
          <w:sz w:val="20"/>
          <w:szCs w:val="20"/>
        </w:rPr>
        <w:t xml:space="preserve">Potenciālo respondentu kontaktēšanu veica intervētāji paši, patstāvīgi plānojot savu darbu un interviju laikus, lai izvairītos no situācijām, kad pārklājas interviju laiki. Sākotnēji uz izvēlētajiem uzņēmumiem tika veikti telefona zvani ar mērķi - atrast atbilstošo respondentu (uzņēmuma vadītāju vai īpašnieku), informēt par pētījuma mērķiem, uzdevumu, iesaistīšanos motivējošiem faktoriem, datu anonimitāti un intervijas metodi. Saņemot piekrišanu dalībai aptaujā, intervētājs vienojās par respondentam vēlamo intervijas laiku, vietu un intervijas valodu. </w:t>
      </w:r>
    </w:p>
    <w:p w:rsidR="004C51AE" w:rsidRPr="0019406C" w:rsidRDefault="004C51AE" w:rsidP="003F48D5">
      <w:pPr>
        <w:pStyle w:val="1Pamatateksts"/>
        <w:spacing w:before="0" w:after="120" w:line="276" w:lineRule="auto"/>
        <w:rPr>
          <w:rFonts w:asciiTheme="majorHAnsi" w:hAnsiTheme="majorHAnsi"/>
          <w:sz w:val="20"/>
          <w:szCs w:val="20"/>
        </w:rPr>
      </w:pPr>
      <w:r w:rsidRPr="0019406C">
        <w:rPr>
          <w:rFonts w:asciiTheme="majorHAnsi" w:hAnsiTheme="majorHAnsi"/>
          <w:sz w:val="20"/>
          <w:szCs w:val="20"/>
        </w:rPr>
        <w:t xml:space="preserve">Intervijas noslēgumā respondentiem tika piedāvāta iespēja pēc aptaujas beigām saņemt pētījuma </w:t>
      </w:r>
      <w:r w:rsidR="00E15DD7" w:rsidRPr="0019406C">
        <w:rPr>
          <w:rFonts w:asciiTheme="majorHAnsi" w:hAnsiTheme="majorHAnsi"/>
          <w:sz w:val="20"/>
          <w:szCs w:val="20"/>
        </w:rPr>
        <w:t>rezultātus savā e-pastā</w:t>
      </w:r>
      <w:r w:rsidRPr="0019406C">
        <w:rPr>
          <w:rFonts w:asciiTheme="majorHAnsi" w:hAnsiTheme="majorHAnsi"/>
          <w:sz w:val="20"/>
          <w:szCs w:val="20"/>
        </w:rPr>
        <w:t>. Vēlmi iepazīties ar pētījuma rezultātiem izteica 216 respondenti.</w:t>
      </w:r>
    </w:p>
    <w:p w:rsidR="004C51AE" w:rsidRPr="0019406C" w:rsidRDefault="004C51AE" w:rsidP="00031E71">
      <w:pPr>
        <w:spacing w:after="120" w:line="276" w:lineRule="auto"/>
        <w:jc w:val="both"/>
        <w:rPr>
          <w:rFonts w:asciiTheme="majorHAnsi" w:hAnsiTheme="majorHAnsi"/>
          <w:lang w:val="lv-LV"/>
        </w:rPr>
      </w:pPr>
      <w:r w:rsidRPr="0019406C">
        <w:rPr>
          <w:rFonts w:asciiTheme="majorHAnsi" w:hAnsiTheme="majorHAnsi"/>
          <w:lang w:val="lv-LV"/>
        </w:rPr>
        <w:t>Katras nedēļa</w:t>
      </w:r>
      <w:r w:rsidR="00863589">
        <w:rPr>
          <w:rFonts w:asciiTheme="majorHAnsi" w:hAnsiTheme="majorHAnsi"/>
          <w:lang w:val="lv-LV"/>
        </w:rPr>
        <w:t>s piektdienā intervētāji nodeva</w:t>
      </w:r>
      <w:r w:rsidRPr="0019406C">
        <w:rPr>
          <w:rFonts w:asciiTheme="majorHAnsi" w:hAnsiTheme="majorHAnsi"/>
          <w:lang w:val="lv-LV"/>
        </w:rPr>
        <w:t xml:space="preserve"> SIA „Latvijas Fakti” lauka darba vadības grupai nedēļas laikā aizpildītās anketas, kur tika veikta anketu vizuālā kontrole, pārbaudot atzīmēto datu korektumu saskaņā ar anketā norādītajām instrukcijām, nepieciešamības gadījumā informējot attiecīgo intervētāju par informācijas precizēšanas nepieciešamību. </w:t>
      </w:r>
    </w:p>
    <w:p w:rsidR="004C51AE" w:rsidRPr="0019406C" w:rsidRDefault="004C51AE" w:rsidP="00031E71">
      <w:pPr>
        <w:spacing w:after="120" w:line="276" w:lineRule="auto"/>
        <w:jc w:val="both"/>
        <w:rPr>
          <w:rFonts w:asciiTheme="majorHAnsi" w:hAnsiTheme="majorHAnsi"/>
          <w:lang w:val="lv-LV"/>
        </w:rPr>
      </w:pPr>
      <w:r w:rsidRPr="0019406C">
        <w:rPr>
          <w:rFonts w:asciiTheme="majorHAnsi" w:hAnsiTheme="majorHAnsi"/>
          <w:lang w:val="lv-LV"/>
        </w:rPr>
        <w:t xml:space="preserve">Lai kontrolētu izlases </w:t>
      </w:r>
      <w:proofErr w:type="spellStart"/>
      <w:r w:rsidRPr="0019406C">
        <w:rPr>
          <w:rFonts w:asciiTheme="majorHAnsi" w:hAnsiTheme="majorHAnsi"/>
          <w:lang w:val="lv-LV"/>
        </w:rPr>
        <w:t>stratu</w:t>
      </w:r>
      <w:proofErr w:type="spellEnd"/>
      <w:r w:rsidRPr="0019406C">
        <w:rPr>
          <w:rFonts w:asciiTheme="majorHAnsi" w:hAnsiTheme="majorHAnsi"/>
          <w:lang w:val="lv-LV"/>
        </w:rPr>
        <w:t xml:space="preserve"> veiksmīgu izpildi lauka darba koordinētāji telefoniski sazinājās ar intervētājiem, lai apkoptu informāciju par sekmīgi veiktajām intervijām un atteikumiem.</w:t>
      </w:r>
    </w:p>
    <w:p w:rsidR="004C51AE" w:rsidRPr="0019406C" w:rsidRDefault="004C51AE" w:rsidP="00031E71">
      <w:pPr>
        <w:spacing w:after="120" w:line="276" w:lineRule="auto"/>
        <w:jc w:val="both"/>
        <w:rPr>
          <w:rFonts w:asciiTheme="majorHAnsi" w:hAnsiTheme="majorHAnsi"/>
          <w:lang w:val="lv-LV"/>
        </w:rPr>
      </w:pPr>
      <w:r w:rsidRPr="0019406C">
        <w:rPr>
          <w:rFonts w:asciiTheme="majorHAnsi" w:hAnsiTheme="majorHAnsi"/>
          <w:lang w:val="lv-LV"/>
        </w:rPr>
        <w:t>Katras lauka darba nedēļas piektdienā pasūtītāja pārstāvjiem tika nosūtīts lauka darba progresa ziņojums, kas ietvēra sekojošu informāciju:</w:t>
      </w:r>
    </w:p>
    <w:p w:rsidR="004C51AE" w:rsidRPr="0019406C" w:rsidRDefault="004C51AE" w:rsidP="00E521EE">
      <w:pPr>
        <w:pStyle w:val="ListParagraph"/>
        <w:numPr>
          <w:ilvl w:val="0"/>
          <w:numId w:val="18"/>
        </w:numPr>
        <w:spacing w:after="120" w:line="276" w:lineRule="auto"/>
        <w:jc w:val="both"/>
        <w:rPr>
          <w:rFonts w:asciiTheme="majorHAnsi" w:hAnsiTheme="majorHAnsi"/>
          <w:sz w:val="20"/>
          <w:lang w:val="lv-LV"/>
        </w:rPr>
      </w:pPr>
      <w:r w:rsidRPr="0019406C">
        <w:rPr>
          <w:rFonts w:asciiTheme="majorHAnsi" w:hAnsiTheme="majorHAnsi"/>
          <w:sz w:val="20"/>
          <w:lang w:val="lv-LV"/>
        </w:rPr>
        <w:lastRenderedPageBreak/>
        <w:t>apsekošanā nodotais kontaktu skaits;</w:t>
      </w:r>
    </w:p>
    <w:p w:rsidR="004C51AE" w:rsidRPr="0019406C" w:rsidRDefault="004C51AE" w:rsidP="00E521EE">
      <w:pPr>
        <w:pStyle w:val="ListParagraph"/>
        <w:numPr>
          <w:ilvl w:val="0"/>
          <w:numId w:val="18"/>
        </w:numPr>
        <w:spacing w:after="120" w:line="276" w:lineRule="auto"/>
        <w:jc w:val="both"/>
        <w:rPr>
          <w:rFonts w:asciiTheme="majorHAnsi" w:hAnsiTheme="majorHAnsi"/>
          <w:sz w:val="20"/>
          <w:lang w:val="lv-LV"/>
        </w:rPr>
      </w:pPr>
      <w:r w:rsidRPr="0019406C">
        <w:rPr>
          <w:rFonts w:asciiTheme="majorHAnsi" w:hAnsiTheme="majorHAnsi"/>
          <w:sz w:val="20"/>
          <w:lang w:val="lv-LV"/>
        </w:rPr>
        <w:t>pabeigto interviju skaits;</w:t>
      </w:r>
    </w:p>
    <w:p w:rsidR="004C51AE" w:rsidRPr="0019406C" w:rsidRDefault="004C51AE" w:rsidP="00E521EE">
      <w:pPr>
        <w:pStyle w:val="ListParagraph"/>
        <w:numPr>
          <w:ilvl w:val="0"/>
          <w:numId w:val="18"/>
        </w:numPr>
        <w:spacing w:after="120" w:line="276" w:lineRule="auto"/>
        <w:jc w:val="both"/>
        <w:rPr>
          <w:rFonts w:asciiTheme="majorHAnsi" w:hAnsiTheme="majorHAnsi"/>
          <w:sz w:val="20"/>
          <w:lang w:val="lv-LV"/>
        </w:rPr>
      </w:pPr>
      <w:r w:rsidRPr="0019406C">
        <w:rPr>
          <w:rFonts w:asciiTheme="majorHAnsi" w:hAnsiTheme="majorHAnsi"/>
          <w:sz w:val="20"/>
          <w:lang w:val="lv-LV"/>
        </w:rPr>
        <w:t>nesasniedzamo uzņēmumu skaits (uzņēmums vairs neeksistē, ir bankrotējis, likvidēts vai nav atrodams);</w:t>
      </w:r>
    </w:p>
    <w:p w:rsidR="004C51AE" w:rsidRPr="0019406C" w:rsidRDefault="004C51AE" w:rsidP="00E521EE">
      <w:pPr>
        <w:pStyle w:val="ListParagraph"/>
        <w:numPr>
          <w:ilvl w:val="0"/>
          <w:numId w:val="18"/>
        </w:numPr>
        <w:spacing w:after="120" w:line="276" w:lineRule="auto"/>
        <w:jc w:val="both"/>
        <w:rPr>
          <w:rFonts w:asciiTheme="majorHAnsi" w:hAnsiTheme="majorHAnsi"/>
          <w:sz w:val="20"/>
          <w:lang w:val="lv-LV"/>
        </w:rPr>
      </w:pPr>
      <w:r w:rsidRPr="0019406C">
        <w:rPr>
          <w:rFonts w:asciiTheme="majorHAnsi" w:hAnsiTheme="majorHAnsi"/>
          <w:sz w:val="20"/>
          <w:lang w:val="lv-LV"/>
        </w:rPr>
        <w:t>kontaktēto uzņēmumu skaits, kas nedz apstiprinājuši, nedz nolieguši savu dalību aptaujā;</w:t>
      </w:r>
    </w:p>
    <w:p w:rsidR="004C51AE" w:rsidRPr="0019406C" w:rsidRDefault="004C51AE" w:rsidP="00E521EE">
      <w:pPr>
        <w:pStyle w:val="ListParagraph"/>
        <w:numPr>
          <w:ilvl w:val="0"/>
          <w:numId w:val="18"/>
        </w:numPr>
        <w:spacing w:after="120" w:line="276" w:lineRule="auto"/>
        <w:jc w:val="both"/>
        <w:rPr>
          <w:rFonts w:asciiTheme="majorHAnsi" w:hAnsiTheme="majorHAnsi"/>
          <w:sz w:val="20"/>
          <w:lang w:val="lv-LV"/>
        </w:rPr>
      </w:pPr>
      <w:r w:rsidRPr="0019406C">
        <w:rPr>
          <w:rFonts w:asciiTheme="majorHAnsi" w:hAnsiTheme="majorHAnsi"/>
          <w:sz w:val="20"/>
          <w:lang w:val="lv-LV"/>
        </w:rPr>
        <w:t>uzņēmumu skaits, ar kuriem ir norunāts konkrēts intervijas laiks;</w:t>
      </w:r>
    </w:p>
    <w:p w:rsidR="006E0018" w:rsidRPr="0019406C" w:rsidRDefault="004C51AE" w:rsidP="00E521EE">
      <w:pPr>
        <w:pStyle w:val="ListParagraph"/>
        <w:numPr>
          <w:ilvl w:val="0"/>
          <w:numId w:val="18"/>
        </w:numPr>
        <w:spacing w:after="120" w:line="276" w:lineRule="auto"/>
        <w:jc w:val="both"/>
        <w:rPr>
          <w:rFonts w:asciiTheme="majorHAnsi" w:hAnsiTheme="majorHAnsi"/>
          <w:sz w:val="20"/>
          <w:lang w:val="lv-LV"/>
        </w:rPr>
      </w:pPr>
      <w:r w:rsidRPr="0019406C">
        <w:rPr>
          <w:rFonts w:asciiTheme="majorHAnsi" w:hAnsiTheme="majorHAnsi"/>
          <w:sz w:val="20"/>
          <w:lang w:val="lv-LV"/>
        </w:rPr>
        <w:t>atteikumu skaits.</w:t>
      </w:r>
    </w:p>
    <w:p w:rsidR="00AE7B4A" w:rsidRPr="0019406C" w:rsidRDefault="00AE7B4A" w:rsidP="00AE7B4A">
      <w:pPr>
        <w:pStyle w:val="Caption"/>
        <w:keepNext/>
        <w:rPr>
          <w:sz w:val="16"/>
          <w:lang w:val="lv-LV"/>
        </w:rPr>
      </w:pPr>
      <w:bookmarkStart w:id="40" w:name="_Toc389225077"/>
      <w:r w:rsidRPr="0019406C">
        <w:rPr>
          <w:sz w:val="16"/>
          <w:lang w:val="lv-LV"/>
        </w:rPr>
        <w:t xml:space="preserve">Tabula </w:t>
      </w:r>
      <w:r w:rsidRPr="0019406C">
        <w:rPr>
          <w:sz w:val="16"/>
          <w:lang w:val="lv-LV"/>
        </w:rPr>
        <w:fldChar w:fldCharType="begin"/>
      </w:r>
      <w:r w:rsidRPr="0019406C">
        <w:rPr>
          <w:sz w:val="16"/>
          <w:lang w:val="lv-LV"/>
        </w:rPr>
        <w:instrText xml:space="preserve"> SEQ Tabula \* ARABIC </w:instrText>
      </w:r>
      <w:r w:rsidRPr="0019406C">
        <w:rPr>
          <w:sz w:val="16"/>
          <w:lang w:val="lv-LV"/>
        </w:rPr>
        <w:fldChar w:fldCharType="separate"/>
      </w:r>
      <w:r w:rsidR="00410806" w:rsidRPr="0019406C">
        <w:rPr>
          <w:noProof/>
          <w:sz w:val="16"/>
          <w:lang w:val="lv-LV"/>
        </w:rPr>
        <w:t>3</w:t>
      </w:r>
      <w:r w:rsidRPr="0019406C">
        <w:rPr>
          <w:sz w:val="16"/>
          <w:lang w:val="lv-LV"/>
        </w:rPr>
        <w:fldChar w:fldCharType="end"/>
      </w:r>
      <w:r w:rsidRPr="0019406C">
        <w:rPr>
          <w:sz w:val="16"/>
          <w:lang w:val="lv-LV"/>
        </w:rPr>
        <w:t xml:space="preserve"> Kopējais </w:t>
      </w:r>
      <w:proofErr w:type="spellStart"/>
      <w:r w:rsidRPr="0019406C">
        <w:rPr>
          <w:sz w:val="16"/>
          <w:lang w:val="lv-LV"/>
        </w:rPr>
        <w:t>nerespondences</w:t>
      </w:r>
      <w:proofErr w:type="spellEnd"/>
      <w:r w:rsidRPr="0019406C">
        <w:rPr>
          <w:sz w:val="16"/>
          <w:lang w:val="lv-LV"/>
        </w:rPr>
        <w:t xml:space="preserve"> raksturojums</w:t>
      </w:r>
      <w:bookmarkEnd w:id="40"/>
    </w:p>
    <w:tbl>
      <w:tblPr>
        <w:tblStyle w:val="LightList-Accent11"/>
        <w:tblW w:w="5000" w:type="pct"/>
        <w:tblLook w:val="00A0" w:firstRow="1" w:lastRow="0" w:firstColumn="1" w:lastColumn="0" w:noHBand="0" w:noVBand="0"/>
      </w:tblPr>
      <w:tblGrid>
        <w:gridCol w:w="3855"/>
        <w:gridCol w:w="1185"/>
        <w:gridCol w:w="5040"/>
      </w:tblGrid>
      <w:tr w:rsidR="004C51AE" w:rsidRPr="0019406C" w:rsidTr="00636B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2" w:type="pct"/>
          </w:tcPr>
          <w:p w:rsidR="004C51AE" w:rsidRPr="0019406C" w:rsidRDefault="004C51AE" w:rsidP="00410E0A">
            <w:pPr>
              <w:spacing w:before="60" w:after="60"/>
              <w:jc w:val="right"/>
              <w:rPr>
                <w:rFonts w:asciiTheme="majorHAnsi" w:hAnsiTheme="majorHAnsi"/>
                <w:b w:val="0"/>
                <w:lang w:val="lv-LV"/>
              </w:rPr>
            </w:pPr>
            <w:r w:rsidRPr="0019406C">
              <w:rPr>
                <w:rFonts w:asciiTheme="majorHAnsi" w:hAnsiTheme="majorHAnsi"/>
                <w:lang w:val="lv-LV"/>
              </w:rPr>
              <w:t>Iemesli</w:t>
            </w:r>
          </w:p>
        </w:tc>
        <w:tc>
          <w:tcPr>
            <w:cnfStyle w:val="000010000000" w:firstRow="0" w:lastRow="0" w:firstColumn="0" w:lastColumn="0" w:oddVBand="1" w:evenVBand="0" w:oddHBand="0" w:evenHBand="0" w:firstRowFirstColumn="0" w:firstRowLastColumn="0" w:lastRowFirstColumn="0" w:lastRowLastColumn="0"/>
            <w:tcW w:w="588" w:type="pct"/>
          </w:tcPr>
          <w:p w:rsidR="004C51AE" w:rsidRPr="0019406C" w:rsidRDefault="004C51AE" w:rsidP="00410E0A">
            <w:pPr>
              <w:spacing w:before="60" w:after="60"/>
              <w:jc w:val="center"/>
              <w:rPr>
                <w:rFonts w:asciiTheme="majorHAnsi" w:hAnsiTheme="majorHAnsi"/>
                <w:b w:val="0"/>
                <w:lang w:val="lv-LV"/>
              </w:rPr>
            </w:pPr>
            <w:r w:rsidRPr="0019406C">
              <w:rPr>
                <w:rFonts w:asciiTheme="majorHAnsi" w:hAnsiTheme="majorHAnsi"/>
                <w:lang w:val="lv-LV"/>
              </w:rPr>
              <w:t>Skaits</w:t>
            </w:r>
          </w:p>
        </w:tc>
        <w:tc>
          <w:tcPr>
            <w:tcW w:w="2500" w:type="pct"/>
          </w:tcPr>
          <w:p w:rsidR="004C51AE" w:rsidRPr="0019406C" w:rsidRDefault="004C51AE" w:rsidP="00410E0A">
            <w:pPr>
              <w:spacing w:before="60" w:after="60"/>
              <w:jc w:val="both"/>
              <w:cnfStyle w:val="100000000000" w:firstRow="1" w:lastRow="0" w:firstColumn="0" w:lastColumn="0" w:oddVBand="0" w:evenVBand="0" w:oddHBand="0" w:evenHBand="0" w:firstRowFirstColumn="0" w:firstRowLastColumn="0" w:lastRowFirstColumn="0" w:lastRowLastColumn="0"/>
              <w:rPr>
                <w:rFonts w:asciiTheme="majorHAnsi" w:hAnsiTheme="majorHAnsi"/>
                <w:b w:val="0"/>
                <w:lang w:val="lv-LV"/>
              </w:rPr>
            </w:pPr>
            <w:r w:rsidRPr="0019406C">
              <w:rPr>
                <w:rFonts w:asciiTheme="majorHAnsi" w:hAnsiTheme="majorHAnsi"/>
                <w:lang w:val="lv-LV"/>
              </w:rPr>
              <w:t>Paskaidrojums</w:t>
            </w:r>
          </w:p>
        </w:tc>
      </w:tr>
      <w:tr w:rsidR="004C51AE" w:rsidRPr="0019406C" w:rsidTr="00636B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2" w:type="pct"/>
          </w:tcPr>
          <w:p w:rsidR="004C51AE" w:rsidRPr="0019406C" w:rsidRDefault="004C51AE" w:rsidP="00410E0A">
            <w:pPr>
              <w:spacing w:before="60" w:after="60"/>
              <w:jc w:val="right"/>
              <w:rPr>
                <w:rFonts w:asciiTheme="majorHAnsi" w:hAnsiTheme="majorHAnsi"/>
                <w:lang w:val="lv-LV"/>
              </w:rPr>
            </w:pPr>
            <w:r w:rsidRPr="0019406C">
              <w:rPr>
                <w:rFonts w:asciiTheme="majorHAnsi" w:hAnsiTheme="majorHAnsi"/>
                <w:lang w:val="lv-LV"/>
              </w:rPr>
              <w:t>Respondenta atteikums</w:t>
            </w:r>
          </w:p>
        </w:tc>
        <w:tc>
          <w:tcPr>
            <w:cnfStyle w:val="000010000000" w:firstRow="0" w:lastRow="0" w:firstColumn="0" w:lastColumn="0" w:oddVBand="1" w:evenVBand="0" w:oddHBand="0" w:evenHBand="0" w:firstRowFirstColumn="0" w:firstRowLastColumn="0" w:lastRowFirstColumn="0" w:lastRowLastColumn="0"/>
            <w:tcW w:w="588" w:type="pct"/>
          </w:tcPr>
          <w:p w:rsidR="004C51AE" w:rsidRPr="0019406C" w:rsidRDefault="004C51AE" w:rsidP="00410E0A">
            <w:pPr>
              <w:spacing w:before="60" w:after="60"/>
              <w:jc w:val="center"/>
              <w:rPr>
                <w:rFonts w:asciiTheme="majorHAnsi" w:hAnsiTheme="majorHAnsi"/>
                <w:lang w:val="lv-LV"/>
              </w:rPr>
            </w:pPr>
            <w:r w:rsidRPr="0019406C">
              <w:rPr>
                <w:rFonts w:asciiTheme="majorHAnsi" w:hAnsiTheme="majorHAnsi"/>
                <w:lang w:val="lv-LV"/>
              </w:rPr>
              <w:t>644</w:t>
            </w:r>
          </w:p>
        </w:tc>
        <w:tc>
          <w:tcPr>
            <w:tcW w:w="2500" w:type="pct"/>
          </w:tcPr>
          <w:p w:rsidR="004C51AE" w:rsidRPr="0019406C" w:rsidRDefault="004C51AE" w:rsidP="00410E0A">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 xml:space="preserve">Respondents sazvanīts, bet atteicies piedalīties pētījumā (nav laika, neredz jēgu aptaujai, nevēlas piedalīties </w:t>
            </w:r>
            <w:proofErr w:type="spellStart"/>
            <w:r w:rsidRPr="0019406C">
              <w:rPr>
                <w:rFonts w:asciiTheme="majorHAnsi" w:hAnsiTheme="majorHAnsi"/>
                <w:lang w:val="lv-LV"/>
              </w:rPr>
              <w:t>u.tml</w:t>
            </w:r>
            <w:proofErr w:type="spellEnd"/>
            <w:r w:rsidRPr="0019406C">
              <w:rPr>
                <w:rFonts w:asciiTheme="majorHAnsi" w:hAnsiTheme="majorHAnsi"/>
                <w:lang w:val="lv-LV"/>
              </w:rPr>
              <w:t>.)</w:t>
            </w:r>
          </w:p>
        </w:tc>
      </w:tr>
      <w:tr w:rsidR="004C51AE" w:rsidRPr="00BB0049" w:rsidTr="00636B98">
        <w:tc>
          <w:tcPr>
            <w:cnfStyle w:val="001000000000" w:firstRow="0" w:lastRow="0" w:firstColumn="1" w:lastColumn="0" w:oddVBand="0" w:evenVBand="0" w:oddHBand="0" w:evenHBand="0" w:firstRowFirstColumn="0" w:firstRowLastColumn="0" w:lastRowFirstColumn="0" w:lastRowLastColumn="0"/>
            <w:tcW w:w="1912" w:type="pct"/>
          </w:tcPr>
          <w:p w:rsidR="004C51AE" w:rsidRPr="0019406C" w:rsidRDefault="004C51AE" w:rsidP="00410E0A">
            <w:pPr>
              <w:spacing w:before="60" w:after="60"/>
              <w:jc w:val="right"/>
              <w:rPr>
                <w:rFonts w:asciiTheme="majorHAnsi" w:hAnsiTheme="majorHAnsi"/>
                <w:lang w:val="lv-LV"/>
              </w:rPr>
            </w:pPr>
            <w:r w:rsidRPr="0019406C">
              <w:rPr>
                <w:rFonts w:asciiTheme="majorHAnsi" w:hAnsiTheme="majorHAnsi"/>
                <w:lang w:val="lv-LV"/>
              </w:rPr>
              <w:t>Uzņēmums nav sasniedzams</w:t>
            </w:r>
          </w:p>
        </w:tc>
        <w:tc>
          <w:tcPr>
            <w:cnfStyle w:val="000010000000" w:firstRow="0" w:lastRow="0" w:firstColumn="0" w:lastColumn="0" w:oddVBand="1" w:evenVBand="0" w:oddHBand="0" w:evenHBand="0" w:firstRowFirstColumn="0" w:firstRowLastColumn="0" w:lastRowFirstColumn="0" w:lastRowLastColumn="0"/>
            <w:tcW w:w="588" w:type="pct"/>
          </w:tcPr>
          <w:p w:rsidR="004C51AE" w:rsidRPr="0019406C" w:rsidRDefault="004C51AE" w:rsidP="00410E0A">
            <w:pPr>
              <w:spacing w:before="60" w:after="60"/>
              <w:jc w:val="center"/>
              <w:rPr>
                <w:rFonts w:asciiTheme="majorHAnsi" w:hAnsiTheme="majorHAnsi"/>
                <w:lang w:val="lv-LV"/>
              </w:rPr>
            </w:pPr>
            <w:r w:rsidRPr="0019406C">
              <w:rPr>
                <w:rFonts w:asciiTheme="majorHAnsi" w:hAnsiTheme="majorHAnsi"/>
                <w:lang w:val="lv-LV"/>
              </w:rPr>
              <w:t>709</w:t>
            </w:r>
          </w:p>
        </w:tc>
        <w:tc>
          <w:tcPr>
            <w:tcW w:w="2500" w:type="pct"/>
          </w:tcPr>
          <w:p w:rsidR="004C51AE" w:rsidRPr="0019406C" w:rsidRDefault="004C51AE" w:rsidP="00410E0A">
            <w:pPr>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Datu bāzē iekļautais uzņēmums vairs neeksistē, ir bankrotējis/ likvidēts vai arī uzņēmums norādītajā adresē nav atrodams</w:t>
            </w:r>
          </w:p>
        </w:tc>
      </w:tr>
      <w:tr w:rsidR="004C51AE" w:rsidRPr="00BB0049" w:rsidTr="00636B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2" w:type="pct"/>
          </w:tcPr>
          <w:p w:rsidR="004C51AE" w:rsidRPr="0019406C" w:rsidRDefault="004C51AE" w:rsidP="00410E0A">
            <w:pPr>
              <w:spacing w:before="60" w:after="60"/>
              <w:jc w:val="right"/>
              <w:rPr>
                <w:rFonts w:asciiTheme="majorHAnsi" w:hAnsiTheme="majorHAnsi"/>
                <w:lang w:val="lv-LV"/>
              </w:rPr>
            </w:pPr>
            <w:r w:rsidRPr="0019406C">
              <w:rPr>
                <w:rFonts w:asciiTheme="majorHAnsi" w:hAnsiTheme="majorHAnsi"/>
                <w:lang w:val="lv-LV"/>
              </w:rPr>
              <w:t>Uzņēmums un/ vai respondents nav sasniedzams aptaujas norises laikā</w:t>
            </w:r>
          </w:p>
        </w:tc>
        <w:tc>
          <w:tcPr>
            <w:cnfStyle w:val="000010000000" w:firstRow="0" w:lastRow="0" w:firstColumn="0" w:lastColumn="0" w:oddVBand="1" w:evenVBand="0" w:oddHBand="0" w:evenHBand="0" w:firstRowFirstColumn="0" w:firstRowLastColumn="0" w:lastRowFirstColumn="0" w:lastRowLastColumn="0"/>
            <w:tcW w:w="588" w:type="pct"/>
          </w:tcPr>
          <w:p w:rsidR="004C51AE" w:rsidRPr="0019406C" w:rsidRDefault="004C51AE" w:rsidP="00410E0A">
            <w:pPr>
              <w:spacing w:before="60" w:after="60"/>
              <w:jc w:val="center"/>
              <w:rPr>
                <w:rFonts w:asciiTheme="majorHAnsi" w:hAnsiTheme="majorHAnsi"/>
                <w:lang w:val="lv-LV"/>
              </w:rPr>
            </w:pPr>
            <w:r w:rsidRPr="0019406C">
              <w:rPr>
                <w:rFonts w:asciiTheme="majorHAnsi" w:hAnsiTheme="majorHAnsi"/>
                <w:lang w:val="lv-LV"/>
              </w:rPr>
              <w:t>102</w:t>
            </w:r>
          </w:p>
        </w:tc>
        <w:tc>
          <w:tcPr>
            <w:tcW w:w="2500" w:type="pct"/>
          </w:tcPr>
          <w:p w:rsidR="004C51AE" w:rsidRPr="0019406C" w:rsidRDefault="004C51AE" w:rsidP="00410E0A">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Uzņēmums vai respondents nav bijis sasniedzams pētījuma norises gaitā pēc pieciem atkārtotiem mēģinājumiem dažādās dienās dažādos laika posmos</w:t>
            </w:r>
          </w:p>
        </w:tc>
      </w:tr>
      <w:tr w:rsidR="004C51AE" w:rsidRPr="0019406C" w:rsidTr="00636B98">
        <w:tc>
          <w:tcPr>
            <w:cnfStyle w:val="001000000000" w:firstRow="0" w:lastRow="0" w:firstColumn="1" w:lastColumn="0" w:oddVBand="0" w:evenVBand="0" w:oddHBand="0" w:evenHBand="0" w:firstRowFirstColumn="0" w:firstRowLastColumn="0" w:lastRowFirstColumn="0" w:lastRowLastColumn="0"/>
            <w:tcW w:w="1912" w:type="pct"/>
          </w:tcPr>
          <w:p w:rsidR="004C51AE" w:rsidRPr="0019406C" w:rsidRDefault="004C51AE" w:rsidP="00410E0A">
            <w:pPr>
              <w:spacing w:before="60" w:after="60"/>
              <w:jc w:val="right"/>
              <w:rPr>
                <w:rFonts w:asciiTheme="majorHAnsi" w:hAnsiTheme="majorHAnsi"/>
                <w:b w:val="0"/>
                <w:lang w:val="lv-LV"/>
              </w:rPr>
            </w:pPr>
            <w:r w:rsidRPr="0019406C">
              <w:rPr>
                <w:rFonts w:asciiTheme="majorHAnsi" w:hAnsiTheme="majorHAnsi"/>
                <w:lang w:val="lv-LV"/>
              </w:rPr>
              <w:t>KOPĀ</w:t>
            </w:r>
          </w:p>
        </w:tc>
        <w:tc>
          <w:tcPr>
            <w:cnfStyle w:val="000010000000" w:firstRow="0" w:lastRow="0" w:firstColumn="0" w:lastColumn="0" w:oddVBand="1" w:evenVBand="0" w:oddHBand="0" w:evenHBand="0" w:firstRowFirstColumn="0" w:firstRowLastColumn="0" w:lastRowFirstColumn="0" w:lastRowLastColumn="0"/>
            <w:tcW w:w="588" w:type="pct"/>
          </w:tcPr>
          <w:p w:rsidR="004C51AE" w:rsidRPr="0019406C" w:rsidRDefault="004C51AE" w:rsidP="00410E0A">
            <w:pPr>
              <w:spacing w:before="60" w:after="60"/>
              <w:jc w:val="center"/>
              <w:rPr>
                <w:rFonts w:asciiTheme="majorHAnsi" w:hAnsiTheme="majorHAnsi"/>
                <w:b/>
                <w:lang w:val="lv-LV"/>
              </w:rPr>
            </w:pPr>
            <w:r w:rsidRPr="0019406C">
              <w:rPr>
                <w:rFonts w:asciiTheme="majorHAnsi" w:hAnsiTheme="majorHAnsi"/>
                <w:b/>
                <w:lang w:val="lv-LV"/>
              </w:rPr>
              <w:t>1</w:t>
            </w:r>
            <w:r w:rsidR="00863589">
              <w:rPr>
                <w:rFonts w:asciiTheme="majorHAnsi" w:hAnsiTheme="majorHAnsi"/>
                <w:b/>
                <w:lang w:val="lv-LV"/>
              </w:rPr>
              <w:t xml:space="preserve"> </w:t>
            </w:r>
            <w:r w:rsidRPr="0019406C">
              <w:rPr>
                <w:rFonts w:asciiTheme="majorHAnsi" w:hAnsiTheme="majorHAnsi"/>
                <w:b/>
                <w:lang w:val="lv-LV"/>
              </w:rPr>
              <w:t>455</w:t>
            </w:r>
          </w:p>
        </w:tc>
        <w:tc>
          <w:tcPr>
            <w:tcW w:w="2500" w:type="pct"/>
          </w:tcPr>
          <w:p w:rsidR="004C51AE" w:rsidRPr="0019406C" w:rsidRDefault="004C51AE" w:rsidP="00410E0A">
            <w:pPr>
              <w:spacing w:before="60" w:after="60"/>
              <w:jc w:val="both"/>
              <w:cnfStyle w:val="000000000000" w:firstRow="0" w:lastRow="0" w:firstColumn="0" w:lastColumn="0" w:oddVBand="0" w:evenVBand="0" w:oddHBand="0" w:evenHBand="0" w:firstRowFirstColumn="0" w:firstRowLastColumn="0" w:lastRowFirstColumn="0" w:lastRowLastColumn="0"/>
              <w:rPr>
                <w:rFonts w:asciiTheme="majorHAnsi" w:hAnsiTheme="majorHAnsi"/>
                <w:b/>
                <w:lang w:val="lv-LV"/>
              </w:rPr>
            </w:pPr>
          </w:p>
        </w:tc>
      </w:tr>
    </w:tbl>
    <w:p w:rsidR="00F241CD" w:rsidRPr="0019406C" w:rsidRDefault="00F241CD" w:rsidP="008637A6">
      <w:pPr>
        <w:pStyle w:val="BodyText"/>
        <w:rPr>
          <w:rFonts w:asciiTheme="majorHAnsi" w:hAnsiTheme="majorHAnsi"/>
          <w:b/>
          <w:sz w:val="22"/>
          <w:lang w:val="lv-LV"/>
        </w:rPr>
      </w:pPr>
    </w:p>
    <w:p w:rsidR="004C51AE" w:rsidRPr="0019406C" w:rsidRDefault="004C51AE" w:rsidP="008637A6">
      <w:pPr>
        <w:pStyle w:val="BodyText"/>
        <w:rPr>
          <w:rFonts w:asciiTheme="majorHAnsi" w:hAnsiTheme="majorHAnsi"/>
          <w:b/>
          <w:sz w:val="22"/>
          <w:lang w:val="lv-LV"/>
        </w:rPr>
      </w:pPr>
      <w:r w:rsidRPr="0019406C">
        <w:rPr>
          <w:rFonts w:asciiTheme="majorHAnsi" w:hAnsiTheme="majorHAnsi"/>
          <w:b/>
          <w:sz w:val="22"/>
          <w:lang w:val="lv-LV"/>
        </w:rPr>
        <w:t>Kvalitātes kontrole</w:t>
      </w:r>
    </w:p>
    <w:p w:rsidR="004C51AE" w:rsidRPr="0019406C" w:rsidRDefault="004C51AE" w:rsidP="00031E71">
      <w:pPr>
        <w:spacing w:line="276" w:lineRule="auto"/>
        <w:ind w:right="424"/>
        <w:jc w:val="both"/>
        <w:rPr>
          <w:rFonts w:asciiTheme="majorHAnsi" w:hAnsiTheme="majorHAnsi" w:cs="Arial"/>
          <w:lang w:val="lv-LV"/>
        </w:rPr>
      </w:pPr>
      <w:r w:rsidRPr="0019406C">
        <w:rPr>
          <w:rFonts w:asciiTheme="majorHAnsi" w:hAnsiTheme="majorHAnsi" w:cs="Arial"/>
          <w:lang w:val="lv-LV"/>
        </w:rPr>
        <w:t xml:space="preserve">Pēc informācijas savākšanas 15% visu interviju tika pakļautas pārbaudei. Interviju pārbaudi veica “Latvijas Faktu”  darbinieki. Pārbaude notika 3 līdz 5 dienu laikā pēc informācijas savākšanas, un tika pārbaudīti visi intervētāji. Tika pārbaudīti 15% no katra intervētāja iegūtajām intervijām. </w:t>
      </w:r>
      <w:r w:rsidRPr="0019406C">
        <w:rPr>
          <w:rFonts w:asciiTheme="majorHAnsi" w:hAnsiTheme="majorHAnsi"/>
          <w:bCs/>
          <w:lang w:val="lv-LV"/>
        </w:rPr>
        <w:t>Lai būtu iespējams veikt kvalitātes kontroli, aptaujas gaitā katrs intervētājs aizpildīja lauka darba progresa lapu, kurā norādīja respondenta vārdu, pārstāvētā uzņēmuma nosaukumu un telefona numuru.</w:t>
      </w:r>
    </w:p>
    <w:p w:rsidR="004C51AE" w:rsidRPr="0019406C" w:rsidRDefault="004C51AE" w:rsidP="00031E71">
      <w:pPr>
        <w:spacing w:line="276" w:lineRule="auto"/>
        <w:ind w:right="424"/>
        <w:jc w:val="both"/>
        <w:rPr>
          <w:rFonts w:asciiTheme="majorHAnsi" w:hAnsiTheme="majorHAnsi" w:cs="Arial"/>
          <w:lang w:val="lv-LV"/>
        </w:rPr>
      </w:pPr>
      <w:r w:rsidRPr="0019406C">
        <w:rPr>
          <w:rFonts w:asciiTheme="majorHAnsi" w:hAnsiTheme="majorHAnsi" w:cs="Arial"/>
          <w:lang w:val="lv-LV"/>
        </w:rPr>
        <w:t xml:space="preserve">Interviju pārbaude tika veikta </w:t>
      </w:r>
      <w:r w:rsidR="00E15DD7" w:rsidRPr="0019406C">
        <w:rPr>
          <w:rFonts w:asciiTheme="majorHAnsi" w:hAnsiTheme="majorHAnsi" w:cs="Arial"/>
          <w:lang w:val="lv-LV"/>
        </w:rPr>
        <w:t>telefoniski</w:t>
      </w:r>
      <w:r w:rsidRPr="0019406C">
        <w:rPr>
          <w:rFonts w:asciiTheme="majorHAnsi" w:hAnsiTheme="majorHAnsi" w:cs="Arial"/>
          <w:lang w:val="lv-LV"/>
        </w:rPr>
        <w:t>.</w:t>
      </w:r>
    </w:p>
    <w:p w:rsidR="004C51AE" w:rsidRPr="0019406C" w:rsidRDefault="004C51AE" w:rsidP="00031E71">
      <w:pPr>
        <w:spacing w:line="276" w:lineRule="auto"/>
        <w:ind w:right="424"/>
        <w:jc w:val="both"/>
        <w:rPr>
          <w:rFonts w:asciiTheme="majorHAnsi" w:hAnsiTheme="majorHAnsi" w:cs="Arial"/>
          <w:lang w:val="lv-LV"/>
        </w:rPr>
      </w:pPr>
      <w:r w:rsidRPr="0019406C">
        <w:rPr>
          <w:rFonts w:asciiTheme="majorHAnsi" w:hAnsiTheme="majorHAnsi" w:cs="Arial"/>
          <w:lang w:val="lv-LV"/>
        </w:rPr>
        <w:t>Pārbaudes procedūra ietver sevī sekojošus elementus:</w:t>
      </w:r>
    </w:p>
    <w:p w:rsidR="004C51AE" w:rsidRPr="0019406C" w:rsidRDefault="004C51AE" w:rsidP="00E521EE">
      <w:pPr>
        <w:numPr>
          <w:ilvl w:val="0"/>
          <w:numId w:val="16"/>
        </w:numPr>
        <w:tabs>
          <w:tab w:val="left" w:pos="993"/>
        </w:tabs>
        <w:spacing w:after="0" w:line="276" w:lineRule="auto"/>
        <w:ind w:right="424" w:firstLine="0"/>
        <w:jc w:val="both"/>
        <w:rPr>
          <w:rFonts w:asciiTheme="majorHAnsi" w:hAnsiTheme="majorHAnsi" w:cs="Arial"/>
          <w:lang w:val="lv-LV"/>
        </w:rPr>
      </w:pPr>
      <w:r w:rsidRPr="0019406C">
        <w:rPr>
          <w:rFonts w:asciiTheme="majorHAnsi" w:hAnsiTheme="majorHAnsi" w:cs="Arial"/>
          <w:lang w:val="lv-LV"/>
        </w:rPr>
        <w:t>intervijas veikšanas fakta pārbaude;</w:t>
      </w:r>
    </w:p>
    <w:p w:rsidR="004C51AE" w:rsidRPr="0019406C" w:rsidRDefault="004C51AE" w:rsidP="00E521EE">
      <w:pPr>
        <w:numPr>
          <w:ilvl w:val="0"/>
          <w:numId w:val="16"/>
        </w:numPr>
        <w:tabs>
          <w:tab w:val="left" w:pos="993"/>
        </w:tabs>
        <w:spacing w:after="0" w:line="276" w:lineRule="auto"/>
        <w:ind w:right="424" w:firstLine="0"/>
        <w:jc w:val="both"/>
        <w:rPr>
          <w:rFonts w:asciiTheme="majorHAnsi" w:hAnsiTheme="majorHAnsi" w:cs="Arial"/>
          <w:lang w:val="lv-LV"/>
        </w:rPr>
      </w:pPr>
      <w:r w:rsidRPr="0019406C">
        <w:rPr>
          <w:rFonts w:asciiTheme="majorHAnsi" w:hAnsiTheme="majorHAnsi" w:cs="Arial"/>
          <w:lang w:val="lv-LV"/>
        </w:rPr>
        <w:t>intervētā respondenta atbilstība aptaujas mērķa grupai;</w:t>
      </w:r>
    </w:p>
    <w:p w:rsidR="004C51AE" w:rsidRPr="0019406C" w:rsidRDefault="004C51AE" w:rsidP="00E521EE">
      <w:pPr>
        <w:numPr>
          <w:ilvl w:val="0"/>
          <w:numId w:val="16"/>
        </w:numPr>
        <w:tabs>
          <w:tab w:val="left" w:pos="993"/>
        </w:tabs>
        <w:spacing w:after="0" w:line="276" w:lineRule="auto"/>
        <w:ind w:right="424" w:firstLine="0"/>
        <w:jc w:val="both"/>
        <w:rPr>
          <w:rFonts w:asciiTheme="majorHAnsi" w:hAnsiTheme="majorHAnsi" w:cs="Arial"/>
          <w:lang w:val="lv-LV"/>
        </w:rPr>
      </w:pPr>
      <w:r w:rsidRPr="0019406C">
        <w:rPr>
          <w:rFonts w:asciiTheme="majorHAnsi" w:hAnsiTheme="majorHAnsi" w:cs="Arial"/>
          <w:lang w:val="lv-LV"/>
        </w:rPr>
        <w:t>anketā ietverto jautājumu izlases pārbaude;</w:t>
      </w:r>
    </w:p>
    <w:p w:rsidR="004C51AE" w:rsidRPr="0019406C" w:rsidRDefault="004C51AE" w:rsidP="00E521EE">
      <w:pPr>
        <w:numPr>
          <w:ilvl w:val="0"/>
          <w:numId w:val="16"/>
        </w:numPr>
        <w:tabs>
          <w:tab w:val="left" w:pos="993"/>
        </w:tabs>
        <w:spacing w:after="0" w:line="276" w:lineRule="auto"/>
        <w:ind w:right="424" w:firstLine="0"/>
        <w:jc w:val="both"/>
        <w:rPr>
          <w:rFonts w:asciiTheme="majorHAnsi" w:hAnsiTheme="majorHAnsi" w:cs="Arial"/>
          <w:lang w:val="lv-LV"/>
        </w:rPr>
      </w:pPr>
      <w:r w:rsidRPr="0019406C">
        <w:rPr>
          <w:rFonts w:asciiTheme="majorHAnsi" w:hAnsiTheme="majorHAnsi" w:cs="Arial"/>
          <w:lang w:val="lv-LV"/>
        </w:rPr>
        <w:t>intervijas veikšanas kvalitātes novērtējums (intervētāja kompetences, komunikācijas un valodas prasmes.</w:t>
      </w:r>
    </w:p>
    <w:p w:rsidR="004C51AE" w:rsidRPr="0019406C" w:rsidRDefault="004C51AE" w:rsidP="00031E71">
      <w:pPr>
        <w:spacing w:before="120" w:after="120" w:line="276" w:lineRule="auto"/>
        <w:ind w:right="424"/>
        <w:jc w:val="both"/>
        <w:rPr>
          <w:rFonts w:asciiTheme="majorHAnsi" w:hAnsiTheme="majorHAnsi" w:cs="Arial"/>
          <w:b/>
          <w:u w:val="single"/>
          <w:lang w:val="lv-LV"/>
        </w:rPr>
      </w:pPr>
      <w:r w:rsidRPr="0019406C">
        <w:rPr>
          <w:rFonts w:asciiTheme="majorHAnsi" w:hAnsiTheme="majorHAnsi" w:cs="Arial"/>
          <w:bCs/>
          <w:lang w:val="lv-LV"/>
        </w:rPr>
        <w:t>Papildus interviju pārbaudei tiek veikta arī īpaša datu faila pārbaude, kas aprakstīta nākošajā sadaļā.</w:t>
      </w:r>
    </w:p>
    <w:p w:rsidR="004C51AE" w:rsidRPr="0019406C" w:rsidRDefault="004C51AE" w:rsidP="007519BC">
      <w:pPr>
        <w:spacing w:line="240" w:lineRule="auto"/>
        <w:jc w:val="both"/>
        <w:rPr>
          <w:rFonts w:asciiTheme="majorHAnsi" w:hAnsiTheme="majorHAnsi"/>
          <w:lang w:val="lv-LV"/>
        </w:rPr>
      </w:pPr>
    </w:p>
    <w:p w:rsidR="004C51AE" w:rsidRPr="0019406C" w:rsidRDefault="004C51AE" w:rsidP="00636B98">
      <w:pPr>
        <w:pStyle w:val="Heading2"/>
        <w:rPr>
          <w:lang w:val="lv-LV"/>
        </w:rPr>
      </w:pPr>
      <w:bookmarkStart w:id="41" w:name="_Toc389226073"/>
      <w:r w:rsidRPr="0019406C">
        <w:rPr>
          <w:lang w:val="lv-LV"/>
        </w:rPr>
        <w:t>Datu ievade, apstrāde un analīze</w:t>
      </w:r>
      <w:bookmarkEnd w:id="41"/>
    </w:p>
    <w:p w:rsidR="00636B98" w:rsidRPr="0019406C" w:rsidRDefault="00636B98" w:rsidP="00636B98">
      <w:pPr>
        <w:spacing w:after="120"/>
        <w:ind w:right="424"/>
        <w:jc w:val="both"/>
        <w:rPr>
          <w:lang w:val="lv-LV"/>
        </w:rPr>
      </w:pPr>
    </w:p>
    <w:p w:rsidR="004C51AE" w:rsidRDefault="004C51AE" w:rsidP="00031E71">
      <w:pPr>
        <w:spacing w:after="120" w:line="276" w:lineRule="auto"/>
        <w:ind w:right="424"/>
        <w:jc w:val="both"/>
        <w:rPr>
          <w:rFonts w:asciiTheme="majorHAnsi" w:hAnsiTheme="majorHAnsi" w:cs="Arial"/>
          <w:lang w:val="lv-LV"/>
        </w:rPr>
      </w:pPr>
      <w:r w:rsidRPr="0019406C">
        <w:rPr>
          <w:rFonts w:asciiTheme="majorHAnsi" w:hAnsiTheme="majorHAnsi" w:cs="Arial"/>
          <w:lang w:val="lv-LV"/>
        </w:rPr>
        <w:t xml:space="preserve">Datu apstrāde notiek “Latvijas Faktu” IT departamentā, izmantojot licenzētas programmas </w:t>
      </w:r>
      <w:r w:rsidRPr="0019406C">
        <w:rPr>
          <w:rFonts w:asciiTheme="majorHAnsi" w:hAnsiTheme="majorHAnsi" w:cs="Arial"/>
          <w:i/>
          <w:lang w:val="lv-LV"/>
        </w:rPr>
        <w:t xml:space="preserve">SPSS </w:t>
      </w:r>
      <w:proofErr w:type="spellStart"/>
      <w:r w:rsidRPr="0019406C">
        <w:rPr>
          <w:rFonts w:asciiTheme="majorHAnsi" w:hAnsiTheme="majorHAnsi" w:cs="Arial"/>
          <w:i/>
          <w:lang w:val="lv-LV"/>
        </w:rPr>
        <w:t>Statistics</w:t>
      </w:r>
      <w:proofErr w:type="spellEnd"/>
      <w:r w:rsidRPr="0019406C">
        <w:rPr>
          <w:rFonts w:asciiTheme="majorHAnsi" w:hAnsiTheme="majorHAnsi" w:cs="Arial"/>
          <w:i/>
          <w:lang w:val="lv-LV"/>
        </w:rPr>
        <w:t xml:space="preserve"> 21; MS Office 13</w:t>
      </w:r>
      <w:r w:rsidRPr="0019406C">
        <w:rPr>
          <w:rFonts w:asciiTheme="majorHAnsi" w:hAnsiTheme="majorHAnsi" w:cs="Arial"/>
          <w:lang w:val="lv-LV"/>
        </w:rPr>
        <w:t>.</w:t>
      </w:r>
    </w:p>
    <w:p w:rsidR="003F48D5" w:rsidRDefault="003F48D5" w:rsidP="00031E71">
      <w:pPr>
        <w:spacing w:after="120" w:line="276" w:lineRule="auto"/>
        <w:ind w:right="424"/>
        <w:jc w:val="both"/>
        <w:rPr>
          <w:rFonts w:asciiTheme="majorHAnsi" w:hAnsiTheme="majorHAnsi" w:cs="Arial"/>
          <w:lang w:val="lv-LV"/>
        </w:rPr>
      </w:pPr>
    </w:p>
    <w:p w:rsidR="003F48D5" w:rsidRPr="0019406C" w:rsidRDefault="003F48D5" w:rsidP="00031E71">
      <w:pPr>
        <w:spacing w:after="120" w:line="276" w:lineRule="auto"/>
        <w:ind w:right="424"/>
        <w:jc w:val="both"/>
        <w:rPr>
          <w:rFonts w:asciiTheme="majorHAnsi" w:hAnsiTheme="majorHAnsi" w:cs="Arial"/>
          <w:lang w:val="lv-LV"/>
        </w:rPr>
      </w:pPr>
    </w:p>
    <w:p w:rsidR="004C51AE" w:rsidRPr="0019406C" w:rsidRDefault="004C51AE" w:rsidP="003F48D5">
      <w:pPr>
        <w:pStyle w:val="BodyText2"/>
        <w:spacing w:before="240" w:line="276" w:lineRule="auto"/>
        <w:jc w:val="both"/>
        <w:rPr>
          <w:rFonts w:asciiTheme="majorHAnsi" w:hAnsiTheme="majorHAnsi" w:cs="Arial"/>
          <w:sz w:val="20"/>
          <w:szCs w:val="20"/>
        </w:rPr>
      </w:pPr>
      <w:r w:rsidRPr="0019406C">
        <w:rPr>
          <w:rFonts w:asciiTheme="majorHAnsi" w:hAnsiTheme="majorHAnsi" w:cs="Arial"/>
          <w:sz w:val="20"/>
          <w:szCs w:val="20"/>
        </w:rPr>
        <w:lastRenderedPageBreak/>
        <w:t>Procesa apraksts:</w:t>
      </w:r>
    </w:p>
    <w:p w:rsidR="004C51AE" w:rsidRPr="0019406C" w:rsidRDefault="004C51AE" w:rsidP="003F48D5">
      <w:pPr>
        <w:pStyle w:val="BodyText2"/>
        <w:spacing w:line="276" w:lineRule="auto"/>
        <w:jc w:val="both"/>
        <w:rPr>
          <w:rFonts w:asciiTheme="majorHAnsi" w:hAnsiTheme="majorHAnsi" w:cs="Arial"/>
          <w:b/>
          <w:sz w:val="20"/>
          <w:szCs w:val="20"/>
        </w:rPr>
      </w:pPr>
      <w:r w:rsidRPr="0019406C">
        <w:rPr>
          <w:rFonts w:asciiTheme="majorHAnsi" w:hAnsiTheme="majorHAnsi" w:cs="Arial"/>
          <w:b/>
          <w:sz w:val="20"/>
          <w:szCs w:val="20"/>
        </w:rPr>
        <w:t>1.</w:t>
      </w:r>
      <w:r w:rsidR="00863589">
        <w:rPr>
          <w:rFonts w:asciiTheme="majorHAnsi" w:hAnsiTheme="majorHAnsi" w:cs="Arial"/>
          <w:b/>
          <w:sz w:val="20"/>
          <w:szCs w:val="20"/>
        </w:rPr>
        <w:t xml:space="preserve"> </w:t>
      </w:r>
      <w:r w:rsidRPr="0019406C">
        <w:rPr>
          <w:rFonts w:asciiTheme="majorHAnsi" w:hAnsiTheme="majorHAnsi" w:cs="Arial"/>
          <w:b/>
          <w:sz w:val="20"/>
          <w:szCs w:val="20"/>
        </w:rPr>
        <w:t>solis – Aptaujas anketu saņemšana un aizpildes kvalitātes pārbaude.</w:t>
      </w:r>
    </w:p>
    <w:p w:rsidR="004C51AE" w:rsidRPr="0019406C" w:rsidRDefault="004C51AE" w:rsidP="003F48D5">
      <w:pPr>
        <w:pStyle w:val="BodyText2"/>
        <w:spacing w:line="276" w:lineRule="auto"/>
        <w:jc w:val="both"/>
        <w:rPr>
          <w:rFonts w:asciiTheme="majorHAnsi" w:hAnsiTheme="majorHAnsi" w:cs="Arial"/>
          <w:iCs/>
          <w:sz w:val="20"/>
          <w:szCs w:val="20"/>
        </w:rPr>
      </w:pPr>
      <w:r w:rsidRPr="0019406C">
        <w:rPr>
          <w:rFonts w:asciiTheme="majorHAnsi" w:hAnsiTheme="majorHAnsi" w:cs="Arial"/>
          <w:iCs/>
          <w:sz w:val="20"/>
          <w:szCs w:val="20"/>
        </w:rPr>
        <w:t xml:space="preserve">Pēc intervēšanas beigām iegūtās anketas tiek nogādātas “Latvijas Faktu” centrālajā birojā, kur tiek veikta anketu aizpildīšanas kvalitātes pārbaude. Lai savlaicīgi konstatētu iespējamās intervētāju neuzmanības vai loģikas kļūdas un paviršības, kā arī, lai optimizētu anketu apstrādes un datu ievades procesu, intervētājiem jāiesniedz aizpildītās anketas pa daļām (pirmās 20; nākamās 20 </w:t>
      </w:r>
      <w:proofErr w:type="spellStart"/>
      <w:r w:rsidRPr="0019406C">
        <w:rPr>
          <w:rFonts w:asciiTheme="majorHAnsi" w:hAnsiTheme="majorHAnsi" w:cs="Arial"/>
          <w:iCs/>
          <w:sz w:val="20"/>
          <w:szCs w:val="20"/>
        </w:rPr>
        <w:t>utt</w:t>
      </w:r>
      <w:proofErr w:type="spellEnd"/>
      <w:r w:rsidRPr="0019406C">
        <w:rPr>
          <w:rFonts w:asciiTheme="majorHAnsi" w:hAnsiTheme="majorHAnsi" w:cs="Arial"/>
          <w:iCs/>
          <w:sz w:val="20"/>
          <w:szCs w:val="20"/>
        </w:rPr>
        <w:t>.).</w:t>
      </w:r>
    </w:p>
    <w:p w:rsidR="004C51AE" w:rsidRPr="0019406C" w:rsidRDefault="004C51AE" w:rsidP="003F48D5">
      <w:pPr>
        <w:pStyle w:val="BodyText2"/>
        <w:spacing w:line="276" w:lineRule="auto"/>
        <w:jc w:val="both"/>
        <w:rPr>
          <w:rFonts w:asciiTheme="majorHAnsi" w:hAnsiTheme="majorHAnsi" w:cs="Arial"/>
          <w:iCs/>
          <w:sz w:val="20"/>
          <w:szCs w:val="20"/>
        </w:rPr>
      </w:pPr>
      <w:r w:rsidRPr="0019406C">
        <w:rPr>
          <w:rFonts w:asciiTheme="majorHAnsi" w:hAnsiTheme="majorHAnsi" w:cs="Arial"/>
          <w:iCs/>
          <w:sz w:val="20"/>
          <w:szCs w:val="20"/>
        </w:rPr>
        <w:t>Saņemot  anketas</w:t>
      </w:r>
      <w:r w:rsidR="00E15DD7" w:rsidRPr="0019406C">
        <w:rPr>
          <w:rFonts w:asciiTheme="majorHAnsi" w:hAnsiTheme="majorHAnsi" w:cs="Arial"/>
          <w:iCs/>
          <w:sz w:val="20"/>
          <w:szCs w:val="20"/>
        </w:rPr>
        <w:t>,</w:t>
      </w:r>
      <w:r w:rsidRPr="0019406C">
        <w:rPr>
          <w:rFonts w:asciiTheme="majorHAnsi" w:hAnsiTheme="majorHAnsi" w:cs="Arial"/>
          <w:iCs/>
          <w:sz w:val="20"/>
          <w:szCs w:val="20"/>
        </w:rPr>
        <w:t xml:space="preserve"> intervētāju darba pārraugi izlases kārtībā pārbauda  katra intervētāja 5 aizpildītās anketas:</w:t>
      </w:r>
    </w:p>
    <w:p w:rsidR="004C51AE" w:rsidRPr="0019406C" w:rsidRDefault="004C51AE" w:rsidP="003F48D5">
      <w:pPr>
        <w:pStyle w:val="BodyText2"/>
        <w:spacing w:line="276" w:lineRule="auto"/>
        <w:ind w:left="851"/>
        <w:jc w:val="both"/>
        <w:rPr>
          <w:rFonts w:asciiTheme="majorHAnsi" w:hAnsiTheme="majorHAnsi" w:cs="Arial"/>
          <w:iCs/>
          <w:sz w:val="20"/>
          <w:szCs w:val="20"/>
        </w:rPr>
      </w:pPr>
      <w:r w:rsidRPr="0019406C">
        <w:rPr>
          <w:rFonts w:asciiTheme="majorHAnsi" w:hAnsiTheme="majorHAnsi" w:cs="Arial"/>
          <w:iCs/>
          <w:sz w:val="20"/>
          <w:szCs w:val="20"/>
        </w:rPr>
        <w:t xml:space="preserve"> - vai anketas ir pilnībā aizpildītas (</w:t>
      </w:r>
      <w:proofErr w:type="spellStart"/>
      <w:r w:rsidRPr="0019406C">
        <w:rPr>
          <w:rFonts w:asciiTheme="majorHAnsi" w:hAnsiTheme="majorHAnsi" w:cs="Arial"/>
          <w:iCs/>
          <w:sz w:val="20"/>
          <w:szCs w:val="20"/>
        </w:rPr>
        <w:t>t.sk</w:t>
      </w:r>
      <w:proofErr w:type="spellEnd"/>
      <w:r w:rsidRPr="0019406C">
        <w:rPr>
          <w:rFonts w:asciiTheme="majorHAnsi" w:hAnsiTheme="majorHAnsi" w:cs="Arial"/>
          <w:iCs/>
          <w:sz w:val="20"/>
          <w:szCs w:val="20"/>
        </w:rPr>
        <w:t>. atbilžu „NA/ Nezinu” minēšanas biežums);</w:t>
      </w:r>
    </w:p>
    <w:p w:rsidR="004C51AE" w:rsidRPr="0019406C" w:rsidRDefault="004C51AE" w:rsidP="003F48D5">
      <w:pPr>
        <w:pStyle w:val="BodyText2"/>
        <w:spacing w:line="276" w:lineRule="auto"/>
        <w:ind w:left="851"/>
        <w:jc w:val="both"/>
        <w:rPr>
          <w:rFonts w:asciiTheme="majorHAnsi" w:hAnsiTheme="majorHAnsi" w:cs="Arial"/>
          <w:iCs/>
          <w:sz w:val="20"/>
          <w:szCs w:val="20"/>
        </w:rPr>
      </w:pPr>
      <w:r w:rsidRPr="0019406C">
        <w:rPr>
          <w:rFonts w:asciiTheme="majorHAnsi" w:hAnsiTheme="majorHAnsi" w:cs="Arial"/>
          <w:iCs/>
          <w:sz w:val="20"/>
          <w:szCs w:val="20"/>
        </w:rPr>
        <w:t>- atvērto jautājumu aizpildes kvalitāti (cik detalizēti un saprotami ir pierakstītas sniegtās atbildes);</w:t>
      </w:r>
    </w:p>
    <w:p w:rsidR="004C51AE" w:rsidRPr="0019406C" w:rsidRDefault="004C51AE" w:rsidP="003F48D5">
      <w:pPr>
        <w:pStyle w:val="BodyText2"/>
        <w:spacing w:line="276" w:lineRule="auto"/>
        <w:ind w:left="851"/>
        <w:jc w:val="both"/>
        <w:rPr>
          <w:rFonts w:asciiTheme="majorHAnsi" w:hAnsiTheme="majorHAnsi" w:cs="Arial"/>
          <w:iCs/>
          <w:sz w:val="20"/>
          <w:szCs w:val="20"/>
        </w:rPr>
      </w:pPr>
      <w:r w:rsidRPr="0019406C">
        <w:rPr>
          <w:rFonts w:asciiTheme="majorHAnsi" w:hAnsiTheme="majorHAnsi" w:cs="Arial"/>
          <w:iCs/>
          <w:sz w:val="20"/>
          <w:szCs w:val="20"/>
        </w:rPr>
        <w:t>- anketu aizpildes vispārējo loģiku (vai pareizi ir ievērotas anketā paredzētās pārejas no jautājuma uz jautājuma un atbilžu loģiku savstarpēji saistītos jautājumos).</w:t>
      </w:r>
    </w:p>
    <w:p w:rsidR="004C51AE" w:rsidRPr="0019406C" w:rsidRDefault="004C51AE" w:rsidP="003F48D5">
      <w:pPr>
        <w:pStyle w:val="BodyText2"/>
        <w:spacing w:line="276" w:lineRule="auto"/>
        <w:jc w:val="both"/>
        <w:rPr>
          <w:rFonts w:asciiTheme="majorHAnsi" w:hAnsiTheme="majorHAnsi" w:cs="Arial"/>
          <w:iCs/>
          <w:sz w:val="20"/>
          <w:szCs w:val="20"/>
        </w:rPr>
      </w:pPr>
      <w:r w:rsidRPr="0019406C">
        <w:rPr>
          <w:rFonts w:asciiTheme="majorHAnsi" w:hAnsiTheme="majorHAnsi" w:cs="Arial"/>
          <w:iCs/>
          <w:sz w:val="20"/>
          <w:szCs w:val="20"/>
        </w:rPr>
        <w:t>Anketas, kurās iztrūkst informācija (atbilžu „N/A/ Nezinu” minēšanas biežums pārsniedz 30% no kopējā atbilžu skaita) vai tiek fiksētas būtiskas kļūdas, tiek brāķētas un anulētas.</w:t>
      </w:r>
      <w:r w:rsidR="00133318" w:rsidRPr="0019406C">
        <w:rPr>
          <w:rFonts w:asciiTheme="majorHAnsi" w:hAnsiTheme="majorHAnsi" w:cs="Arial"/>
          <w:iCs/>
          <w:sz w:val="20"/>
          <w:szCs w:val="20"/>
        </w:rPr>
        <w:t xml:space="preserve"> Kvalitātes pārbaudes procesa rezultātā tika anulēta un no pamata datu masīva izslēgta 1 anketa.</w:t>
      </w:r>
    </w:p>
    <w:p w:rsidR="004C51AE" w:rsidRPr="0019406C" w:rsidRDefault="004C51AE" w:rsidP="003F48D5">
      <w:pPr>
        <w:pStyle w:val="BodyText2"/>
        <w:spacing w:line="276" w:lineRule="auto"/>
        <w:jc w:val="both"/>
        <w:rPr>
          <w:rFonts w:asciiTheme="majorHAnsi" w:hAnsiTheme="majorHAnsi" w:cs="Arial"/>
          <w:b/>
          <w:sz w:val="20"/>
          <w:szCs w:val="20"/>
        </w:rPr>
      </w:pPr>
      <w:r w:rsidRPr="0019406C">
        <w:rPr>
          <w:rFonts w:asciiTheme="majorHAnsi" w:hAnsiTheme="majorHAnsi" w:cs="Arial"/>
          <w:b/>
          <w:sz w:val="20"/>
          <w:szCs w:val="20"/>
        </w:rPr>
        <w:t>2.</w:t>
      </w:r>
      <w:r w:rsidR="00863589">
        <w:rPr>
          <w:rFonts w:asciiTheme="majorHAnsi" w:hAnsiTheme="majorHAnsi" w:cs="Arial"/>
          <w:b/>
          <w:sz w:val="20"/>
          <w:szCs w:val="20"/>
        </w:rPr>
        <w:t xml:space="preserve"> </w:t>
      </w:r>
      <w:r w:rsidRPr="0019406C">
        <w:rPr>
          <w:rFonts w:asciiTheme="majorHAnsi" w:hAnsiTheme="majorHAnsi" w:cs="Arial"/>
          <w:b/>
          <w:sz w:val="20"/>
          <w:szCs w:val="20"/>
        </w:rPr>
        <w:t>solis – Datu ievada programmas izstrāde un datu ievads.</w:t>
      </w:r>
    </w:p>
    <w:p w:rsidR="004C51AE" w:rsidRPr="0019406C" w:rsidRDefault="004C51AE" w:rsidP="003F48D5">
      <w:pPr>
        <w:pStyle w:val="BodyText2"/>
        <w:spacing w:line="276" w:lineRule="auto"/>
        <w:jc w:val="both"/>
        <w:rPr>
          <w:rFonts w:asciiTheme="majorHAnsi" w:hAnsiTheme="majorHAnsi" w:cs="Arial"/>
          <w:sz w:val="20"/>
          <w:szCs w:val="20"/>
        </w:rPr>
      </w:pPr>
      <w:r w:rsidRPr="0019406C">
        <w:rPr>
          <w:rFonts w:asciiTheme="majorHAnsi" w:hAnsiTheme="majorHAnsi" w:cs="Arial"/>
          <w:sz w:val="20"/>
          <w:szCs w:val="20"/>
        </w:rPr>
        <w:t>Datu faila programma tika izstrādāta ņemot vērā anketas uzbūvi un scenārija loģiku, jau datu ievades procesā maksimāli izslēdzot iespēju ievadīt neloģiskas atbildes, kā arī manuālas ievada kļūdas (nospiežot taustiņu ar nepareizu skaitli).</w:t>
      </w:r>
    </w:p>
    <w:p w:rsidR="004C51AE" w:rsidRPr="0019406C" w:rsidRDefault="004C51AE" w:rsidP="003F48D5">
      <w:pPr>
        <w:pStyle w:val="BodyText2"/>
        <w:spacing w:line="276" w:lineRule="auto"/>
        <w:jc w:val="both"/>
        <w:rPr>
          <w:rFonts w:asciiTheme="majorHAnsi" w:hAnsiTheme="majorHAnsi" w:cs="Arial"/>
          <w:sz w:val="20"/>
          <w:szCs w:val="20"/>
        </w:rPr>
      </w:pPr>
      <w:r w:rsidRPr="0019406C">
        <w:rPr>
          <w:rFonts w:asciiTheme="majorHAnsi" w:hAnsiTheme="majorHAnsi" w:cs="Arial"/>
          <w:sz w:val="20"/>
          <w:szCs w:val="20"/>
        </w:rPr>
        <w:t>Datu ievadu veica īpaši apmācīti un šīs aptaujas ievades specifikai instruēti datu ievades operatori</w:t>
      </w:r>
    </w:p>
    <w:p w:rsidR="004C51AE" w:rsidRPr="0019406C" w:rsidRDefault="004C51AE" w:rsidP="003F48D5">
      <w:pPr>
        <w:pStyle w:val="BodyText2"/>
        <w:spacing w:line="276" w:lineRule="auto"/>
        <w:jc w:val="both"/>
        <w:rPr>
          <w:rFonts w:asciiTheme="majorHAnsi" w:hAnsiTheme="majorHAnsi" w:cs="Arial"/>
          <w:sz w:val="20"/>
          <w:szCs w:val="20"/>
        </w:rPr>
      </w:pPr>
      <w:r w:rsidRPr="0019406C">
        <w:rPr>
          <w:rFonts w:asciiTheme="majorHAnsi" w:hAnsiTheme="majorHAnsi" w:cs="Arial"/>
          <w:iCs/>
          <w:sz w:val="20"/>
          <w:szCs w:val="20"/>
        </w:rPr>
        <w:t>Pēc datu ievadīšanas notika ievadīšanas procedūras pārbaude, kuras gaitā 15% anketu tika pakļautas otrreizējai ievadīšanai (otrreizējo ievadīšanu veica datu ievada kvalitātes pārraugs).</w:t>
      </w:r>
    </w:p>
    <w:p w:rsidR="004C51AE" w:rsidRPr="0019406C" w:rsidRDefault="004C51AE" w:rsidP="003F48D5">
      <w:pPr>
        <w:pStyle w:val="BodyText2"/>
        <w:spacing w:line="276" w:lineRule="auto"/>
        <w:jc w:val="both"/>
        <w:rPr>
          <w:rFonts w:asciiTheme="majorHAnsi" w:hAnsiTheme="majorHAnsi" w:cs="Arial"/>
          <w:b/>
          <w:sz w:val="20"/>
          <w:szCs w:val="20"/>
        </w:rPr>
      </w:pPr>
      <w:r w:rsidRPr="0019406C">
        <w:rPr>
          <w:rFonts w:asciiTheme="majorHAnsi" w:hAnsiTheme="majorHAnsi" w:cs="Arial"/>
          <w:b/>
          <w:sz w:val="20"/>
          <w:szCs w:val="20"/>
        </w:rPr>
        <w:t>3.</w:t>
      </w:r>
      <w:r w:rsidR="00863589">
        <w:rPr>
          <w:rFonts w:asciiTheme="majorHAnsi" w:hAnsiTheme="majorHAnsi" w:cs="Arial"/>
          <w:b/>
          <w:sz w:val="20"/>
          <w:szCs w:val="20"/>
        </w:rPr>
        <w:t xml:space="preserve"> </w:t>
      </w:r>
      <w:r w:rsidRPr="0019406C">
        <w:rPr>
          <w:rFonts w:asciiTheme="majorHAnsi" w:hAnsiTheme="majorHAnsi" w:cs="Arial"/>
          <w:b/>
          <w:sz w:val="20"/>
          <w:szCs w:val="20"/>
        </w:rPr>
        <w:t>solis – Datu faila tīrīšana un kvalitātes pārbaude</w:t>
      </w:r>
      <w:r w:rsidR="00E15DD7" w:rsidRPr="0019406C">
        <w:rPr>
          <w:rFonts w:asciiTheme="majorHAnsi" w:hAnsiTheme="majorHAnsi" w:cs="Arial"/>
          <w:b/>
          <w:sz w:val="20"/>
          <w:szCs w:val="20"/>
        </w:rPr>
        <w:t>.</w:t>
      </w:r>
    </w:p>
    <w:p w:rsidR="004C51AE" w:rsidRPr="0019406C" w:rsidRDefault="004C51AE" w:rsidP="003F48D5">
      <w:pPr>
        <w:spacing w:after="120" w:line="276" w:lineRule="auto"/>
        <w:jc w:val="both"/>
        <w:rPr>
          <w:rFonts w:asciiTheme="majorHAnsi" w:hAnsiTheme="majorHAnsi" w:cs="Arial"/>
          <w:bCs/>
          <w:iCs/>
          <w:lang w:val="lv-LV"/>
        </w:rPr>
      </w:pPr>
      <w:r w:rsidRPr="0019406C">
        <w:rPr>
          <w:rFonts w:asciiTheme="majorHAnsi" w:hAnsiTheme="majorHAnsi" w:cs="Arial"/>
          <w:bCs/>
          <w:iCs/>
          <w:lang w:val="lv-LV"/>
        </w:rPr>
        <w:t>Papildus interviju pārbaudei tika veikta arī īpaša  datu faila pārbaude, kas ļauj izslēgt no datu masīva to intervētāju anketas, kurās dominē, tā sauktās, neizskaidrojamās atbildes, kā arī anketas loģikas pārbaude.</w:t>
      </w:r>
    </w:p>
    <w:p w:rsidR="004C51AE" w:rsidRPr="0019406C" w:rsidRDefault="004C51AE" w:rsidP="003F48D5">
      <w:pPr>
        <w:pStyle w:val="BodyText2"/>
        <w:spacing w:line="276" w:lineRule="auto"/>
        <w:jc w:val="both"/>
        <w:rPr>
          <w:rFonts w:asciiTheme="majorHAnsi" w:hAnsiTheme="majorHAnsi" w:cs="Arial"/>
          <w:b/>
          <w:sz w:val="20"/>
          <w:szCs w:val="20"/>
        </w:rPr>
      </w:pPr>
      <w:r w:rsidRPr="0019406C">
        <w:rPr>
          <w:rFonts w:asciiTheme="majorHAnsi" w:hAnsiTheme="majorHAnsi" w:cs="Arial"/>
          <w:b/>
          <w:sz w:val="20"/>
          <w:szCs w:val="20"/>
        </w:rPr>
        <w:t>4.</w:t>
      </w:r>
      <w:r w:rsidR="00863589">
        <w:rPr>
          <w:rFonts w:asciiTheme="majorHAnsi" w:hAnsiTheme="majorHAnsi" w:cs="Arial"/>
          <w:b/>
          <w:sz w:val="20"/>
          <w:szCs w:val="20"/>
        </w:rPr>
        <w:t xml:space="preserve"> </w:t>
      </w:r>
      <w:r w:rsidRPr="0019406C">
        <w:rPr>
          <w:rFonts w:asciiTheme="majorHAnsi" w:hAnsiTheme="majorHAnsi" w:cs="Arial"/>
          <w:b/>
          <w:sz w:val="20"/>
          <w:szCs w:val="20"/>
        </w:rPr>
        <w:t>solis – Datu svēršana.</w:t>
      </w:r>
    </w:p>
    <w:p w:rsidR="004C51AE" w:rsidRPr="0019406C" w:rsidRDefault="004C51AE" w:rsidP="003F48D5">
      <w:pPr>
        <w:pStyle w:val="BodyText2"/>
        <w:spacing w:line="276" w:lineRule="auto"/>
        <w:jc w:val="both"/>
        <w:rPr>
          <w:rFonts w:asciiTheme="majorHAnsi" w:hAnsiTheme="majorHAnsi" w:cs="Arial"/>
          <w:sz w:val="20"/>
          <w:szCs w:val="20"/>
        </w:rPr>
      </w:pPr>
      <w:r w:rsidRPr="0019406C">
        <w:rPr>
          <w:rFonts w:asciiTheme="majorHAnsi" w:hAnsiTheme="majorHAnsi" w:cs="Arial"/>
          <w:sz w:val="20"/>
          <w:szCs w:val="20"/>
        </w:rPr>
        <w:t>D</w:t>
      </w:r>
      <w:r w:rsidRPr="0019406C">
        <w:rPr>
          <w:rFonts w:asciiTheme="majorHAnsi" w:hAnsiTheme="majorHAnsi" w:cs="Arial"/>
          <w:spacing w:val="-1"/>
          <w:sz w:val="20"/>
          <w:szCs w:val="20"/>
        </w:rPr>
        <w:t>a</w:t>
      </w:r>
      <w:r w:rsidRPr="0019406C">
        <w:rPr>
          <w:rFonts w:asciiTheme="majorHAnsi" w:hAnsiTheme="majorHAnsi" w:cs="Arial"/>
          <w:sz w:val="20"/>
          <w:szCs w:val="20"/>
        </w:rPr>
        <w:t>ti tika svē</w:t>
      </w:r>
      <w:r w:rsidRPr="0019406C">
        <w:rPr>
          <w:rFonts w:asciiTheme="majorHAnsi" w:hAnsiTheme="majorHAnsi" w:cs="Arial"/>
          <w:spacing w:val="-1"/>
          <w:sz w:val="20"/>
          <w:szCs w:val="20"/>
        </w:rPr>
        <w:t>r</w:t>
      </w:r>
      <w:r w:rsidRPr="0019406C">
        <w:rPr>
          <w:rFonts w:asciiTheme="majorHAnsi" w:hAnsiTheme="majorHAnsi" w:cs="Arial"/>
          <w:sz w:val="20"/>
          <w:szCs w:val="20"/>
        </w:rPr>
        <w:t>ti</w:t>
      </w:r>
      <w:r w:rsidRPr="0019406C">
        <w:rPr>
          <w:rFonts w:asciiTheme="majorHAnsi" w:hAnsiTheme="majorHAnsi" w:cs="Arial"/>
          <w:spacing w:val="-1"/>
          <w:sz w:val="20"/>
          <w:szCs w:val="20"/>
        </w:rPr>
        <w:t xml:space="preserve"> </w:t>
      </w:r>
      <w:r w:rsidRPr="0019406C">
        <w:rPr>
          <w:rFonts w:asciiTheme="majorHAnsi" w:hAnsiTheme="majorHAnsi" w:cs="Arial"/>
          <w:sz w:val="20"/>
          <w:szCs w:val="20"/>
        </w:rPr>
        <w:t>p</w:t>
      </w:r>
      <w:r w:rsidRPr="0019406C">
        <w:rPr>
          <w:rFonts w:asciiTheme="majorHAnsi" w:hAnsiTheme="majorHAnsi" w:cs="Arial"/>
          <w:spacing w:val="-1"/>
          <w:sz w:val="20"/>
          <w:szCs w:val="20"/>
        </w:rPr>
        <w:t>ē</w:t>
      </w:r>
      <w:r w:rsidRPr="0019406C">
        <w:rPr>
          <w:rFonts w:asciiTheme="majorHAnsi" w:hAnsiTheme="majorHAnsi" w:cs="Arial"/>
          <w:sz w:val="20"/>
          <w:szCs w:val="20"/>
        </w:rPr>
        <w:t>c</w:t>
      </w:r>
      <w:r w:rsidRPr="0019406C">
        <w:rPr>
          <w:rFonts w:asciiTheme="majorHAnsi" w:hAnsiTheme="majorHAnsi" w:cs="Arial"/>
          <w:spacing w:val="1"/>
          <w:sz w:val="20"/>
          <w:szCs w:val="20"/>
        </w:rPr>
        <w:t xml:space="preserve"> </w:t>
      </w:r>
      <w:r w:rsidRPr="0019406C">
        <w:rPr>
          <w:rFonts w:asciiTheme="majorHAnsi" w:hAnsiTheme="majorHAnsi" w:cs="Arial"/>
          <w:sz w:val="20"/>
          <w:szCs w:val="20"/>
        </w:rPr>
        <w:t>6 p</w:t>
      </w:r>
      <w:r w:rsidRPr="0019406C">
        <w:rPr>
          <w:rFonts w:asciiTheme="majorHAnsi" w:hAnsiTheme="majorHAnsi" w:cs="Arial"/>
          <w:spacing w:val="-1"/>
          <w:sz w:val="20"/>
          <w:szCs w:val="20"/>
        </w:rPr>
        <w:t>a</w:t>
      </w:r>
      <w:r w:rsidRPr="0019406C">
        <w:rPr>
          <w:rFonts w:asciiTheme="majorHAnsi" w:hAnsiTheme="majorHAnsi" w:cs="Arial"/>
          <w:spacing w:val="1"/>
          <w:sz w:val="20"/>
          <w:szCs w:val="20"/>
        </w:rPr>
        <w:t>ra</w:t>
      </w:r>
      <w:r w:rsidRPr="0019406C">
        <w:rPr>
          <w:rFonts w:asciiTheme="majorHAnsi" w:hAnsiTheme="majorHAnsi" w:cs="Arial"/>
          <w:sz w:val="20"/>
          <w:szCs w:val="20"/>
        </w:rPr>
        <w:t>metri</w:t>
      </w:r>
      <w:r w:rsidRPr="0019406C">
        <w:rPr>
          <w:rFonts w:asciiTheme="majorHAnsi" w:hAnsiTheme="majorHAnsi" w:cs="Arial"/>
          <w:spacing w:val="-1"/>
          <w:sz w:val="20"/>
          <w:szCs w:val="20"/>
        </w:rPr>
        <w:t>e</w:t>
      </w:r>
      <w:r w:rsidRPr="0019406C">
        <w:rPr>
          <w:rFonts w:asciiTheme="majorHAnsi" w:hAnsiTheme="majorHAnsi" w:cs="Arial"/>
          <w:sz w:val="20"/>
          <w:szCs w:val="20"/>
        </w:rPr>
        <w:t>m</w:t>
      </w:r>
      <w:r w:rsidRPr="0019406C">
        <w:rPr>
          <w:rFonts w:asciiTheme="majorHAnsi" w:hAnsiTheme="majorHAnsi" w:cs="Arial"/>
          <w:spacing w:val="2"/>
          <w:sz w:val="20"/>
          <w:szCs w:val="20"/>
        </w:rPr>
        <w:t xml:space="preserve"> </w:t>
      </w:r>
      <w:r w:rsidRPr="0019406C">
        <w:rPr>
          <w:rFonts w:asciiTheme="majorHAnsi" w:hAnsiTheme="majorHAnsi" w:cs="Arial"/>
          <w:sz w:val="20"/>
          <w:szCs w:val="20"/>
        </w:rPr>
        <w:t>– uzņēmumu lieluma (darbinieku skaits), juridiskās formas, darbības veida, atrašanās vietas (statistiskais reģions un apdzīvotās vietas tips), dibināšanas gada (</w:t>
      </w:r>
      <w:r w:rsidRPr="0019406C">
        <w:rPr>
          <w:rFonts w:asciiTheme="majorHAnsi" w:hAnsiTheme="majorHAnsi"/>
          <w:sz w:val="20"/>
          <w:szCs w:val="20"/>
        </w:rPr>
        <w:t xml:space="preserve">līdz 2011.gada 31.decembrim/ pēc 2012.gada 1.janvāra) </w:t>
      </w:r>
      <w:r w:rsidRPr="0019406C">
        <w:rPr>
          <w:rFonts w:asciiTheme="majorHAnsi" w:hAnsiTheme="majorHAnsi" w:cs="Arial"/>
          <w:sz w:val="20"/>
          <w:szCs w:val="20"/>
        </w:rPr>
        <w:t xml:space="preserve"> un eksporta. Datu svēršanai tika izmantota jaunākā Centrālās Statistikas pārvaldes sniegtā informācija (</w:t>
      </w:r>
      <w:r w:rsidRPr="0019406C">
        <w:rPr>
          <w:rFonts w:asciiTheme="majorHAnsi" w:hAnsiTheme="majorHAnsi"/>
          <w:sz w:val="20"/>
          <w:szCs w:val="20"/>
        </w:rPr>
        <w:t>2013.gada pirmais pusgads</w:t>
      </w:r>
      <w:r w:rsidRPr="0019406C">
        <w:rPr>
          <w:rFonts w:asciiTheme="majorHAnsi" w:hAnsiTheme="majorHAnsi" w:cs="Arial"/>
          <w:sz w:val="20"/>
          <w:szCs w:val="20"/>
        </w:rPr>
        <w:t>)  par Latvijas ekonomiski aktīvo uzņēmumu sadalījumu pēc minētajiem kritērijiem.</w:t>
      </w:r>
    </w:p>
    <w:p w:rsidR="004C51AE" w:rsidRPr="0019406C" w:rsidRDefault="004C51AE" w:rsidP="003F48D5">
      <w:pPr>
        <w:spacing w:after="120" w:line="276" w:lineRule="auto"/>
        <w:jc w:val="both"/>
        <w:rPr>
          <w:rFonts w:asciiTheme="majorHAnsi" w:hAnsiTheme="majorHAnsi"/>
          <w:lang w:val="lv-LV"/>
        </w:rPr>
      </w:pPr>
      <w:r w:rsidRPr="0019406C">
        <w:rPr>
          <w:rFonts w:asciiTheme="majorHAnsi" w:hAnsiTheme="majorHAnsi"/>
          <w:lang w:val="lv-LV"/>
        </w:rPr>
        <w:t>Rezultātu atspoguļojumos ietvertais % sadalījums un vidējās vērtības ir svērtas, bet respondentu skaits nesvērts. Nesvērts respondentu skaits norādīts, jo tas jāņem vērā nosakot iegūto rezultātu precizitāti.</w:t>
      </w:r>
    </w:p>
    <w:p w:rsidR="004C51AE" w:rsidRPr="0019406C" w:rsidRDefault="004C51AE" w:rsidP="003F48D5">
      <w:pPr>
        <w:pStyle w:val="BodyText2"/>
        <w:spacing w:line="276" w:lineRule="auto"/>
        <w:jc w:val="both"/>
        <w:rPr>
          <w:rFonts w:asciiTheme="majorHAnsi" w:hAnsiTheme="majorHAnsi" w:cs="Arial"/>
          <w:b/>
          <w:sz w:val="20"/>
          <w:szCs w:val="20"/>
        </w:rPr>
      </w:pPr>
      <w:r w:rsidRPr="0019406C">
        <w:rPr>
          <w:rFonts w:asciiTheme="majorHAnsi" w:hAnsiTheme="majorHAnsi" w:cs="Arial"/>
          <w:b/>
          <w:sz w:val="20"/>
          <w:szCs w:val="20"/>
        </w:rPr>
        <w:t>5.</w:t>
      </w:r>
      <w:r w:rsidR="00863589">
        <w:rPr>
          <w:rFonts w:asciiTheme="majorHAnsi" w:hAnsiTheme="majorHAnsi" w:cs="Arial"/>
          <w:b/>
          <w:sz w:val="20"/>
          <w:szCs w:val="20"/>
        </w:rPr>
        <w:t xml:space="preserve"> </w:t>
      </w:r>
      <w:r w:rsidRPr="0019406C">
        <w:rPr>
          <w:rFonts w:asciiTheme="majorHAnsi" w:hAnsiTheme="majorHAnsi" w:cs="Arial"/>
          <w:b/>
          <w:sz w:val="20"/>
          <w:szCs w:val="20"/>
        </w:rPr>
        <w:t>solis – Korelāciju tabulu izstrāde.</w:t>
      </w:r>
    </w:p>
    <w:p w:rsidR="004C51AE" w:rsidRDefault="004C51AE" w:rsidP="003F48D5">
      <w:pPr>
        <w:widowControl w:val="0"/>
        <w:autoSpaceDE w:val="0"/>
        <w:autoSpaceDN w:val="0"/>
        <w:adjustRightInd w:val="0"/>
        <w:spacing w:after="120" w:line="276" w:lineRule="auto"/>
        <w:ind w:right="74"/>
        <w:jc w:val="both"/>
        <w:rPr>
          <w:rFonts w:asciiTheme="majorHAnsi" w:hAnsiTheme="majorHAnsi" w:cs="Arial"/>
          <w:lang w:val="lv-LV"/>
        </w:rPr>
      </w:pPr>
      <w:r w:rsidRPr="0019406C">
        <w:rPr>
          <w:rFonts w:asciiTheme="majorHAnsi" w:hAnsiTheme="majorHAnsi" w:cs="Arial"/>
          <w:lang w:val="lv-LV"/>
        </w:rPr>
        <w:t>Tika aprēķinātas datu vidējās vērtības, korelācijas, indeksi un veidotas t</w:t>
      </w:r>
      <w:r w:rsidRPr="0019406C">
        <w:rPr>
          <w:rFonts w:asciiTheme="majorHAnsi" w:hAnsiTheme="majorHAnsi" w:cs="Arial"/>
          <w:spacing w:val="-1"/>
          <w:lang w:val="lv-LV"/>
        </w:rPr>
        <w:t>a</w:t>
      </w:r>
      <w:r w:rsidRPr="0019406C">
        <w:rPr>
          <w:rFonts w:asciiTheme="majorHAnsi" w:hAnsiTheme="majorHAnsi" w:cs="Arial"/>
          <w:lang w:val="lv-LV"/>
        </w:rPr>
        <w:t xml:space="preserve">bulas </w:t>
      </w:r>
      <w:r w:rsidRPr="0019406C">
        <w:rPr>
          <w:rFonts w:asciiTheme="majorHAnsi" w:hAnsiTheme="majorHAnsi" w:cs="Arial"/>
          <w:spacing w:val="2"/>
          <w:lang w:val="lv-LV"/>
        </w:rPr>
        <w:t>p</w:t>
      </w:r>
      <w:r w:rsidRPr="0019406C">
        <w:rPr>
          <w:rFonts w:asciiTheme="majorHAnsi" w:hAnsiTheme="majorHAnsi" w:cs="Arial"/>
          <w:spacing w:val="-1"/>
          <w:lang w:val="lv-LV"/>
        </w:rPr>
        <w:t>a</w:t>
      </w:r>
      <w:r w:rsidRPr="0019406C">
        <w:rPr>
          <w:rFonts w:asciiTheme="majorHAnsi" w:hAnsiTheme="majorHAnsi" w:cs="Arial"/>
          <w:lang w:val="lv-LV"/>
        </w:rPr>
        <w:t>r k</w:t>
      </w:r>
      <w:r w:rsidRPr="0019406C">
        <w:rPr>
          <w:rFonts w:asciiTheme="majorHAnsi" w:hAnsiTheme="majorHAnsi" w:cs="Arial"/>
          <w:spacing w:val="-2"/>
          <w:lang w:val="lv-LV"/>
        </w:rPr>
        <w:t>a</w:t>
      </w:r>
      <w:r w:rsidRPr="0019406C">
        <w:rPr>
          <w:rFonts w:asciiTheme="majorHAnsi" w:hAnsiTheme="majorHAnsi" w:cs="Arial"/>
          <w:spacing w:val="3"/>
          <w:lang w:val="lv-LV"/>
        </w:rPr>
        <w:t>t</w:t>
      </w:r>
      <w:r w:rsidRPr="0019406C">
        <w:rPr>
          <w:rFonts w:asciiTheme="majorHAnsi" w:hAnsiTheme="majorHAnsi" w:cs="Arial"/>
          <w:lang w:val="lv-LV"/>
        </w:rPr>
        <w:t>ru jautājumu atspoguļojot rezultātus visās uzņēmumu grupās pēc iepriekš definētajiem kritērijiem</w:t>
      </w:r>
      <w:r w:rsidR="00133318" w:rsidRPr="0019406C">
        <w:rPr>
          <w:rFonts w:asciiTheme="majorHAnsi" w:hAnsiTheme="majorHAnsi" w:cs="Arial"/>
          <w:lang w:val="lv-LV"/>
        </w:rPr>
        <w:t>– galvenais darbības sektors, juridiskā forma, uzņēmumu lielums pēc darbinieku skaita, uzņēmuma reģistrēšanas gads, reģions, ir/ nav eksports.</w:t>
      </w:r>
    </w:p>
    <w:p w:rsidR="003F48D5" w:rsidRDefault="003F48D5" w:rsidP="003F48D5">
      <w:pPr>
        <w:widowControl w:val="0"/>
        <w:autoSpaceDE w:val="0"/>
        <w:autoSpaceDN w:val="0"/>
        <w:adjustRightInd w:val="0"/>
        <w:spacing w:after="120" w:line="276" w:lineRule="auto"/>
        <w:ind w:right="74"/>
        <w:jc w:val="both"/>
        <w:rPr>
          <w:rFonts w:asciiTheme="majorHAnsi" w:hAnsiTheme="majorHAnsi" w:cs="Arial"/>
          <w:lang w:val="lv-LV"/>
        </w:rPr>
      </w:pPr>
    </w:p>
    <w:p w:rsidR="003F48D5" w:rsidRDefault="003F48D5" w:rsidP="003F48D5">
      <w:pPr>
        <w:widowControl w:val="0"/>
        <w:autoSpaceDE w:val="0"/>
        <w:autoSpaceDN w:val="0"/>
        <w:adjustRightInd w:val="0"/>
        <w:spacing w:after="120" w:line="276" w:lineRule="auto"/>
        <w:ind w:right="74"/>
        <w:jc w:val="both"/>
        <w:rPr>
          <w:rFonts w:asciiTheme="majorHAnsi" w:hAnsiTheme="majorHAnsi" w:cs="Arial"/>
          <w:lang w:val="lv-LV"/>
        </w:rPr>
      </w:pPr>
    </w:p>
    <w:p w:rsidR="003F48D5" w:rsidRPr="0019406C" w:rsidRDefault="003F48D5" w:rsidP="003F48D5">
      <w:pPr>
        <w:widowControl w:val="0"/>
        <w:autoSpaceDE w:val="0"/>
        <w:autoSpaceDN w:val="0"/>
        <w:adjustRightInd w:val="0"/>
        <w:spacing w:after="120" w:line="276" w:lineRule="auto"/>
        <w:ind w:right="74"/>
        <w:jc w:val="both"/>
        <w:rPr>
          <w:rFonts w:asciiTheme="majorHAnsi" w:hAnsiTheme="majorHAnsi" w:cs="Arial"/>
          <w:lang w:val="lv-LV"/>
        </w:rPr>
      </w:pPr>
    </w:p>
    <w:p w:rsidR="004C51AE" w:rsidRPr="0019406C" w:rsidRDefault="004C51AE" w:rsidP="004C51AE">
      <w:pPr>
        <w:spacing w:after="120"/>
        <w:jc w:val="both"/>
        <w:rPr>
          <w:rFonts w:asciiTheme="majorHAnsi" w:hAnsiTheme="majorHAnsi"/>
          <w:lang w:val="lv-LV"/>
        </w:rPr>
      </w:pPr>
    </w:p>
    <w:p w:rsidR="004C51AE" w:rsidRPr="0019406C" w:rsidRDefault="004C51AE" w:rsidP="00636B98">
      <w:pPr>
        <w:pStyle w:val="Heading2"/>
        <w:rPr>
          <w:lang w:val="lv-LV"/>
        </w:rPr>
      </w:pPr>
      <w:bookmarkStart w:id="42" w:name="_Toc389226074"/>
      <w:r w:rsidRPr="0019406C">
        <w:rPr>
          <w:lang w:val="lv-LV"/>
        </w:rPr>
        <w:lastRenderedPageBreak/>
        <w:t>Aptaujas tehniskā informācija</w:t>
      </w:r>
      <w:bookmarkEnd w:id="42"/>
    </w:p>
    <w:p w:rsidR="004C51AE" w:rsidRPr="0019406C" w:rsidRDefault="004C51AE" w:rsidP="004C51AE">
      <w:pPr>
        <w:rPr>
          <w:rFonts w:asciiTheme="majorHAnsi" w:hAnsiTheme="majorHAnsi"/>
          <w:lang w:val="lv-LV"/>
        </w:rPr>
      </w:pPr>
    </w:p>
    <w:tbl>
      <w:tblPr>
        <w:tblW w:w="8989" w:type="dxa"/>
        <w:tblInd w:w="-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firstRow="1" w:lastRow="0" w:firstColumn="1" w:lastColumn="0" w:noHBand="0" w:noVBand="0"/>
      </w:tblPr>
      <w:tblGrid>
        <w:gridCol w:w="3715"/>
        <w:gridCol w:w="5274"/>
      </w:tblGrid>
      <w:tr w:rsidR="004C51AE" w:rsidRPr="0019406C" w:rsidTr="00410E0A">
        <w:tc>
          <w:tcPr>
            <w:tcW w:w="3715" w:type="dxa"/>
          </w:tcPr>
          <w:p w:rsidR="004C51AE" w:rsidRPr="0019406C" w:rsidRDefault="004C51AE" w:rsidP="003F48D5">
            <w:pPr>
              <w:tabs>
                <w:tab w:val="left" w:pos="3544"/>
              </w:tabs>
              <w:spacing w:after="0" w:line="276" w:lineRule="auto"/>
              <w:rPr>
                <w:rFonts w:asciiTheme="majorHAnsi" w:hAnsiTheme="majorHAnsi"/>
                <w:lang w:val="lv-LV"/>
              </w:rPr>
            </w:pPr>
            <w:r w:rsidRPr="0019406C">
              <w:rPr>
                <w:rFonts w:asciiTheme="majorHAnsi" w:hAnsiTheme="majorHAnsi"/>
                <w:lang w:val="lv-LV"/>
              </w:rPr>
              <w:t>Pētījuma realizētājs:</w:t>
            </w:r>
          </w:p>
        </w:tc>
        <w:tc>
          <w:tcPr>
            <w:tcW w:w="5274" w:type="dxa"/>
            <w:vAlign w:val="center"/>
          </w:tcPr>
          <w:p w:rsidR="004C51AE" w:rsidRPr="0019406C" w:rsidRDefault="004C51AE" w:rsidP="003F48D5">
            <w:pPr>
              <w:tabs>
                <w:tab w:val="left" w:pos="3544"/>
              </w:tabs>
              <w:spacing w:after="0" w:line="276" w:lineRule="auto"/>
              <w:jc w:val="both"/>
              <w:rPr>
                <w:rFonts w:asciiTheme="majorHAnsi" w:hAnsiTheme="majorHAnsi"/>
                <w:lang w:val="lv-LV"/>
              </w:rPr>
            </w:pPr>
            <w:r w:rsidRPr="0019406C">
              <w:rPr>
                <w:rFonts w:asciiTheme="majorHAnsi" w:hAnsiTheme="majorHAnsi"/>
                <w:lang w:val="lv-LV"/>
              </w:rPr>
              <w:t>Tirgus un sociālo pētījumu centrs SIA „ Latvijas Fakti”</w:t>
            </w:r>
          </w:p>
        </w:tc>
      </w:tr>
      <w:tr w:rsidR="004C51AE" w:rsidRPr="0019406C" w:rsidTr="00410E0A">
        <w:tc>
          <w:tcPr>
            <w:tcW w:w="3715" w:type="dxa"/>
          </w:tcPr>
          <w:p w:rsidR="004C51AE" w:rsidRPr="0019406C" w:rsidRDefault="004C51AE" w:rsidP="003F48D5">
            <w:pPr>
              <w:tabs>
                <w:tab w:val="left" w:pos="3544"/>
              </w:tabs>
              <w:spacing w:after="0" w:line="276" w:lineRule="auto"/>
              <w:rPr>
                <w:rFonts w:asciiTheme="majorHAnsi" w:hAnsiTheme="majorHAnsi"/>
                <w:lang w:val="lv-LV"/>
              </w:rPr>
            </w:pPr>
            <w:r w:rsidRPr="0019406C">
              <w:rPr>
                <w:rFonts w:asciiTheme="majorHAnsi" w:hAnsiTheme="majorHAnsi"/>
                <w:lang w:val="lv-LV"/>
              </w:rPr>
              <w:t>Pētījuma pasūtītājs:</w:t>
            </w:r>
          </w:p>
        </w:tc>
        <w:tc>
          <w:tcPr>
            <w:tcW w:w="5274" w:type="dxa"/>
            <w:vAlign w:val="center"/>
          </w:tcPr>
          <w:p w:rsidR="004C51AE" w:rsidRPr="0019406C" w:rsidRDefault="004C51AE" w:rsidP="003F48D5">
            <w:pPr>
              <w:tabs>
                <w:tab w:val="left" w:pos="3544"/>
              </w:tabs>
              <w:spacing w:after="0" w:line="276" w:lineRule="auto"/>
              <w:jc w:val="both"/>
              <w:rPr>
                <w:rFonts w:asciiTheme="majorHAnsi" w:hAnsiTheme="majorHAnsi"/>
                <w:lang w:val="lv-LV"/>
              </w:rPr>
            </w:pPr>
            <w:r w:rsidRPr="0019406C">
              <w:rPr>
                <w:rFonts w:asciiTheme="majorHAnsi" w:hAnsiTheme="majorHAnsi"/>
                <w:lang w:val="lv-LV"/>
              </w:rPr>
              <w:t>LR Ekonomikas ministrija</w:t>
            </w:r>
          </w:p>
        </w:tc>
      </w:tr>
      <w:tr w:rsidR="004C51AE" w:rsidRPr="00BB0049" w:rsidTr="00410E0A">
        <w:tc>
          <w:tcPr>
            <w:tcW w:w="3715" w:type="dxa"/>
          </w:tcPr>
          <w:p w:rsidR="004C51AE" w:rsidRPr="0019406C" w:rsidRDefault="004C51AE" w:rsidP="003F48D5">
            <w:pPr>
              <w:tabs>
                <w:tab w:val="left" w:pos="3544"/>
              </w:tabs>
              <w:spacing w:after="0" w:line="276" w:lineRule="auto"/>
              <w:rPr>
                <w:rFonts w:asciiTheme="majorHAnsi" w:hAnsiTheme="majorHAnsi"/>
                <w:lang w:val="lv-LV"/>
              </w:rPr>
            </w:pPr>
            <w:r w:rsidRPr="0019406C">
              <w:rPr>
                <w:rFonts w:asciiTheme="majorHAnsi" w:hAnsiTheme="majorHAnsi"/>
                <w:lang w:val="lv-LV"/>
              </w:rPr>
              <w:t>Pētījuma nosaukums:</w:t>
            </w:r>
          </w:p>
        </w:tc>
        <w:tc>
          <w:tcPr>
            <w:tcW w:w="5274" w:type="dxa"/>
            <w:vAlign w:val="center"/>
          </w:tcPr>
          <w:p w:rsidR="004C51AE" w:rsidRPr="0019406C" w:rsidRDefault="004C51AE" w:rsidP="003F48D5">
            <w:pPr>
              <w:tabs>
                <w:tab w:val="left" w:pos="3544"/>
              </w:tabs>
              <w:spacing w:after="0" w:line="276" w:lineRule="auto"/>
              <w:jc w:val="both"/>
              <w:rPr>
                <w:rFonts w:asciiTheme="majorHAnsi" w:hAnsiTheme="majorHAnsi"/>
                <w:lang w:val="lv-LV"/>
              </w:rPr>
            </w:pPr>
            <w:r w:rsidRPr="0019406C">
              <w:rPr>
                <w:rFonts w:asciiTheme="majorHAnsi" w:hAnsiTheme="majorHAnsi"/>
                <w:lang w:val="lv-LV"/>
              </w:rPr>
              <w:t>Uzņēmēju aptauja „Administratīvās procedūras un uzņēmējdarbības vide Latvijā 2001.</w:t>
            </w:r>
            <w:r w:rsidR="00863589">
              <w:rPr>
                <w:rFonts w:asciiTheme="majorHAnsi" w:hAnsiTheme="majorHAnsi"/>
                <w:lang w:val="lv-LV"/>
              </w:rPr>
              <w:t xml:space="preserve"> – </w:t>
            </w:r>
            <w:r w:rsidRPr="0019406C">
              <w:rPr>
                <w:rFonts w:asciiTheme="majorHAnsi" w:hAnsiTheme="majorHAnsi"/>
                <w:lang w:val="lv-LV"/>
              </w:rPr>
              <w:t>2013. gads"</w:t>
            </w:r>
          </w:p>
        </w:tc>
      </w:tr>
      <w:tr w:rsidR="004C51AE" w:rsidRPr="0019406C" w:rsidTr="00410E0A">
        <w:tc>
          <w:tcPr>
            <w:tcW w:w="3715" w:type="dxa"/>
          </w:tcPr>
          <w:p w:rsidR="004C51AE" w:rsidRPr="0019406C" w:rsidRDefault="004C51AE" w:rsidP="003F48D5">
            <w:pPr>
              <w:tabs>
                <w:tab w:val="left" w:pos="3544"/>
              </w:tabs>
              <w:spacing w:after="0" w:line="276" w:lineRule="auto"/>
              <w:rPr>
                <w:rFonts w:asciiTheme="majorHAnsi" w:hAnsiTheme="majorHAnsi"/>
                <w:lang w:val="lv-LV"/>
              </w:rPr>
            </w:pPr>
            <w:r w:rsidRPr="0019406C">
              <w:rPr>
                <w:rFonts w:asciiTheme="majorHAnsi" w:hAnsiTheme="majorHAnsi"/>
                <w:lang w:val="lv-LV"/>
              </w:rPr>
              <w:t>Pētījuma realizācijas laiks:</w:t>
            </w:r>
          </w:p>
        </w:tc>
        <w:tc>
          <w:tcPr>
            <w:tcW w:w="5274" w:type="dxa"/>
            <w:vAlign w:val="center"/>
          </w:tcPr>
          <w:p w:rsidR="004C51AE" w:rsidRPr="0019406C" w:rsidRDefault="004C51AE" w:rsidP="003F48D5">
            <w:pPr>
              <w:tabs>
                <w:tab w:val="left" w:pos="3544"/>
              </w:tabs>
              <w:spacing w:after="0" w:line="276" w:lineRule="auto"/>
              <w:jc w:val="both"/>
              <w:rPr>
                <w:rFonts w:asciiTheme="majorHAnsi" w:hAnsiTheme="majorHAnsi"/>
                <w:lang w:val="lv-LV"/>
              </w:rPr>
            </w:pPr>
            <w:r w:rsidRPr="0019406C">
              <w:rPr>
                <w:rFonts w:asciiTheme="majorHAnsi" w:hAnsiTheme="majorHAnsi"/>
                <w:lang w:val="lv-LV"/>
              </w:rPr>
              <w:t>2013. gada novembris – 2014. gada marts</w:t>
            </w:r>
          </w:p>
        </w:tc>
      </w:tr>
      <w:tr w:rsidR="004C51AE" w:rsidRPr="0019406C" w:rsidTr="00410E0A">
        <w:tc>
          <w:tcPr>
            <w:tcW w:w="3715" w:type="dxa"/>
          </w:tcPr>
          <w:p w:rsidR="004C51AE" w:rsidRPr="0019406C" w:rsidRDefault="004C51AE" w:rsidP="003F48D5">
            <w:pPr>
              <w:tabs>
                <w:tab w:val="left" w:pos="3544"/>
              </w:tabs>
              <w:spacing w:after="0" w:line="276" w:lineRule="auto"/>
              <w:rPr>
                <w:rFonts w:asciiTheme="majorHAnsi" w:hAnsiTheme="majorHAnsi"/>
                <w:lang w:val="lv-LV"/>
              </w:rPr>
            </w:pPr>
            <w:r w:rsidRPr="0019406C">
              <w:rPr>
                <w:rFonts w:asciiTheme="majorHAnsi" w:hAnsiTheme="majorHAnsi"/>
                <w:lang w:val="lv-LV"/>
              </w:rPr>
              <w:t>Aptaujas lauka darba realizācijas laiks:</w:t>
            </w:r>
          </w:p>
        </w:tc>
        <w:tc>
          <w:tcPr>
            <w:tcW w:w="5274" w:type="dxa"/>
            <w:vAlign w:val="center"/>
          </w:tcPr>
          <w:p w:rsidR="004C51AE" w:rsidRPr="0019406C" w:rsidRDefault="004C51AE" w:rsidP="003F48D5">
            <w:pPr>
              <w:tabs>
                <w:tab w:val="left" w:pos="3544"/>
              </w:tabs>
              <w:spacing w:after="0" w:line="276" w:lineRule="auto"/>
              <w:jc w:val="both"/>
              <w:rPr>
                <w:rFonts w:asciiTheme="majorHAnsi" w:hAnsiTheme="majorHAnsi"/>
                <w:lang w:val="lv-LV"/>
              </w:rPr>
            </w:pPr>
            <w:r w:rsidRPr="0019406C">
              <w:rPr>
                <w:rFonts w:asciiTheme="majorHAnsi" w:hAnsiTheme="majorHAnsi"/>
                <w:lang w:val="lv-LV"/>
              </w:rPr>
              <w:t>2013. gada 9.</w:t>
            </w:r>
            <w:r w:rsidR="00863589">
              <w:rPr>
                <w:rFonts w:asciiTheme="majorHAnsi" w:hAnsiTheme="majorHAnsi"/>
                <w:lang w:val="lv-LV"/>
              </w:rPr>
              <w:t xml:space="preserve"> </w:t>
            </w:r>
            <w:r w:rsidRPr="0019406C">
              <w:rPr>
                <w:rFonts w:asciiTheme="majorHAnsi" w:hAnsiTheme="majorHAnsi"/>
                <w:lang w:val="lv-LV"/>
              </w:rPr>
              <w:t>decembris – 2014.</w:t>
            </w:r>
            <w:r w:rsidR="00863589">
              <w:rPr>
                <w:rFonts w:asciiTheme="majorHAnsi" w:hAnsiTheme="majorHAnsi"/>
                <w:lang w:val="lv-LV"/>
              </w:rPr>
              <w:t xml:space="preserve"> </w:t>
            </w:r>
            <w:r w:rsidRPr="0019406C">
              <w:rPr>
                <w:rFonts w:asciiTheme="majorHAnsi" w:hAnsiTheme="majorHAnsi"/>
                <w:lang w:val="lv-LV"/>
              </w:rPr>
              <w:t>gada 28. februāris</w:t>
            </w:r>
          </w:p>
        </w:tc>
      </w:tr>
      <w:tr w:rsidR="004C51AE" w:rsidRPr="0019406C" w:rsidTr="00410E0A">
        <w:tc>
          <w:tcPr>
            <w:tcW w:w="3715" w:type="dxa"/>
          </w:tcPr>
          <w:p w:rsidR="004C51AE" w:rsidRPr="0019406C" w:rsidRDefault="004C51AE" w:rsidP="003F48D5">
            <w:pPr>
              <w:tabs>
                <w:tab w:val="left" w:pos="3544"/>
              </w:tabs>
              <w:spacing w:after="0" w:line="276" w:lineRule="auto"/>
              <w:rPr>
                <w:rFonts w:asciiTheme="majorHAnsi" w:hAnsiTheme="majorHAnsi"/>
                <w:lang w:val="lv-LV"/>
              </w:rPr>
            </w:pPr>
            <w:r w:rsidRPr="0019406C">
              <w:rPr>
                <w:rFonts w:asciiTheme="majorHAnsi" w:hAnsiTheme="majorHAnsi"/>
                <w:lang w:val="lv-LV"/>
              </w:rPr>
              <w:t>Aptaujas ģenerālais kopums:</w:t>
            </w:r>
          </w:p>
        </w:tc>
        <w:tc>
          <w:tcPr>
            <w:tcW w:w="5274" w:type="dxa"/>
            <w:vAlign w:val="center"/>
          </w:tcPr>
          <w:p w:rsidR="004C51AE" w:rsidRPr="0019406C" w:rsidRDefault="004C51AE" w:rsidP="003F48D5">
            <w:pPr>
              <w:tabs>
                <w:tab w:val="left" w:pos="3544"/>
              </w:tabs>
              <w:spacing w:after="0" w:line="276" w:lineRule="auto"/>
              <w:rPr>
                <w:rFonts w:asciiTheme="majorHAnsi" w:hAnsiTheme="majorHAnsi"/>
                <w:lang w:val="lv-LV"/>
              </w:rPr>
            </w:pPr>
            <w:r w:rsidRPr="0019406C">
              <w:rPr>
                <w:rFonts w:asciiTheme="majorHAnsi" w:hAnsiTheme="majorHAnsi"/>
                <w:lang w:val="lv-LV"/>
              </w:rPr>
              <w:t>Latvijas ekonomiski aktīvie uzņēmumi (komercsabiedrības un individuālie komersanti)</w:t>
            </w:r>
          </w:p>
        </w:tc>
      </w:tr>
      <w:tr w:rsidR="004C51AE" w:rsidRPr="00BB0049" w:rsidTr="00410E0A">
        <w:tc>
          <w:tcPr>
            <w:tcW w:w="3715" w:type="dxa"/>
          </w:tcPr>
          <w:p w:rsidR="004C51AE" w:rsidRPr="0019406C" w:rsidRDefault="004C51AE" w:rsidP="003F48D5">
            <w:pPr>
              <w:tabs>
                <w:tab w:val="left" w:pos="3544"/>
              </w:tabs>
              <w:spacing w:after="0" w:line="276" w:lineRule="auto"/>
              <w:rPr>
                <w:rFonts w:asciiTheme="majorHAnsi" w:hAnsiTheme="majorHAnsi"/>
                <w:lang w:val="lv-LV"/>
              </w:rPr>
            </w:pPr>
            <w:r w:rsidRPr="0019406C">
              <w:rPr>
                <w:rFonts w:asciiTheme="majorHAnsi" w:hAnsiTheme="majorHAnsi"/>
                <w:lang w:val="lv-LV"/>
              </w:rPr>
              <w:t>Respondenti:</w:t>
            </w:r>
          </w:p>
        </w:tc>
        <w:tc>
          <w:tcPr>
            <w:tcW w:w="5274" w:type="dxa"/>
            <w:vAlign w:val="center"/>
          </w:tcPr>
          <w:p w:rsidR="004C51AE" w:rsidRPr="0019406C" w:rsidRDefault="004C51AE" w:rsidP="003F48D5">
            <w:pPr>
              <w:tabs>
                <w:tab w:val="left" w:pos="3544"/>
              </w:tabs>
              <w:spacing w:after="0" w:line="276" w:lineRule="auto"/>
              <w:jc w:val="both"/>
              <w:rPr>
                <w:rFonts w:asciiTheme="majorHAnsi" w:hAnsiTheme="majorHAnsi"/>
                <w:lang w:val="lv-LV"/>
              </w:rPr>
            </w:pPr>
            <w:r w:rsidRPr="0019406C">
              <w:rPr>
                <w:rFonts w:asciiTheme="majorHAnsi" w:hAnsiTheme="majorHAnsi"/>
                <w:lang w:val="lv-LV"/>
              </w:rPr>
              <w:t>Dalībai aptaujā tika aicināta augstākā amatpersona uzņēmumā</w:t>
            </w:r>
          </w:p>
        </w:tc>
      </w:tr>
      <w:tr w:rsidR="004C51AE" w:rsidRPr="0019406C" w:rsidTr="00410E0A">
        <w:tc>
          <w:tcPr>
            <w:tcW w:w="3715" w:type="dxa"/>
          </w:tcPr>
          <w:p w:rsidR="004C51AE" w:rsidRPr="0019406C" w:rsidRDefault="004C51AE" w:rsidP="003F48D5">
            <w:pPr>
              <w:tabs>
                <w:tab w:val="left" w:pos="3544"/>
              </w:tabs>
              <w:spacing w:after="0" w:line="276" w:lineRule="auto"/>
              <w:rPr>
                <w:rFonts w:asciiTheme="majorHAnsi" w:hAnsiTheme="majorHAnsi"/>
                <w:lang w:val="lv-LV"/>
              </w:rPr>
            </w:pPr>
            <w:r w:rsidRPr="0019406C">
              <w:rPr>
                <w:rFonts w:asciiTheme="majorHAnsi" w:hAnsiTheme="majorHAnsi"/>
                <w:lang w:val="lv-LV"/>
              </w:rPr>
              <w:t>Plānotās izlases apjoms:</w:t>
            </w:r>
          </w:p>
        </w:tc>
        <w:tc>
          <w:tcPr>
            <w:tcW w:w="5274" w:type="dxa"/>
            <w:vAlign w:val="center"/>
          </w:tcPr>
          <w:p w:rsidR="004C51AE" w:rsidRPr="0019406C" w:rsidRDefault="004C51AE" w:rsidP="003F48D5">
            <w:pPr>
              <w:tabs>
                <w:tab w:val="left" w:pos="3544"/>
              </w:tabs>
              <w:spacing w:after="0" w:line="276" w:lineRule="auto"/>
              <w:jc w:val="both"/>
              <w:rPr>
                <w:rFonts w:asciiTheme="majorHAnsi" w:hAnsiTheme="majorHAnsi"/>
                <w:lang w:val="lv-LV"/>
              </w:rPr>
            </w:pPr>
            <w:r w:rsidRPr="0019406C">
              <w:rPr>
                <w:rFonts w:asciiTheme="majorHAnsi" w:hAnsiTheme="majorHAnsi"/>
                <w:lang w:val="lv-LV"/>
              </w:rPr>
              <w:t>700 respondenti</w:t>
            </w:r>
          </w:p>
        </w:tc>
      </w:tr>
      <w:tr w:rsidR="004C51AE" w:rsidRPr="0019406C" w:rsidTr="00410E0A">
        <w:tc>
          <w:tcPr>
            <w:tcW w:w="3715" w:type="dxa"/>
          </w:tcPr>
          <w:p w:rsidR="004C51AE" w:rsidRPr="0019406C" w:rsidRDefault="004C51AE" w:rsidP="003F48D5">
            <w:pPr>
              <w:tabs>
                <w:tab w:val="left" w:pos="3544"/>
              </w:tabs>
              <w:spacing w:after="0" w:line="276" w:lineRule="auto"/>
              <w:rPr>
                <w:rFonts w:asciiTheme="majorHAnsi" w:hAnsiTheme="majorHAnsi"/>
                <w:lang w:val="lv-LV"/>
              </w:rPr>
            </w:pPr>
            <w:r w:rsidRPr="0019406C">
              <w:rPr>
                <w:rFonts w:asciiTheme="majorHAnsi" w:hAnsiTheme="majorHAnsi"/>
                <w:lang w:val="lv-LV"/>
              </w:rPr>
              <w:t>Sasniegtās izlases apjoms:</w:t>
            </w:r>
          </w:p>
        </w:tc>
        <w:tc>
          <w:tcPr>
            <w:tcW w:w="5274" w:type="dxa"/>
            <w:vAlign w:val="center"/>
          </w:tcPr>
          <w:p w:rsidR="004C51AE" w:rsidRPr="0019406C" w:rsidRDefault="00F241CD" w:rsidP="003F48D5">
            <w:pPr>
              <w:tabs>
                <w:tab w:val="left" w:pos="3544"/>
              </w:tabs>
              <w:spacing w:after="0" w:line="276" w:lineRule="auto"/>
              <w:jc w:val="both"/>
              <w:rPr>
                <w:rFonts w:asciiTheme="majorHAnsi" w:hAnsiTheme="majorHAnsi"/>
                <w:lang w:val="lv-LV"/>
              </w:rPr>
            </w:pPr>
            <w:r w:rsidRPr="0019406C">
              <w:rPr>
                <w:rFonts w:asciiTheme="majorHAnsi" w:hAnsiTheme="majorHAnsi"/>
                <w:lang w:val="lv-LV"/>
              </w:rPr>
              <w:t>734</w:t>
            </w:r>
            <w:r w:rsidR="004C51AE" w:rsidRPr="0019406C">
              <w:rPr>
                <w:rFonts w:asciiTheme="majorHAnsi" w:hAnsiTheme="majorHAnsi"/>
                <w:lang w:val="lv-LV"/>
              </w:rPr>
              <w:t xml:space="preserve"> respondenti</w:t>
            </w:r>
          </w:p>
        </w:tc>
      </w:tr>
      <w:tr w:rsidR="004C51AE" w:rsidRPr="00BB0049" w:rsidTr="00410E0A">
        <w:tc>
          <w:tcPr>
            <w:tcW w:w="3715" w:type="dxa"/>
          </w:tcPr>
          <w:p w:rsidR="004C51AE" w:rsidRPr="0019406C" w:rsidRDefault="004C51AE" w:rsidP="003F48D5">
            <w:pPr>
              <w:tabs>
                <w:tab w:val="left" w:pos="3544"/>
              </w:tabs>
              <w:spacing w:after="0" w:line="276" w:lineRule="auto"/>
              <w:rPr>
                <w:rFonts w:asciiTheme="majorHAnsi" w:hAnsiTheme="majorHAnsi"/>
                <w:lang w:val="lv-LV"/>
              </w:rPr>
            </w:pPr>
            <w:r w:rsidRPr="0019406C">
              <w:rPr>
                <w:rFonts w:asciiTheme="majorHAnsi" w:hAnsiTheme="majorHAnsi"/>
                <w:lang w:val="lv-LV"/>
              </w:rPr>
              <w:t>Izlases veidošanas princips:</w:t>
            </w:r>
          </w:p>
        </w:tc>
        <w:tc>
          <w:tcPr>
            <w:tcW w:w="5274" w:type="dxa"/>
            <w:vAlign w:val="center"/>
          </w:tcPr>
          <w:p w:rsidR="004C51AE" w:rsidRPr="0019406C" w:rsidRDefault="004C51AE" w:rsidP="003F48D5">
            <w:pPr>
              <w:tabs>
                <w:tab w:val="left" w:pos="3544"/>
              </w:tabs>
              <w:spacing w:after="0" w:line="276" w:lineRule="auto"/>
              <w:jc w:val="both"/>
              <w:rPr>
                <w:rFonts w:asciiTheme="majorHAnsi" w:hAnsiTheme="majorHAnsi"/>
                <w:lang w:val="lv-LV"/>
              </w:rPr>
            </w:pPr>
            <w:r w:rsidRPr="0019406C">
              <w:rPr>
                <w:rFonts w:asciiTheme="majorHAnsi" w:hAnsiTheme="majorHAnsi"/>
                <w:lang w:val="lv-LV"/>
              </w:rPr>
              <w:t>Nejaušā stratificētā izlase no Centrālās statistikas pārvaldes ekonomiski aktīvo uzņēmumu datu bāzes atbilstoši noteiktajām stratifikācijas pazīmēm</w:t>
            </w:r>
          </w:p>
        </w:tc>
      </w:tr>
      <w:tr w:rsidR="004C51AE" w:rsidRPr="0019406C" w:rsidTr="00410E0A">
        <w:tc>
          <w:tcPr>
            <w:tcW w:w="3715" w:type="dxa"/>
          </w:tcPr>
          <w:p w:rsidR="004C51AE" w:rsidRPr="0019406C" w:rsidRDefault="004C51AE" w:rsidP="003F48D5">
            <w:pPr>
              <w:tabs>
                <w:tab w:val="left" w:pos="3544"/>
              </w:tabs>
              <w:spacing w:after="0" w:line="276" w:lineRule="auto"/>
              <w:rPr>
                <w:rFonts w:asciiTheme="majorHAnsi" w:hAnsiTheme="majorHAnsi"/>
                <w:lang w:val="lv-LV"/>
              </w:rPr>
            </w:pPr>
            <w:r w:rsidRPr="0019406C">
              <w:rPr>
                <w:rFonts w:asciiTheme="majorHAnsi" w:hAnsiTheme="majorHAnsi"/>
                <w:lang w:val="lv-LV"/>
              </w:rPr>
              <w:t>Aptaujas metode:</w:t>
            </w:r>
          </w:p>
        </w:tc>
        <w:tc>
          <w:tcPr>
            <w:tcW w:w="5274" w:type="dxa"/>
            <w:vAlign w:val="center"/>
          </w:tcPr>
          <w:p w:rsidR="004C51AE" w:rsidRPr="0019406C" w:rsidRDefault="004C51AE" w:rsidP="003F48D5">
            <w:pPr>
              <w:tabs>
                <w:tab w:val="left" w:pos="3544"/>
              </w:tabs>
              <w:spacing w:after="0" w:line="276" w:lineRule="auto"/>
              <w:jc w:val="both"/>
              <w:rPr>
                <w:rFonts w:asciiTheme="majorHAnsi" w:hAnsiTheme="majorHAnsi"/>
                <w:lang w:val="lv-LV"/>
              </w:rPr>
            </w:pPr>
            <w:r w:rsidRPr="0019406C">
              <w:rPr>
                <w:rFonts w:asciiTheme="majorHAnsi" w:hAnsiTheme="majorHAnsi"/>
                <w:lang w:val="lv-LV"/>
              </w:rPr>
              <w:t>Tiešās intervijas uzņēmumos</w:t>
            </w:r>
          </w:p>
        </w:tc>
      </w:tr>
      <w:tr w:rsidR="004C51AE" w:rsidRPr="0019406C" w:rsidTr="006B022F">
        <w:trPr>
          <w:trHeight w:val="317"/>
        </w:trPr>
        <w:tc>
          <w:tcPr>
            <w:tcW w:w="3715" w:type="dxa"/>
          </w:tcPr>
          <w:p w:rsidR="004C51AE" w:rsidRPr="0019406C" w:rsidRDefault="004C51AE" w:rsidP="003F48D5">
            <w:pPr>
              <w:tabs>
                <w:tab w:val="left" w:pos="3544"/>
              </w:tabs>
              <w:spacing w:after="0" w:line="276" w:lineRule="auto"/>
              <w:rPr>
                <w:rFonts w:asciiTheme="majorHAnsi" w:hAnsiTheme="majorHAnsi"/>
                <w:lang w:val="lv-LV"/>
              </w:rPr>
            </w:pPr>
            <w:r w:rsidRPr="0019406C">
              <w:rPr>
                <w:rFonts w:asciiTheme="majorHAnsi" w:hAnsiTheme="majorHAnsi"/>
                <w:lang w:val="lv-LV"/>
              </w:rPr>
              <w:t>Intervētāju skaits:</w:t>
            </w:r>
          </w:p>
        </w:tc>
        <w:tc>
          <w:tcPr>
            <w:tcW w:w="5274" w:type="dxa"/>
            <w:vAlign w:val="center"/>
          </w:tcPr>
          <w:p w:rsidR="004C51AE" w:rsidRPr="0019406C" w:rsidRDefault="004C51AE" w:rsidP="003F48D5">
            <w:pPr>
              <w:tabs>
                <w:tab w:val="left" w:pos="3544"/>
              </w:tabs>
              <w:spacing w:after="0" w:line="276" w:lineRule="auto"/>
              <w:jc w:val="both"/>
              <w:rPr>
                <w:rFonts w:asciiTheme="majorHAnsi" w:hAnsiTheme="majorHAnsi"/>
                <w:lang w:val="lv-LV"/>
              </w:rPr>
            </w:pPr>
            <w:r w:rsidRPr="0019406C">
              <w:rPr>
                <w:rFonts w:asciiTheme="majorHAnsi" w:hAnsiTheme="majorHAnsi"/>
                <w:lang w:val="lv-LV"/>
              </w:rPr>
              <w:t>58</w:t>
            </w:r>
          </w:p>
        </w:tc>
      </w:tr>
      <w:tr w:rsidR="004C51AE" w:rsidRPr="0019406C" w:rsidTr="00410E0A">
        <w:tc>
          <w:tcPr>
            <w:tcW w:w="3715" w:type="dxa"/>
          </w:tcPr>
          <w:p w:rsidR="004C51AE" w:rsidRPr="0019406C" w:rsidRDefault="004C51AE" w:rsidP="003F48D5">
            <w:pPr>
              <w:tabs>
                <w:tab w:val="left" w:pos="3544"/>
              </w:tabs>
              <w:spacing w:after="0" w:line="276" w:lineRule="auto"/>
              <w:rPr>
                <w:rFonts w:asciiTheme="majorHAnsi" w:hAnsiTheme="majorHAnsi"/>
                <w:lang w:val="lv-LV"/>
              </w:rPr>
            </w:pPr>
            <w:r w:rsidRPr="0019406C">
              <w:rPr>
                <w:rFonts w:asciiTheme="majorHAnsi" w:hAnsiTheme="majorHAnsi"/>
                <w:lang w:val="lv-LV"/>
              </w:rPr>
              <w:t>Kopējais pieejamo kontaktu skaits:</w:t>
            </w:r>
          </w:p>
        </w:tc>
        <w:tc>
          <w:tcPr>
            <w:tcW w:w="5274" w:type="dxa"/>
            <w:vAlign w:val="center"/>
          </w:tcPr>
          <w:p w:rsidR="004C51AE" w:rsidRPr="0019406C" w:rsidRDefault="004C51AE" w:rsidP="003F48D5">
            <w:pPr>
              <w:tabs>
                <w:tab w:val="left" w:pos="3544"/>
              </w:tabs>
              <w:spacing w:after="0" w:line="276" w:lineRule="auto"/>
              <w:jc w:val="both"/>
              <w:rPr>
                <w:rFonts w:asciiTheme="majorHAnsi" w:hAnsiTheme="majorHAnsi"/>
                <w:lang w:val="lv-LV"/>
              </w:rPr>
            </w:pPr>
            <w:r w:rsidRPr="0019406C">
              <w:rPr>
                <w:rFonts w:asciiTheme="majorHAnsi" w:hAnsiTheme="majorHAnsi"/>
                <w:lang w:val="lv-LV"/>
              </w:rPr>
              <w:t>2</w:t>
            </w:r>
            <w:r w:rsidR="00863589">
              <w:rPr>
                <w:rFonts w:asciiTheme="majorHAnsi" w:hAnsiTheme="majorHAnsi"/>
                <w:lang w:val="lv-LV"/>
              </w:rPr>
              <w:t xml:space="preserve"> </w:t>
            </w:r>
            <w:r w:rsidRPr="0019406C">
              <w:rPr>
                <w:rFonts w:asciiTheme="majorHAnsi" w:hAnsiTheme="majorHAnsi"/>
                <w:lang w:val="lv-LV"/>
              </w:rPr>
              <w:t>100</w:t>
            </w:r>
          </w:p>
        </w:tc>
      </w:tr>
      <w:tr w:rsidR="004C51AE" w:rsidRPr="0019406C" w:rsidTr="00410E0A">
        <w:tc>
          <w:tcPr>
            <w:tcW w:w="3715" w:type="dxa"/>
          </w:tcPr>
          <w:p w:rsidR="004C51AE" w:rsidRPr="0019406C" w:rsidRDefault="004C51AE" w:rsidP="003F48D5">
            <w:pPr>
              <w:tabs>
                <w:tab w:val="left" w:pos="3544"/>
              </w:tabs>
              <w:spacing w:after="0" w:line="276" w:lineRule="auto"/>
              <w:rPr>
                <w:rFonts w:asciiTheme="majorHAnsi" w:hAnsiTheme="majorHAnsi"/>
                <w:lang w:val="lv-LV"/>
              </w:rPr>
            </w:pPr>
            <w:r w:rsidRPr="0019406C">
              <w:rPr>
                <w:rFonts w:asciiTheme="majorHAnsi" w:hAnsiTheme="majorHAnsi"/>
                <w:lang w:val="lv-LV"/>
              </w:rPr>
              <w:t>Realizēto interviju skaits:</w:t>
            </w:r>
          </w:p>
        </w:tc>
        <w:tc>
          <w:tcPr>
            <w:tcW w:w="5274" w:type="dxa"/>
            <w:vAlign w:val="center"/>
          </w:tcPr>
          <w:p w:rsidR="004C51AE" w:rsidRPr="0019406C" w:rsidRDefault="00F241CD" w:rsidP="003F48D5">
            <w:pPr>
              <w:tabs>
                <w:tab w:val="left" w:pos="3544"/>
              </w:tabs>
              <w:spacing w:after="0" w:line="276" w:lineRule="auto"/>
              <w:jc w:val="both"/>
              <w:rPr>
                <w:rFonts w:asciiTheme="majorHAnsi" w:hAnsiTheme="majorHAnsi"/>
                <w:lang w:val="lv-LV"/>
              </w:rPr>
            </w:pPr>
            <w:r w:rsidRPr="0019406C">
              <w:rPr>
                <w:rFonts w:asciiTheme="majorHAnsi" w:hAnsiTheme="majorHAnsi"/>
                <w:lang w:val="lv-LV"/>
              </w:rPr>
              <w:t>734</w:t>
            </w:r>
          </w:p>
        </w:tc>
      </w:tr>
      <w:tr w:rsidR="004C51AE" w:rsidRPr="0019406C" w:rsidTr="00410E0A">
        <w:tc>
          <w:tcPr>
            <w:tcW w:w="3715" w:type="dxa"/>
          </w:tcPr>
          <w:p w:rsidR="004C51AE" w:rsidRPr="0019406C" w:rsidRDefault="004C51AE" w:rsidP="003F48D5">
            <w:pPr>
              <w:tabs>
                <w:tab w:val="left" w:pos="3544"/>
              </w:tabs>
              <w:spacing w:after="0" w:line="276" w:lineRule="auto"/>
              <w:rPr>
                <w:rFonts w:asciiTheme="majorHAnsi" w:hAnsiTheme="majorHAnsi"/>
                <w:lang w:val="lv-LV"/>
              </w:rPr>
            </w:pPr>
            <w:r w:rsidRPr="0019406C">
              <w:rPr>
                <w:rFonts w:asciiTheme="majorHAnsi" w:hAnsiTheme="majorHAnsi"/>
                <w:lang w:val="lv-LV"/>
              </w:rPr>
              <w:t>Nerealizēto interviju skaits*:</w:t>
            </w:r>
          </w:p>
        </w:tc>
        <w:tc>
          <w:tcPr>
            <w:tcW w:w="5274" w:type="dxa"/>
            <w:vAlign w:val="center"/>
          </w:tcPr>
          <w:p w:rsidR="004C51AE" w:rsidRPr="0019406C" w:rsidRDefault="004C51AE" w:rsidP="003F48D5">
            <w:pPr>
              <w:tabs>
                <w:tab w:val="left" w:pos="3544"/>
              </w:tabs>
              <w:spacing w:after="0" w:line="276" w:lineRule="auto"/>
              <w:jc w:val="both"/>
              <w:rPr>
                <w:rFonts w:asciiTheme="majorHAnsi" w:hAnsiTheme="majorHAnsi"/>
                <w:lang w:val="lv-LV"/>
              </w:rPr>
            </w:pPr>
            <w:r w:rsidRPr="0019406C">
              <w:rPr>
                <w:rFonts w:asciiTheme="majorHAnsi" w:hAnsiTheme="majorHAnsi"/>
                <w:lang w:val="lv-LV"/>
              </w:rPr>
              <w:t>1</w:t>
            </w:r>
            <w:r w:rsidR="00863589">
              <w:rPr>
                <w:rFonts w:asciiTheme="majorHAnsi" w:hAnsiTheme="majorHAnsi"/>
                <w:lang w:val="lv-LV"/>
              </w:rPr>
              <w:t xml:space="preserve"> </w:t>
            </w:r>
            <w:r w:rsidR="00F241CD" w:rsidRPr="0019406C">
              <w:rPr>
                <w:rFonts w:asciiTheme="majorHAnsi" w:hAnsiTheme="majorHAnsi"/>
                <w:lang w:val="lv-LV"/>
              </w:rPr>
              <w:t>455</w:t>
            </w:r>
          </w:p>
        </w:tc>
      </w:tr>
      <w:tr w:rsidR="004C51AE" w:rsidRPr="0019406C" w:rsidTr="00410E0A">
        <w:tc>
          <w:tcPr>
            <w:tcW w:w="3715" w:type="dxa"/>
          </w:tcPr>
          <w:p w:rsidR="004C51AE" w:rsidRPr="0019406C" w:rsidRDefault="004C51AE" w:rsidP="003F48D5">
            <w:pPr>
              <w:tabs>
                <w:tab w:val="left" w:pos="3544"/>
              </w:tabs>
              <w:spacing w:after="0" w:line="276" w:lineRule="auto"/>
              <w:rPr>
                <w:rFonts w:asciiTheme="majorHAnsi" w:hAnsiTheme="majorHAnsi"/>
                <w:lang w:val="lv-LV"/>
              </w:rPr>
            </w:pPr>
            <w:r w:rsidRPr="0019406C">
              <w:rPr>
                <w:rFonts w:asciiTheme="majorHAnsi" w:hAnsiTheme="majorHAnsi"/>
                <w:lang w:val="lv-LV"/>
              </w:rPr>
              <w:t>Minimālais intervijas ilgums:</w:t>
            </w:r>
          </w:p>
        </w:tc>
        <w:tc>
          <w:tcPr>
            <w:tcW w:w="5274" w:type="dxa"/>
            <w:vAlign w:val="center"/>
          </w:tcPr>
          <w:p w:rsidR="004C51AE" w:rsidRPr="0019406C" w:rsidRDefault="004C51AE" w:rsidP="003F48D5">
            <w:pPr>
              <w:tabs>
                <w:tab w:val="left" w:pos="3544"/>
              </w:tabs>
              <w:spacing w:after="0" w:line="276" w:lineRule="auto"/>
              <w:jc w:val="both"/>
              <w:rPr>
                <w:rFonts w:asciiTheme="majorHAnsi" w:hAnsiTheme="majorHAnsi"/>
                <w:lang w:val="lv-LV"/>
              </w:rPr>
            </w:pPr>
            <w:r w:rsidRPr="0019406C">
              <w:rPr>
                <w:rFonts w:asciiTheme="majorHAnsi" w:hAnsiTheme="majorHAnsi"/>
                <w:lang w:val="lv-LV"/>
              </w:rPr>
              <w:t>22 minūtes</w:t>
            </w:r>
          </w:p>
        </w:tc>
      </w:tr>
      <w:tr w:rsidR="004C51AE" w:rsidRPr="0019406C" w:rsidTr="00410E0A">
        <w:tc>
          <w:tcPr>
            <w:tcW w:w="3715" w:type="dxa"/>
          </w:tcPr>
          <w:p w:rsidR="004C51AE" w:rsidRPr="0019406C" w:rsidRDefault="004C51AE" w:rsidP="003F48D5">
            <w:pPr>
              <w:tabs>
                <w:tab w:val="left" w:pos="3544"/>
              </w:tabs>
              <w:spacing w:after="0" w:line="276" w:lineRule="auto"/>
              <w:rPr>
                <w:rFonts w:asciiTheme="majorHAnsi" w:hAnsiTheme="majorHAnsi"/>
                <w:lang w:val="lv-LV"/>
              </w:rPr>
            </w:pPr>
            <w:r w:rsidRPr="0019406C">
              <w:rPr>
                <w:rFonts w:asciiTheme="majorHAnsi" w:hAnsiTheme="majorHAnsi"/>
                <w:lang w:val="lv-LV"/>
              </w:rPr>
              <w:t>Maksimālais intervijas ilgums:</w:t>
            </w:r>
          </w:p>
        </w:tc>
        <w:tc>
          <w:tcPr>
            <w:tcW w:w="5274" w:type="dxa"/>
            <w:vAlign w:val="center"/>
          </w:tcPr>
          <w:p w:rsidR="004C51AE" w:rsidRPr="0019406C" w:rsidRDefault="004C51AE" w:rsidP="003F48D5">
            <w:pPr>
              <w:tabs>
                <w:tab w:val="left" w:pos="3544"/>
              </w:tabs>
              <w:spacing w:after="0" w:line="276" w:lineRule="auto"/>
              <w:jc w:val="both"/>
              <w:rPr>
                <w:rFonts w:asciiTheme="majorHAnsi" w:hAnsiTheme="majorHAnsi"/>
                <w:lang w:val="lv-LV"/>
              </w:rPr>
            </w:pPr>
            <w:r w:rsidRPr="0019406C">
              <w:rPr>
                <w:rFonts w:asciiTheme="majorHAnsi" w:hAnsiTheme="majorHAnsi"/>
                <w:lang w:val="lv-LV"/>
              </w:rPr>
              <w:t>168 minūtes</w:t>
            </w:r>
          </w:p>
        </w:tc>
      </w:tr>
      <w:tr w:rsidR="004C51AE" w:rsidRPr="0019406C" w:rsidTr="00410E0A">
        <w:tc>
          <w:tcPr>
            <w:tcW w:w="3715" w:type="dxa"/>
          </w:tcPr>
          <w:p w:rsidR="004C51AE" w:rsidRPr="0019406C" w:rsidRDefault="004C51AE" w:rsidP="003F48D5">
            <w:pPr>
              <w:tabs>
                <w:tab w:val="left" w:pos="3544"/>
              </w:tabs>
              <w:spacing w:after="0" w:line="276" w:lineRule="auto"/>
              <w:rPr>
                <w:rFonts w:asciiTheme="majorHAnsi" w:hAnsiTheme="majorHAnsi"/>
                <w:lang w:val="lv-LV"/>
              </w:rPr>
            </w:pPr>
            <w:r w:rsidRPr="0019406C">
              <w:rPr>
                <w:rFonts w:asciiTheme="majorHAnsi" w:hAnsiTheme="majorHAnsi"/>
                <w:lang w:val="lv-LV"/>
              </w:rPr>
              <w:t>Vidējais intervijas ilgums:</w:t>
            </w:r>
          </w:p>
        </w:tc>
        <w:tc>
          <w:tcPr>
            <w:tcW w:w="5274" w:type="dxa"/>
            <w:vAlign w:val="center"/>
          </w:tcPr>
          <w:p w:rsidR="004C51AE" w:rsidRPr="0019406C" w:rsidRDefault="004C51AE" w:rsidP="003F48D5">
            <w:pPr>
              <w:tabs>
                <w:tab w:val="left" w:pos="3544"/>
              </w:tabs>
              <w:spacing w:after="0" w:line="276" w:lineRule="auto"/>
              <w:jc w:val="both"/>
              <w:rPr>
                <w:rFonts w:asciiTheme="majorHAnsi" w:hAnsiTheme="majorHAnsi"/>
                <w:lang w:val="lv-LV"/>
              </w:rPr>
            </w:pPr>
            <w:r w:rsidRPr="0019406C">
              <w:rPr>
                <w:rFonts w:asciiTheme="majorHAnsi" w:hAnsiTheme="majorHAnsi"/>
                <w:lang w:val="lv-LV"/>
              </w:rPr>
              <w:t>49 minūtes</w:t>
            </w:r>
          </w:p>
        </w:tc>
      </w:tr>
    </w:tbl>
    <w:p w:rsidR="004C51AE" w:rsidRPr="0019406C" w:rsidRDefault="004C51AE" w:rsidP="003F48D5">
      <w:pPr>
        <w:pStyle w:val="Heading30"/>
        <w:jc w:val="both"/>
        <w:rPr>
          <w:rFonts w:asciiTheme="majorHAnsi" w:hAnsiTheme="majorHAnsi"/>
          <w:b w:val="0"/>
          <w:i/>
          <w:sz w:val="20"/>
          <w:szCs w:val="20"/>
        </w:rPr>
      </w:pPr>
      <w:r w:rsidRPr="0019406C">
        <w:rPr>
          <w:rFonts w:asciiTheme="majorHAnsi" w:hAnsiTheme="majorHAnsi"/>
          <w:b w:val="0"/>
          <w:i/>
          <w:sz w:val="20"/>
          <w:szCs w:val="20"/>
        </w:rPr>
        <w:t>*</w:t>
      </w:r>
      <w:proofErr w:type="spellStart"/>
      <w:r w:rsidRPr="0019406C">
        <w:rPr>
          <w:rFonts w:asciiTheme="majorHAnsi" w:hAnsiTheme="majorHAnsi"/>
          <w:b w:val="0"/>
          <w:i/>
          <w:sz w:val="20"/>
          <w:szCs w:val="20"/>
        </w:rPr>
        <w:t>Nerespondences</w:t>
      </w:r>
      <w:proofErr w:type="spellEnd"/>
      <w:r w:rsidRPr="0019406C">
        <w:rPr>
          <w:rFonts w:asciiTheme="majorHAnsi" w:hAnsiTheme="majorHAnsi"/>
          <w:b w:val="0"/>
          <w:i/>
          <w:sz w:val="20"/>
          <w:szCs w:val="20"/>
        </w:rPr>
        <w:t xml:space="preserve"> iemeslus skatīt tabulā sadaļā „Lauka darba organizācija un kvalitātes kontrole”.</w:t>
      </w:r>
    </w:p>
    <w:p w:rsidR="00636B98" w:rsidRPr="0019406C" w:rsidRDefault="00636B98" w:rsidP="007519BC">
      <w:pPr>
        <w:spacing w:line="240" w:lineRule="auto"/>
        <w:rPr>
          <w:lang w:val="lv-LV"/>
        </w:rPr>
      </w:pPr>
    </w:p>
    <w:p w:rsidR="00395180" w:rsidRPr="0019406C" w:rsidRDefault="00395180" w:rsidP="00395180">
      <w:pPr>
        <w:pStyle w:val="Heading2"/>
        <w:spacing w:before="240" w:after="0"/>
        <w:rPr>
          <w:lang w:val="lv-LV"/>
        </w:rPr>
      </w:pPr>
      <w:bookmarkStart w:id="43" w:name="_Toc389226075"/>
      <w:bookmarkStart w:id="44" w:name="_Toc244064956"/>
      <w:bookmarkStart w:id="45" w:name="_Toc306029807"/>
      <w:r w:rsidRPr="0019406C">
        <w:rPr>
          <w:lang w:val="lv-LV"/>
        </w:rPr>
        <w:t>Kvalitatīvā informācijas analīze</w:t>
      </w:r>
      <w:bookmarkEnd w:id="43"/>
    </w:p>
    <w:p w:rsidR="00395180" w:rsidRPr="0019406C" w:rsidRDefault="00395180" w:rsidP="00395180">
      <w:pPr>
        <w:pStyle w:val="BodyText"/>
        <w:spacing w:before="240" w:line="276" w:lineRule="auto"/>
        <w:jc w:val="both"/>
        <w:rPr>
          <w:lang w:val="lv-LV"/>
        </w:rPr>
      </w:pPr>
      <w:r w:rsidRPr="0019406C">
        <w:rPr>
          <w:lang w:val="lv-LV"/>
        </w:rPr>
        <w:t>Kvalitatīvā informācijas analīze ietvēra šādus aspektus:</w:t>
      </w:r>
    </w:p>
    <w:p w:rsidR="00D806DC" w:rsidRPr="0019406C" w:rsidRDefault="00D806DC" w:rsidP="00E521EE">
      <w:pPr>
        <w:pStyle w:val="BodyText"/>
        <w:numPr>
          <w:ilvl w:val="0"/>
          <w:numId w:val="65"/>
        </w:numPr>
        <w:spacing w:line="276" w:lineRule="auto"/>
        <w:jc w:val="both"/>
        <w:rPr>
          <w:lang w:val="lv-LV"/>
        </w:rPr>
      </w:pPr>
      <w:r w:rsidRPr="0019406C">
        <w:rPr>
          <w:lang w:val="lv-LV"/>
        </w:rPr>
        <w:t xml:space="preserve">Izmantojot aptaujas rezultātus, tika identificētas </w:t>
      </w:r>
      <w:proofErr w:type="spellStart"/>
      <w:r w:rsidRPr="0019406C">
        <w:rPr>
          <w:lang w:val="lv-LV"/>
        </w:rPr>
        <w:t>problēmjomas</w:t>
      </w:r>
      <w:proofErr w:type="spellEnd"/>
      <w:r w:rsidRPr="0019406C">
        <w:rPr>
          <w:lang w:val="lv-LV"/>
        </w:rPr>
        <w:t xml:space="preserve"> un analizētas pret  Pasaules Bankas vērtējumā norādītajām vājajām jomām;</w:t>
      </w:r>
    </w:p>
    <w:p w:rsidR="00395180" w:rsidRPr="0019406C" w:rsidRDefault="00395180" w:rsidP="00E521EE">
      <w:pPr>
        <w:pStyle w:val="BodyText"/>
        <w:numPr>
          <w:ilvl w:val="0"/>
          <w:numId w:val="65"/>
        </w:numPr>
        <w:spacing w:line="276" w:lineRule="auto"/>
        <w:jc w:val="both"/>
        <w:rPr>
          <w:lang w:val="lv-LV"/>
        </w:rPr>
      </w:pPr>
      <w:r w:rsidRPr="0019406C">
        <w:rPr>
          <w:lang w:val="lv-LV"/>
        </w:rPr>
        <w:t>Izmantojot Pasaules Bankas pētījuma „Doing Business” aktuālā ziņojuma vērtējumu, tika noteiktas tās jomas, kurās Latvijas vērtējums salīdzinoši ir viszemākais. Par salīdzināmām valstīm tika izvēlētas gan tuvākās valstis, ar kurām Latvija konkurē investīciju piesaistē, gan rangā augstāk esošās valstis.</w:t>
      </w:r>
      <w:r w:rsidR="0072729F">
        <w:rPr>
          <w:lang w:val="lv-LV"/>
        </w:rPr>
        <w:t xml:space="preserve"> </w:t>
      </w:r>
      <w:r w:rsidRPr="0019406C">
        <w:rPr>
          <w:lang w:val="lv-LV"/>
        </w:rPr>
        <w:t xml:space="preserve">Salīdzinājumam izvēlētas arī dažas no valstīm, kas ir zemākas reitingā, bet, kuras ir veikušas reformas pēdējā ziņojuma periodā un no kurām var mācīties uzņēmējdarbības vides uzlabošanas jautājumu risināšanā; </w:t>
      </w:r>
    </w:p>
    <w:p w:rsidR="00395180" w:rsidRPr="0019406C" w:rsidRDefault="00395180" w:rsidP="00E521EE">
      <w:pPr>
        <w:pStyle w:val="BodyText"/>
        <w:numPr>
          <w:ilvl w:val="0"/>
          <w:numId w:val="65"/>
        </w:numPr>
        <w:spacing w:line="276" w:lineRule="auto"/>
        <w:jc w:val="both"/>
        <w:rPr>
          <w:lang w:val="lv-LV"/>
        </w:rPr>
      </w:pPr>
      <w:r w:rsidRPr="0019406C">
        <w:rPr>
          <w:lang w:val="lv-LV"/>
        </w:rPr>
        <w:t>Tika pievienoti papildinoši rādītāji no Globālās konkurētspējas jaunākā pētījuma;</w:t>
      </w:r>
    </w:p>
    <w:p w:rsidR="00395180" w:rsidRPr="0019406C" w:rsidRDefault="00395180" w:rsidP="00E521EE">
      <w:pPr>
        <w:pStyle w:val="BodyText"/>
        <w:numPr>
          <w:ilvl w:val="0"/>
          <w:numId w:val="65"/>
        </w:numPr>
        <w:spacing w:line="276" w:lineRule="auto"/>
        <w:jc w:val="both"/>
        <w:rPr>
          <w:lang w:val="lv-LV"/>
        </w:rPr>
      </w:pPr>
      <w:r w:rsidRPr="0019406C">
        <w:rPr>
          <w:lang w:val="lv-LV"/>
        </w:rPr>
        <w:t>Tika ņemti vērā jau ierosinātie priekšlikumi iepriekšējos Uzņēmējdarbības vides uzlabošanas pasākumu plānos, kā arī aktuālās norises ar attiecīgajām jomām saistītajos normatīvajos aktos;</w:t>
      </w:r>
    </w:p>
    <w:p w:rsidR="00395180" w:rsidRPr="0019406C" w:rsidRDefault="00395180" w:rsidP="00E521EE">
      <w:pPr>
        <w:pStyle w:val="BodyText"/>
        <w:numPr>
          <w:ilvl w:val="0"/>
          <w:numId w:val="65"/>
        </w:numPr>
        <w:spacing w:line="276" w:lineRule="auto"/>
        <w:jc w:val="both"/>
        <w:rPr>
          <w:lang w:val="lv-LV"/>
        </w:rPr>
      </w:pPr>
      <w:r w:rsidRPr="0019406C">
        <w:rPr>
          <w:lang w:val="lv-LV"/>
        </w:rPr>
        <w:t>Analīzei papildus tika izmantota informācija no citiem pētījumiem, piemēram, no Ārvalstu investoru padomes Latvijā ieteikumiem;</w:t>
      </w:r>
    </w:p>
    <w:p w:rsidR="00395180" w:rsidRPr="0019406C" w:rsidRDefault="00395180" w:rsidP="003F48D5">
      <w:pPr>
        <w:pStyle w:val="BodyText"/>
        <w:numPr>
          <w:ilvl w:val="0"/>
          <w:numId w:val="65"/>
        </w:numPr>
        <w:spacing w:line="276" w:lineRule="auto"/>
        <w:jc w:val="both"/>
        <w:rPr>
          <w:lang w:val="lv-LV"/>
        </w:rPr>
      </w:pPr>
      <w:r w:rsidRPr="0019406C">
        <w:rPr>
          <w:lang w:val="lv-LV"/>
        </w:rPr>
        <w:lastRenderedPageBreak/>
        <w:t xml:space="preserve">Tika izmantotas arī intervijas ar nozares ekspertiem Latvijā, lai iegūtu aktuālo problēmu novērtējumu un detalizētu informāciju par problēmām – </w:t>
      </w:r>
      <w:proofErr w:type="spellStart"/>
      <w:r w:rsidRPr="0019406C">
        <w:rPr>
          <w:lang w:val="lv-LV"/>
        </w:rPr>
        <w:t>t.sk</w:t>
      </w:r>
      <w:proofErr w:type="spellEnd"/>
      <w:r w:rsidRPr="0019406C">
        <w:rPr>
          <w:lang w:val="lv-LV"/>
        </w:rPr>
        <w:t xml:space="preserve">., Uzņēmuma reģistra vadību, Latvijas Nekustamo īpašumu darījumu asociācijas pārstāvjiem, Latvijas Arhitektu savienības pārstāvi. Papildus minēto pētījumu analīzei un ekspertu intervijām tika veiktas intervijas ar citu Eiropas valstu ekspertiem. Minētie eksperti ir pieredzējuši konsultāciju profesionāļi no </w:t>
      </w:r>
      <w:proofErr w:type="spellStart"/>
      <w:r w:rsidRPr="0019406C">
        <w:rPr>
          <w:lang w:val="lv-LV"/>
        </w:rPr>
        <w:t>PwC</w:t>
      </w:r>
      <w:proofErr w:type="spellEnd"/>
      <w:r w:rsidRPr="0019406C">
        <w:rPr>
          <w:lang w:val="lv-LV"/>
        </w:rPr>
        <w:t xml:space="preserve"> birojiem citās valstīs. Tika veiktas intervijas ar sekojošu valstu ekspertiem: Lietuva, Igaunija, Dānija, Nīderlande, Apvienotā Karaliste un Polija. Interviju rezultātā tika iegūts plašs ieskats citu valstu procedūrās un ekspertu viedokļos par Latvijā pastāvošajām procedūrām.</w:t>
      </w:r>
    </w:p>
    <w:p w:rsidR="00395180" w:rsidRPr="0019406C" w:rsidRDefault="00395180" w:rsidP="003F48D5">
      <w:pPr>
        <w:pStyle w:val="BodyText"/>
        <w:spacing w:line="276" w:lineRule="auto"/>
        <w:jc w:val="both"/>
        <w:rPr>
          <w:lang w:val="lv-LV"/>
        </w:rPr>
      </w:pPr>
      <w:r w:rsidRPr="0019406C">
        <w:rPr>
          <w:lang w:val="lv-LV"/>
        </w:rPr>
        <w:t>Ziņojuma priekšlikumi izstrādāti, balstoties uz šādiem informācijas avotiem:</w:t>
      </w:r>
    </w:p>
    <w:p w:rsidR="00D806DC" w:rsidRPr="0019406C" w:rsidRDefault="00D806DC" w:rsidP="003F48D5">
      <w:pPr>
        <w:pStyle w:val="BodyText"/>
        <w:numPr>
          <w:ilvl w:val="0"/>
          <w:numId w:val="66"/>
        </w:numPr>
        <w:spacing w:after="0" w:line="276" w:lineRule="auto"/>
        <w:jc w:val="both"/>
        <w:rPr>
          <w:lang w:val="lv-LV"/>
        </w:rPr>
      </w:pPr>
      <w:r w:rsidRPr="0019406C">
        <w:rPr>
          <w:lang w:val="lv-LV"/>
        </w:rPr>
        <w:t>Uzņēm</w:t>
      </w:r>
      <w:r w:rsidR="00627B52" w:rsidRPr="0019406C">
        <w:rPr>
          <w:lang w:val="lv-LV"/>
        </w:rPr>
        <w:t xml:space="preserve">ēju </w:t>
      </w:r>
      <w:r w:rsidRPr="0019406C">
        <w:rPr>
          <w:lang w:val="lv-LV"/>
        </w:rPr>
        <w:t>aptaujas rezultāti no 2001.</w:t>
      </w:r>
      <w:r w:rsidR="00863589">
        <w:rPr>
          <w:lang w:val="lv-LV"/>
        </w:rPr>
        <w:t xml:space="preserve"> – </w:t>
      </w:r>
      <w:r w:rsidRPr="0019406C">
        <w:rPr>
          <w:lang w:val="lv-LV"/>
        </w:rPr>
        <w:t>2014.</w:t>
      </w:r>
      <w:r w:rsidR="00863589">
        <w:rPr>
          <w:lang w:val="lv-LV"/>
        </w:rPr>
        <w:t xml:space="preserve"> </w:t>
      </w:r>
      <w:r w:rsidRPr="0019406C">
        <w:rPr>
          <w:lang w:val="lv-LV"/>
        </w:rPr>
        <w:t>gadam,</w:t>
      </w:r>
    </w:p>
    <w:p w:rsidR="00395180" w:rsidRPr="0019406C" w:rsidRDefault="00395180" w:rsidP="003F48D5">
      <w:pPr>
        <w:pStyle w:val="BodyText"/>
        <w:numPr>
          <w:ilvl w:val="0"/>
          <w:numId w:val="66"/>
        </w:numPr>
        <w:spacing w:after="0" w:line="276" w:lineRule="auto"/>
        <w:jc w:val="both"/>
        <w:rPr>
          <w:lang w:val="lv-LV"/>
        </w:rPr>
      </w:pPr>
      <w:r w:rsidRPr="0019406C">
        <w:rPr>
          <w:lang w:val="lv-LV"/>
        </w:rPr>
        <w:t>Pasaules Bankas pētījums „Doing Business” 2013 un 2014.</w:t>
      </w:r>
      <w:r w:rsidR="00863589">
        <w:rPr>
          <w:lang w:val="lv-LV"/>
        </w:rPr>
        <w:t xml:space="preserve"> </w:t>
      </w:r>
      <w:r w:rsidRPr="0019406C">
        <w:rPr>
          <w:lang w:val="lv-LV"/>
        </w:rPr>
        <w:t>gada ziņojums, kā arī Doingbusiness.org mājas lapā atrodamā informācija,</w:t>
      </w:r>
    </w:p>
    <w:p w:rsidR="00395180" w:rsidRPr="0019406C" w:rsidRDefault="00395180" w:rsidP="003F48D5">
      <w:pPr>
        <w:pStyle w:val="BodyText"/>
        <w:numPr>
          <w:ilvl w:val="0"/>
          <w:numId w:val="66"/>
        </w:numPr>
        <w:spacing w:after="0" w:line="276" w:lineRule="auto"/>
        <w:jc w:val="both"/>
        <w:rPr>
          <w:lang w:val="lv-LV"/>
        </w:rPr>
      </w:pPr>
      <w:r w:rsidRPr="0019406C">
        <w:rPr>
          <w:lang w:val="lv-LV"/>
        </w:rPr>
        <w:t>Pasaules Ekonomikas foruma pētījums „Globālās konkurētspējas ziņojums 2013</w:t>
      </w:r>
      <w:r w:rsidR="00863589">
        <w:rPr>
          <w:lang w:val="lv-LV"/>
        </w:rPr>
        <w:t xml:space="preserve"> – </w:t>
      </w:r>
      <w:r w:rsidRPr="0019406C">
        <w:rPr>
          <w:lang w:val="lv-LV"/>
        </w:rPr>
        <w:t>2014”,</w:t>
      </w:r>
    </w:p>
    <w:p w:rsidR="00395180" w:rsidRPr="0019406C" w:rsidRDefault="00395180" w:rsidP="003F48D5">
      <w:pPr>
        <w:pStyle w:val="BodyText"/>
        <w:numPr>
          <w:ilvl w:val="0"/>
          <w:numId w:val="66"/>
        </w:numPr>
        <w:spacing w:after="0" w:line="276" w:lineRule="auto"/>
        <w:jc w:val="both"/>
        <w:rPr>
          <w:lang w:val="lv-LV"/>
        </w:rPr>
      </w:pPr>
      <w:r w:rsidRPr="0019406C">
        <w:rPr>
          <w:lang w:val="lv-LV"/>
        </w:rPr>
        <w:t>Uzņēmējdarbības vides uzlabošanas pasākumu plāns 2013.</w:t>
      </w:r>
      <w:r w:rsidR="00863589">
        <w:rPr>
          <w:lang w:val="lv-LV"/>
        </w:rPr>
        <w:t xml:space="preserve"> – </w:t>
      </w:r>
      <w:r w:rsidRPr="0019406C">
        <w:rPr>
          <w:lang w:val="lv-LV"/>
        </w:rPr>
        <w:t>2014.</w:t>
      </w:r>
      <w:r w:rsidR="00863589">
        <w:rPr>
          <w:lang w:val="lv-LV"/>
        </w:rPr>
        <w:t xml:space="preserve"> </w:t>
      </w:r>
      <w:r w:rsidRPr="0019406C">
        <w:rPr>
          <w:lang w:val="lv-LV"/>
        </w:rPr>
        <w:t>gadam un tā izpilde,</w:t>
      </w:r>
    </w:p>
    <w:p w:rsidR="00395180" w:rsidRPr="0019406C" w:rsidRDefault="00395180" w:rsidP="003F48D5">
      <w:pPr>
        <w:pStyle w:val="BodyText"/>
        <w:numPr>
          <w:ilvl w:val="0"/>
          <w:numId w:val="66"/>
        </w:numPr>
        <w:spacing w:after="0" w:line="276" w:lineRule="auto"/>
        <w:jc w:val="both"/>
        <w:rPr>
          <w:lang w:val="lv-LV"/>
        </w:rPr>
      </w:pPr>
      <w:r w:rsidRPr="0019406C">
        <w:rPr>
          <w:lang w:val="lv-LV"/>
        </w:rPr>
        <w:t>Ārvalstu investoru padomes Latvijā darba grupu pozīciju ziņojumi,</w:t>
      </w:r>
    </w:p>
    <w:p w:rsidR="00395180" w:rsidRPr="0019406C" w:rsidRDefault="00395180" w:rsidP="003F48D5">
      <w:pPr>
        <w:pStyle w:val="BodyText"/>
        <w:numPr>
          <w:ilvl w:val="0"/>
          <w:numId w:val="66"/>
        </w:numPr>
        <w:spacing w:after="0" w:line="276" w:lineRule="auto"/>
        <w:jc w:val="both"/>
        <w:rPr>
          <w:lang w:val="lv-LV"/>
        </w:rPr>
      </w:pPr>
      <w:r w:rsidRPr="0019406C">
        <w:rPr>
          <w:lang w:val="lv-LV"/>
        </w:rPr>
        <w:t>Valsts iestāžu un publisko pakalpojumu mājas lapās atrodamā informācija,</w:t>
      </w:r>
    </w:p>
    <w:p w:rsidR="00395180" w:rsidRPr="0019406C" w:rsidRDefault="00395180" w:rsidP="003F48D5">
      <w:pPr>
        <w:pStyle w:val="BodyText"/>
        <w:numPr>
          <w:ilvl w:val="0"/>
          <w:numId w:val="66"/>
        </w:numPr>
        <w:spacing w:after="0" w:line="276" w:lineRule="auto"/>
        <w:jc w:val="both"/>
        <w:rPr>
          <w:lang w:val="lv-LV"/>
        </w:rPr>
      </w:pPr>
      <w:r w:rsidRPr="0019406C">
        <w:rPr>
          <w:lang w:val="lv-LV"/>
        </w:rPr>
        <w:t>Latvijas un ārvalstu ekspertu intervijas,</w:t>
      </w:r>
    </w:p>
    <w:p w:rsidR="00395180" w:rsidRPr="0019406C" w:rsidRDefault="00395180" w:rsidP="003F48D5">
      <w:pPr>
        <w:pStyle w:val="BodyText"/>
        <w:numPr>
          <w:ilvl w:val="0"/>
          <w:numId w:val="66"/>
        </w:numPr>
        <w:spacing w:after="0" w:line="276" w:lineRule="auto"/>
        <w:jc w:val="both"/>
        <w:rPr>
          <w:lang w:val="lv-LV"/>
        </w:rPr>
      </w:pPr>
      <w:r w:rsidRPr="0019406C">
        <w:rPr>
          <w:lang w:val="lv-LV"/>
        </w:rPr>
        <w:t xml:space="preserve">cita informācija (piemēram, reformu ziņojumi, iepriekš gatavotās koncepcijas, informācija par dažādu Latvijā pašlaik īstenotu IT projektu attīstības plāniem </w:t>
      </w:r>
      <w:proofErr w:type="spellStart"/>
      <w:r w:rsidRPr="0019406C">
        <w:rPr>
          <w:lang w:val="lv-LV"/>
        </w:rPr>
        <w:t>utt</w:t>
      </w:r>
      <w:proofErr w:type="spellEnd"/>
      <w:r w:rsidRPr="0019406C">
        <w:rPr>
          <w:lang w:val="lv-LV"/>
        </w:rPr>
        <w:t>.)</w:t>
      </w:r>
    </w:p>
    <w:p w:rsidR="00395180" w:rsidRPr="0019406C" w:rsidRDefault="00784D16" w:rsidP="003F48D5">
      <w:pPr>
        <w:pStyle w:val="BodyText"/>
        <w:spacing w:after="0" w:line="276" w:lineRule="auto"/>
        <w:jc w:val="both"/>
        <w:rPr>
          <w:lang w:val="lv-LV"/>
        </w:rPr>
      </w:pPr>
      <w:r w:rsidRPr="0019406C">
        <w:rPr>
          <w:lang w:val="lv-LV"/>
        </w:rPr>
        <w:t xml:space="preserve">Katram no izvirzītajiem priekšlikumiem </w:t>
      </w:r>
      <w:r w:rsidR="005E0AE3" w:rsidRPr="0019406C">
        <w:rPr>
          <w:lang w:val="lv-LV"/>
        </w:rPr>
        <w:t>ir atšķirīgs pamatojums (piemēram, ja aptaujas dati liecināja par konkrētu problēmu un bija reprezentabli, tad pamatojums ir aptaujas rezultāti, savukārt, ja iegūtie rezultāti bija pārāk vispārīgi vai/un nebija no tiem iespējams noteikt konkrētus risināmos jautājumus, tad pamatojums priekšlikumiem ir gan ekspertu intervijās gūtā informācija, gan salīdzinājums ar praksi ārvalstīs).</w:t>
      </w:r>
    </w:p>
    <w:p w:rsidR="00A16AE4" w:rsidRPr="0019406C" w:rsidRDefault="00395180" w:rsidP="003F48D5">
      <w:pPr>
        <w:pStyle w:val="BodyText"/>
        <w:spacing w:after="0" w:line="276" w:lineRule="auto"/>
        <w:jc w:val="both"/>
        <w:rPr>
          <w:rFonts w:asciiTheme="majorHAnsi" w:hAnsiTheme="majorHAnsi"/>
          <w:lang w:val="lv-LV"/>
        </w:rPr>
      </w:pPr>
      <w:r w:rsidRPr="0019406C">
        <w:rPr>
          <w:rFonts w:asciiTheme="majorHAnsi" w:hAnsiTheme="majorHAnsi"/>
          <w:lang w:val="lv-LV"/>
        </w:rPr>
        <w:t xml:space="preserve">Priekšlikumi par tēmām, kas jau iekļautas citos dokumentos, šajā pētījumā netika atkārtoti izvirzīti (piemēram, Uzņēmējdarbības vides uzlabošanas pasākumu plānā 2013. – 2014. gadam saistībā ar MK 2013. gada 24. aprīļa rīkojumu </w:t>
      </w:r>
      <w:proofErr w:type="spellStart"/>
      <w:r w:rsidRPr="0019406C">
        <w:rPr>
          <w:rFonts w:asciiTheme="majorHAnsi" w:hAnsiTheme="majorHAnsi"/>
          <w:lang w:val="lv-LV"/>
        </w:rPr>
        <w:t>Nr</w:t>
      </w:r>
      <w:proofErr w:type="spellEnd"/>
      <w:r w:rsidRPr="0019406C">
        <w:rPr>
          <w:rFonts w:asciiTheme="majorHAnsi" w:hAnsiTheme="majorHAnsi"/>
          <w:lang w:val="lv-LV"/>
        </w:rPr>
        <w:t>.</w:t>
      </w:r>
      <w:r w:rsidR="00863589">
        <w:rPr>
          <w:rFonts w:asciiTheme="majorHAnsi" w:hAnsiTheme="majorHAnsi"/>
          <w:lang w:val="lv-LV"/>
        </w:rPr>
        <w:t xml:space="preserve"> </w:t>
      </w:r>
      <w:r w:rsidRPr="0019406C">
        <w:rPr>
          <w:rFonts w:asciiTheme="majorHAnsi" w:hAnsiTheme="majorHAnsi"/>
          <w:lang w:val="lv-LV"/>
        </w:rPr>
        <w:t xml:space="preserve">165 minēts SIA </w:t>
      </w:r>
      <w:proofErr w:type="spellStart"/>
      <w:r w:rsidRPr="0019406C">
        <w:rPr>
          <w:rFonts w:asciiTheme="majorHAnsi" w:hAnsiTheme="majorHAnsi"/>
          <w:lang w:val="lv-LV"/>
        </w:rPr>
        <w:t>Ernst</w:t>
      </w:r>
      <w:proofErr w:type="spellEnd"/>
      <w:r w:rsidRPr="0019406C">
        <w:rPr>
          <w:rFonts w:asciiTheme="majorHAnsi" w:hAnsiTheme="majorHAnsi"/>
          <w:lang w:val="lv-LV"/>
        </w:rPr>
        <w:t xml:space="preserve"> &amp; </w:t>
      </w:r>
      <w:proofErr w:type="spellStart"/>
      <w:r w:rsidRPr="0019406C">
        <w:rPr>
          <w:rFonts w:asciiTheme="majorHAnsi" w:hAnsiTheme="majorHAnsi"/>
          <w:lang w:val="lv-LV"/>
        </w:rPr>
        <w:t>Young</w:t>
      </w:r>
      <w:proofErr w:type="spellEnd"/>
      <w:r w:rsidRPr="0019406C">
        <w:rPr>
          <w:rFonts w:asciiTheme="majorHAnsi" w:hAnsiTheme="majorHAnsi"/>
          <w:lang w:val="lv-LV"/>
        </w:rPr>
        <w:t xml:space="preserve"> </w:t>
      </w:r>
      <w:proofErr w:type="spellStart"/>
      <w:r w:rsidRPr="0019406C">
        <w:rPr>
          <w:rFonts w:asciiTheme="majorHAnsi" w:hAnsiTheme="majorHAnsi"/>
          <w:lang w:val="lv-LV"/>
        </w:rPr>
        <w:t>Baltic</w:t>
      </w:r>
      <w:proofErr w:type="spellEnd"/>
      <w:r w:rsidRPr="0019406C">
        <w:rPr>
          <w:rFonts w:asciiTheme="majorHAnsi" w:hAnsiTheme="majorHAnsi"/>
          <w:lang w:val="lv-LV"/>
        </w:rPr>
        <w:t xml:space="preserve"> administratīvo prasību nodokļu jomas vērtējums).</w:t>
      </w:r>
    </w:p>
    <w:p w:rsidR="00395180" w:rsidRPr="0019406C" w:rsidRDefault="00395180" w:rsidP="000857A7">
      <w:pPr>
        <w:pStyle w:val="BodyText"/>
        <w:spacing w:after="0" w:line="276" w:lineRule="auto"/>
        <w:jc w:val="both"/>
        <w:rPr>
          <w:lang w:val="lv-LV"/>
        </w:rPr>
      </w:pPr>
    </w:p>
    <w:p w:rsidR="00A16AE4" w:rsidRPr="0019406C" w:rsidRDefault="00A16AE4" w:rsidP="000857A7">
      <w:pPr>
        <w:pStyle w:val="BodyText"/>
        <w:spacing w:after="0" w:line="276" w:lineRule="auto"/>
        <w:jc w:val="both"/>
        <w:rPr>
          <w:lang w:val="lv-LV"/>
        </w:rPr>
      </w:pPr>
    </w:p>
    <w:p w:rsidR="00636B98" w:rsidRPr="0019406C" w:rsidRDefault="002A0805" w:rsidP="00636B98">
      <w:pPr>
        <w:pStyle w:val="Heading2"/>
        <w:rPr>
          <w:lang w:val="lv-LV"/>
        </w:rPr>
      </w:pPr>
      <w:bookmarkStart w:id="46" w:name="_Toc389226076"/>
      <w:r w:rsidRPr="0019406C">
        <w:rPr>
          <w:lang w:val="lv-LV"/>
        </w:rPr>
        <w:t xml:space="preserve">Aptaujas </w:t>
      </w:r>
      <w:r w:rsidR="004C51AE" w:rsidRPr="0019406C">
        <w:rPr>
          <w:lang w:val="lv-LV"/>
        </w:rPr>
        <w:t>realizētāju darba grupa</w:t>
      </w:r>
      <w:bookmarkEnd w:id="44"/>
      <w:bookmarkEnd w:id="45"/>
      <w:bookmarkEnd w:id="46"/>
    </w:p>
    <w:p w:rsidR="004C51AE" w:rsidRPr="0019406C" w:rsidRDefault="004C51AE" w:rsidP="004C51AE">
      <w:pPr>
        <w:pStyle w:val="Heading30"/>
        <w:spacing w:after="0" w:line="360" w:lineRule="auto"/>
        <w:jc w:val="both"/>
        <w:rPr>
          <w:rFonts w:asciiTheme="majorHAnsi" w:hAnsiTheme="majorHAnsi"/>
          <w:b w:val="0"/>
          <w:i/>
          <w:u w:val="single"/>
        </w:rPr>
      </w:pPr>
    </w:p>
    <w:p w:rsidR="004C51AE" w:rsidRPr="0019406C" w:rsidRDefault="004C51AE" w:rsidP="00A9489E">
      <w:pPr>
        <w:spacing w:after="0" w:line="276" w:lineRule="auto"/>
        <w:rPr>
          <w:rFonts w:asciiTheme="majorHAnsi" w:eastAsia="Times New Roman" w:hAnsiTheme="majorHAnsi" w:cs="Courier New"/>
          <w:lang w:val="lv-LV" w:eastAsia="lv-LV"/>
        </w:rPr>
      </w:pPr>
      <w:r w:rsidRPr="0019406C">
        <w:rPr>
          <w:rFonts w:asciiTheme="majorHAnsi" w:hAnsiTheme="majorHAnsi"/>
          <w:b/>
          <w:sz w:val="22"/>
          <w:lang w:val="lv-LV"/>
        </w:rPr>
        <w:t>Latvijas Fakti</w:t>
      </w:r>
    </w:p>
    <w:p w:rsidR="004C51AE" w:rsidRPr="0019406C" w:rsidRDefault="004C51AE" w:rsidP="006B022F">
      <w:pPr>
        <w:spacing w:after="0" w:line="276" w:lineRule="auto"/>
        <w:rPr>
          <w:rFonts w:asciiTheme="majorHAnsi" w:hAnsiTheme="majorHAnsi"/>
          <w:bCs/>
          <w:lang w:val="lv-LV"/>
        </w:rPr>
      </w:pPr>
      <w:r w:rsidRPr="0019406C">
        <w:rPr>
          <w:rFonts w:asciiTheme="majorHAnsi" w:hAnsiTheme="majorHAnsi"/>
          <w:bCs/>
          <w:lang w:val="lv-LV"/>
        </w:rPr>
        <w:t xml:space="preserve">Oksana </w:t>
      </w:r>
      <w:proofErr w:type="spellStart"/>
      <w:r w:rsidRPr="0019406C">
        <w:rPr>
          <w:rFonts w:asciiTheme="majorHAnsi" w:hAnsiTheme="majorHAnsi"/>
          <w:bCs/>
          <w:lang w:val="lv-LV"/>
        </w:rPr>
        <w:t>Kurcalte</w:t>
      </w:r>
      <w:proofErr w:type="spellEnd"/>
      <w:r w:rsidRPr="0019406C">
        <w:rPr>
          <w:rFonts w:asciiTheme="majorHAnsi" w:hAnsiTheme="majorHAnsi"/>
          <w:bCs/>
          <w:lang w:val="lv-LV"/>
        </w:rPr>
        <w:t xml:space="preserve"> </w:t>
      </w:r>
      <w:r w:rsidRPr="0019406C">
        <w:rPr>
          <w:rFonts w:asciiTheme="majorHAnsi" w:hAnsiTheme="majorHAnsi"/>
          <w:bCs/>
          <w:lang w:val="lv-LV"/>
        </w:rPr>
        <w:tab/>
        <w:t xml:space="preserve">– </w:t>
      </w:r>
      <w:r w:rsidRPr="0019406C">
        <w:rPr>
          <w:rFonts w:asciiTheme="majorHAnsi" w:hAnsiTheme="majorHAnsi"/>
          <w:lang w:val="lv-LV"/>
        </w:rPr>
        <w:t>Vecākā projektu vadītāja, pētniece</w:t>
      </w:r>
    </w:p>
    <w:p w:rsidR="004C51AE" w:rsidRPr="0019406C" w:rsidRDefault="004C51AE" w:rsidP="006B022F">
      <w:pPr>
        <w:spacing w:after="0" w:line="276" w:lineRule="auto"/>
        <w:rPr>
          <w:rFonts w:asciiTheme="majorHAnsi" w:hAnsiTheme="majorHAnsi"/>
          <w:lang w:val="lv-LV"/>
        </w:rPr>
      </w:pPr>
      <w:proofErr w:type="spellStart"/>
      <w:r w:rsidRPr="0019406C">
        <w:rPr>
          <w:rFonts w:asciiTheme="majorHAnsi" w:hAnsiTheme="majorHAnsi"/>
          <w:bCs/>
          <w:lang w:val="lv-LV"/>
        </w:rPr>
        <w:t>Jeļena</w:t>
      </w:r>
      <w:proofErr w:type="spellEnd"/>
      <w:r w:rsidRPr="0019406C">
        <w:rPr>
          <w:rFonts w:asciiTheme="majorHAnsi" w:hAnsiTheme="majorHAnsi"/>
          <w:bCs/>
          <w:lang w:val="lv-LV"/>
        </w:rPr>
        <w:t xml:space="preserve"> </w:t>
      </w:r>
      <w:proofErr w:type="spellStart"/>
      <w:r w:rsidRPr="0019406C">
        <w:rPr>
          <w:rFonts w:asciiTheme="majorHAnsi" w:hAnsiTheme="majorHAnsi"/>
          <w:bCs/>
          <w:lang w:val="lv-LV"/>
        </w:rPr>
        <w:t>Petrova</w:t>
      </w:r>
      <w:proofErr w:type="spellEnd"/>
      <w:r w:rsidRPr="0019406C">
        <w:rPr>
          <w:rFonts w:asciiTheme="majorHAnsi" w:hAnsiTheme="majorHAnsi"/>
          <w:bCs/>
          <w:lang w:val="lv-LV"/>
        </w:rPr>
        <w:t xml:space="preserve"> </w:t>
      </w:r>
      <w:r w:rsidRPr="0019406C">
        <w:rPr>
          <w:rFonts w:asciiTheme="majorHAnsi" w:hAnsiTheme="majorHAnsi"/>
          <w:bCs/>
          <w:lang w:val="lv-LV"/>
        </w:rPr>
        <w:tab/>
      </w:r>
      <w:r w:rsidRPr="0019406C">
        <w:rPr>
          <w:rFonts w:asciiTheme="majorHAnsi" w:hAnsiTheme="majorHAnsi"/>
          <w:bCs/>
          <w:lang w:val="lv-LV"/>
        </w:rPr>
        <w:tab/>
        <w:t xml:space="preserve">– </w:t>
      </w:r>
      <w:r w:rsidRPr="0019406C">
        <w:rPr>
          <w:rFonts w:asciiTheme="majorHAnsi" w:hAnsiTheme="majorHAnsi"/>
          <w:lang w:val="lv-LV"/>
        </w:rPr>
        <w:t>Projektu vadītāja, pētniece</w:t>
      </w:r>
    </w:p>
    <w:p w:rsidR="004C51AE" w:rsidRPr="0019406C" w:rsidRDefault="004C51AE" w:rsidP="006B022F">
      <w:pPr>
        <w:spacing w:after="0" w:line="276" w:lineRule="auto"/>
        <w:rPr>
          <w:rFonts w:asciiTheme="majorHAnsi" w:hAnsiTheme="majorHAnsi"/>
          <w:lang w:val="lv-LV"/>
        </w:rPr>
      </w:pPr>
      <w:r w:rsidRPr="0019406C">
        <w:rPr>
          <w:rFonts w:asciiTheme="majorHAnsi" w:hAnsiTheme="majorHAnsi"/>
          <w:bCs/>
          <w:lang w:val="lv-LV"/>
        </w:rPr>
        <w:t xml:space="preserve">Ilze </w:t>
      </w:r>
      <w:proofErr w:type="spellStart"/>
      <w:r w:rsidRPr="0019406C">
        <w:rPr>
          <w:rFonts w:asciiTheme="majorHAnsi" w:hAnsiTheme="majorHAnsi"/>
          <w:bCs/>
          <w:lang w:val="lv-LV"/>
        </w:rPr>
        <w:t>Gansone</w:t>
      </w:r>
      <w:proofErr w:type="spellEnd"/>
      <w:r w:rsidRPr="0019406C">
        <w:rPr>
          <w:rFonts w:asciiTheme="majorHAnsi" w:hAnsiTheme="majorHAnsi"/>
          <w:bCs/>
          <w:lang w:val="lv-LV"/>
        </w:rPr>
        <w:t xml:space="preserve"> </w:t>
      </w:r>
      <w:r w:rsidRPr="0019406C">
        <w:rPr>
          <w:rFonts w:asciiTheme="majorHAnsi" w:hAnsiTheme="majorHAnsi"/>
          <w:bCs/>
          <w:lang w:val="lv-LV"/>
        </w:rPr>
        <w:tab/>
      </w:r>
      <w:r w:rsidRPr="0019406C">
        <w:rPr>
          <w:rFonts w:asciiTheme="majorHAnsi" w:hAnsiTheme="majorHAnsi"/>
          <w:bCs/>
          <w:lang w:val="lv-LV"/>
        </w:rPr>
        <w:tab/>
        <w:t xml:space="preserve">– </w:t>
      </w:r>
      <w:r w:rsidRPr="0019406C">
        <w:rPr>
          <w:rFonts w:asciiTheme="majorHAnsi" w:hAnsiTheme="majorHAnsi"/>
          <w:lang w:val="lv-LV"/>
        </w:rPr>
        <w:t>Projektu vadītāja, pētniece</w:t>
      </w:r>
    </w:p>
    <w:p w:rsidR="004C51AE" w:rsidRPr="0019406C" w:rsidRDefault="004C51AE" w:rsidP="006B022F">
      <w:pPr>
        <w:spacing w:after="0" w:line="276" w:lineRule="auto"/>
        <w:rPr>
          <w:rFonts w:asciiTheme="majorHAnsi" w:hAnsiTheme="majorHAnsi"/>
          <w:lang w:val="lv-LV"/>
        </w:rPr>
      </w:pPr>
      <w:r w:rsidRPr="0019406C">
        <w:rPr>
          <w:rFonts w:asciiTheme="majorHAnsi" w:hAnsiTheme="majorHAnsi"/>
          <w:bCs/>
          <w:lang w:val="lv-LV"/>
        </w:rPr>
        <w:t xml:space="preserve">Daiga </w:t>
      </w:r>
      <w:proofErr w:type="spellStart"/>
      <w:r w:rsidRPr="0019406C">
        <w:rPr>
          <w:rFonts w:asciiTheme="majorHAnsi" w:hAnsiTheme="majorHAnsi"/>
          <w:bCs/>
          <w:lang w:val="lv-LV"/>
        </w:rPr>
        <w:t>Konceviča</w:t>
      </w:r>
      <w:proofErr w:type="spellEnd"/>
      <w:r w:rsidRPr="0019406C">
        <w:rPr>
          <w:rFonts w:asciiTheme="majorHAnsi" w:hAnsiTheme="majorHAnsi"/>
          <w:bCs/>
          <w:lang w:val="lv-LV"/>
        </w:rPr>
        <w:t xml:space="preserve"> </w:t>
      </w:r>
      <w:r w:rsidRPr="0019406C">
        <w:rPr>
          <w:rFonts w:asciiTheme="majorHAnsi" w:hAnsiTheme="majorHAnsi"/>
          <w:bCs/>
          <w:lang w:val="lv-LV"/>
        </w:rPr>
        <w:tab/>
        <w:t xml:space="preserve">– </w:t>
      </w:r>
      <w:r w:rsidRPr="0019406C">
        <w:rPr>
          <w:rFonts w:asciiTheme="majorHAnsi" w:hAnsiTheme="majorHAnsi"/>
          <w:lang w:val="lv-LV"/>
        </w:rPr>
        <w:t xml:space="preserve">Projektu vadītāja, pētniece </w:t>
      </w:r>
    </w:p>
    <w:p w:rsidR="004C51AE" w:rsidRPr="0019406C" w:rsidRDefault="004C51AE" w:rsidP="006B022F">
      <w:pPr>
        <w:spacing w:after="0" w:line="276" w:lineRule="auto"/>
        <w:rPr>
          <w:rFonts w:asciiTheme="majorHAnsi" w:hAnsiTheme="majorHAnsi"/>
          <w:lang w:val="lv-LV"/>
        </w:rPr>
      </w:pPr>
      <w:r w:rsidRPr="0019406C">
        <w:rPr>
          <w:rFonts w:asciiTheme="majorHAnsi" w:hAnsiTheme="majorHAnsi"/>
          <w:lang w:val="lv-LV"/>
        </w:rPr>
        <w:t xml:space="preserve">Evija </w:t>
      </w:r>
      <w:proofErr w:type="spellStart"/>
      <w:r w:rsidRPr="0019406C">
        <w:rPr>
          <w:rFonts w:asciiTheme="majorHAnsi" w:hAnsiTheme="majorHAnsi"/>
          <w:lang w:val="lv-LV"/>
        </w:rPr>
        <w:t>Mansone</w:t>
      </w:r>
      <w:proofErr w:type="spellEnd"/>
      <w:r w:rsidRPr="0019406C">
        <w:rPr>
          <w:rFonts w:asciiTheme="majorHAnsi" w:hAnsiTheme="majorHAnsi"/>
          <w:lang w:val="lv-LV"/>
        </w:rPr>
        <w:t xml:space="preserve"> </w:t>
      </w:r>
      <w:r w:rsidRPr="0019406C">
        <w:rPr>
          <w:rFonts w:asciiTheme="majorHAnsi" w:hAnsiTheme="majorHAnsi"/>
          <w:lang w:val="lv-LV"/>
        </w:rPr>
        <w:tab/>
      </w:r>
      <w:r w:rsidRPr="0019406C">
        <w:rPr>
          <w:rFonts w:asciiTheme="majorHAnsi" w:hAnsiTheme="majorHAnsi"/>
          <w:lang w:val="lv-LV"/>
        </w:rPr>
        <w:tab/>
        <w:t>– Lauka darba vadītāja; kvalitātes pārbaudes vadītāja</w:t>
      </w:r>
    </w:p>
    <w:p w:rsidR="004C51AE" w:rsidRPr="0019406C" w:rsidRDefault="004C51AE" w:rsidP="006B022F">
      <w:pPr>
        <w:spacing w:after="0" w:line="276" w:lineRule="auto"/>
        <w:rPr>
          <w:rFonts w:asciiTheme="majorHAnsi" w:hAnsiTheme="majorHAnsi"/>
          <w:lang w:val="lv-LV"/>
        </w:rPr>
      </w:pPr>
      <w:r w:rsidRPr="0019406C">
        <w:rPr>
          <w:rFonts w:asciiTheme="majorHAnsi" w:hAnsiTheme="majorHAnsi"/>
          <w:bCs/>
          <w:lang w:val="lv-LV"/>
        </w:rPr>
        <w:t>Oskars Zalāns</w:t>
      </w:r>
      <w:r w:rsidRPr="0019406C">
        <w:rPr>
          <w:rFonts w:asciiTheme="majorHAnsi" w:hAnsiTheme="majorHAnsi"/>
          <w:lang w:val="lv-LV"/>
        </w:rPr>
        <w:t xml:space="preserve"> </w:t>
      </w:r>
      <w:r w:rsidRPr="0019406C">
        <w:rPr>
          <w:rFonts w:asciiTheme="majorHAnsi" w:hAnsiTheme="majorHAnsi"/>
          <w:lang w:val="lv-LV"/>
        </w:rPr>
        <w:tab/>
      </w:r>
      <w:r w:rsidRPr="0019406C">
        <w:rPr>
          <w:rFonts w:asciiTheme="majorHAnsi" w:hAnsiTheme="majorHAnsi"/>
          <w:lang w:val="lv-LV"/>
        </w:rPr>
        <w:tab/>
        <w:t>– Pētnieks-analītiķis</w:t>
      </w:r>
    </w:p>
    <w:p w:rsidR="004C51AE" w:rsidRPr="0019406C" w:rsidRDefault="004C51AE" w:rsidP="006B022F">
      <w:pPr>
        <w:spacing w:after="0" w:line="276" w:lineRule="auto"/>
        <w:rPr>
          <w:rFonts w:asciiTheme="majorHAnsi" w:hAnsiTheme="majorHAnsi"/>
          <w:lang w:val="lv-LV"/>
        </w:rPr>
      </w:pPr>
      <w:r w:rsidRPr="0019406C">
        <w:rPr>
          <w:rFonts w:asciiTheme="majorHAnsi" w:hAnsiTheme="majorHAnsi"/>
          <w:lang w:val="lv-LV"/>
        </w:rPr>
        <w:t xml:space="preserve">Ivars Krastiņš </w:t>
      </w:r>
      <w:r w:rsidRPr="0019406C">
        <w:rPr>
          <w:rFonts w:asciiTheme="majorHAnsi" w:hAnsiTheme="majorHAnsi"/>
          <w:lang w:val="lv-LV"/>
        </w:rPr>
        <w:tab/>
      </w:r>
      <w:r w:rsidRPr="0019406C">
        <w:rPr>
          <w:rFonts w:asciiTheme="majorHAnsi" w:hAnsiTheme="majorHAnsi"/>
          <w:lang w:val="lv-LV"/>
        </w:rPr>
        <w:tab/>
        <w:t>– Datu ievads un apstrāde</w:t>
      </w:r>
    </w:p>
    <w:p w:rsidR="004C51AE" w:rsidRPr="0019406C" w:rsidRDefault="004C51AE" w:rsidP="007519BC">
      <w:pPr>
        <w:pStyle w:val="Heading30"/>
        <w:spacing w:after="0" w:line="240" w:lineRule="auto"/>
        <w:jc w:val="both"/>
        <w:rPr>
          <w:rFonts w:asciiTheme="majorHAnsi" w:hAnsiTheme="majorHAnsi"/>
        </w:rPr>
      </w:pPr>
    </w:p>
    <w:p w:rsidR="004C51AE" w:rsidRPr="0019406C" w:rsidRDefault="004C51AE" w:rsidP="007519BC">
      <w:pPr>
        <w:pStyle w:val="BodyText"/>
        <w:spacing w:line="240" w:lineRule="auto"/>
        <w:rPr>
          <w:rFonts w:asciiTheme="majorHAnsi" w:hAnsiTheme="majorHAnsi"/>
          <w:b/>
          <w:sz w:val="22"/>
          <w:lang w:val="lv-LV"/>
        </w:rPr>
      </w:pPr>
      <w:r w:rsidRPr="0019406C">
        <w:rPr>
          <w:rFonts w:asciiTheme="majorHAnsi" w:hAnsiTheme="majorHAnsi"/>
          <w:b/>
          <w:sz w:val="22"/>
          <w:lang w:val="lv-LV"/>
        </w:rPr>
        <w:t>Pasūtītāja pārstāvji</w:t>
      </w:r>
    </w:p>
    <w:tbl>
      <w:tblPr>
        <w:tblW w:w="0" w:type="auto"/>
        <w:tblInd w:w="-34" w:type="dxa"/>
        <w:tblCellMar>
          <w:top w:w="57" w:type="dxa"/>
          <w:bottom w:w="57" w:type="dxa"/>
        </w:tblCellMar>
        <w:tblLook w:val="00A0" w:firstRow="1" w:lastRow="0" w:firstColumn="1" w:lastColumn="0" w:noHBand="0" w:noVBand="0"/>
      </w:tblPr>
      <w:tblGrid>
        <w:gridCol w:w="2161"/>
        <w:gridCol w:w="6179"/>
      </w:tblGrid>
      <w:tr w:rsidR="004C51AE" w:rsidRPr="0019406C" w:rsidTr="006B022F">
        <w:trPr>
          <w:trHeight w:val="77"/>
        </w:trPr>
        <w:tc>
          <w:tcPr>
            <w:tcW w:w="2161" w:type="dxa"/>
            <w:vAlign w:val="center"/>
          </w:tcPr>
          <w:p w:rsidR="004C51AE" w:rsidRPr="0019406C" w:rsidRDefault="004C51AE" w:rsidP="00127A59">
            <w:pPr>
              <w:spacing w:after="0" w:line="240" w:lineRule="auto"/>
              <w:ind w:left="119"/>
              <w:jc w:val="both"/>
              <w:rPr>
                <w:rFonts w:asciiTheme="majorHAnsi" w:hAnsiTheme="majorHAnsi"/>
                <w:bCs/>
                <w:lang w:val="lv-LV"/>
              </w:rPr>
            </w:pPr>
            <w:r w:rsidRPr="0019406C">
              <w:rPr>
                <w:rFonts w:asciiTheme="majorHAnsi" w:hAnsiTheme="majorHAnsi"/>
                <w:lang w:val="lv-LV"/>
              </w:rPr>
              <w:t>Ilze Beināre</w:t>
            </w:r>
          </w:p>
        </w:tc>
        <w:tc>
          <w:tcPr>
            <w:tcW w:w="6179" w:type="dxa"/>
          </w:tcPr>
          <w:p w:rsidR="004C51AE" w:rsidRPr="0019406C" w:rsidRDefault="004C51AE" w:rsidP="00127A59">
            <w:pPr>
              <w:spacing w:after="0" w:line="276" w:lineRule="auto"/>
              <w:ind w:left="125"/>
              <w:rPr>
                <w:rFonts w:asciiTheme="majorHAnsi" w:hAnsiTheme="majorHAnsi"/>
                <w:bCs/>
                <w:lang w:val="lv-LV"/>
              </w:rPr>
            </w:pPr>
            <w:r w:rsidRPr="0019406C">
              <w:rPr>
                <w:rFonts w:asciiTheme="majorHAnsi" w:hAnsiTheme="majorHAnsi" w:cs="Arial Narrow"/>
                <w:bCs/>
                <w:lang w:val="lv-LV" w:eastAsia="lv-LV"/>
              </w:rPr>
              <w:t>Ekonomikas ministrijas Uz</w:t>
            </w:r>
            <w:r w:rsidRPr="0019406C">
              <w:rPr>
                <w:rFonts w:asciiTheme="majorHAnsi" w:hAnsiTheme="majorHAnsi"/>
                <w:bCs/>
                <w:lang w:val="lv-LV" w:eastAsia="lv-LV"/>
              </w:rPr>
              <w:t>ņē</w:t>
            </w:r>
            <w:r w:rsidRPr="0019406C">
              <w:rPr>
                <w:rFonts w:asciiTheme="majorHAnsi" w:hAnsiTheme="majorHAnsi" w:cs="Arial Narrow"/>
                <w:bCs/>
                <w:lang w:val="lv-LV" w:eastAsia="lv-LV"/>
              </w:rPr>
              <w:t>m</w:t>
            </w:r>
            <w:r w:rsidRPr="0019406C">
              <w:rPr>
                <w:rFonts w:asciiTheme="majorHAnsi" w:hAnsiTheme="majorHAnsi"/>
                <w:bCs/>
                <w:lang w:val="lv-LV" w:eastAsia="lv-LV"/>
              </w:rPr>
              <w:t>ē</w:t>
            </w:r>
            <w:r w:rsidRPr="0019406C">
              <w:rPr>
                <w:rFonts w:asciiTheme="majorHAnsi" w:hAnsiTheme="majorHAnsi" w:cs="Arial Narrow"/>
                <w:bCs/>
                <w:lang w:val="lv-LV" w:eastAsia="lv-LV"/>
              </w:rPr>
              <w:t>jdarb</w:t>
            </w:r>
            <w:r w:rsidRPr="0019406C">
              <w:rPr>
                <w:rFonts w:asciiTheme="majorHAnsi" w:hAnsiTheme="majorHAnsi"/>
                <w:bCs/>
                <w:lang w:val="lv-LV" w:eastAsia="lv-LV"/>
              </w:rPr>
              <w:t>ī</w:t>
            </w:r>
            <w:r w:rsidRPr="0019406C">
              <w:rPr>
                <w:rFonts w:asciiTheme="majorHAnsi" w:hAnsiTheme="majorHAnsi" w:cs="Arial Narrow"/>
                <w:bCs/>
                <w:lang w:val="lv-LV" w:eastAsia="lv-LV"/>
              </w:rPr>
              <w:t>bas konkur</w:t>
            </w:r>
            <w:r w:rsidRPr="0019406C">
              <w:rPr>
                <w:rFonts w:asciiTheme="majorHAnsi" w:hAnsiTheme="majorHAnsi"/>
                <w:bCs/>
                <w:lang w:val="lv-LV" w:eastAsia="lv-LV"/>
              </w:rPr>
              <w:t>ē</w:t>
            </w:r>
            <w:r w:rsidRPr="0019406C">
              <w:rPr>
                <w:rFonts w:asciiTheme="majorHAnsi" w:hAnsiTheme="majorHAnsi" w:cs="Arial Narrow"/>
                <w:bCs/>
                <w:lang w:val="lv-LV" w:eastAsia="lv-LV"/>
              </w:rPr>
              <w:t>tsp</w:t>
            </w:r>
            <w:r w:rsidRPr="0019406C">
              <w:rPr>
                <w:rFonts w:asciiTheme="majorHAnsi" w:hAnsiTheme="majorHAnsi"/>
                <w:bCs/>
                <w:lang w:val="lv-LV" w:eastAsia="lv-LV"/>
              </w:rPr>
              <w:t>ē</w:t>
            </w:r>
            <w:r w:rsidRPr="0019406C">
              <w:rPr>
                <w:rFonts w:asciiTheme="majorHAnsi" w:hAnsiTheme="majorHAnsi" w:cs="Arial Narrow"/>
                <w:bCs/>
                <w:lang w:val="lv-LV" w:eastAsia="lv-LV"/>
              </w:rPr>
              <w:t>jas departamenta direktore</w:t>
            </w:r>
          </w:p>
        </w:tc>
      </w:tr>
      <w:tr w:rsidR="004C51AE" w:rsidRPr="00BB0049" w:rsidTr="006B022F">
        <w:trPr>
          <w:trHeight w:val="77"/>
        </w:trPr>
        <w:tc>
          <w:tcPr>
            <w:tcW w:w="2161" w:type="dxa"/>
            <w:vAlign w:val="center"/>
          </w:tcPr>
          <w:p w:rsidR="004C51AE" w:rsidRPr="0019406C" w:rsidRDefault="004C51AE" w:rsidP="00127A59">
            <w:pPr>
              <w:spacing w:after="0" w:line="240" w:lineRule="auto"/>
              <w:ind w:left="125"/>
              <w:rPr>
                <w:rFonts w:asciiTheme="majorHAnsi" w:hAnsiTheme="majorHAnsi"/>
                <w:lang w:val="lv-LV"/>
              </w:rPr>
            </w:pPr>
            <w:r w:rsidRPr="0019406C">
              <w:rPr>
                <w:rFonts w:asciiTheme="majorHAnsi" w:hAnsiTheme="majorHAnsi" w:cs="Arial Narrow"/>
                <w:bCs/>
                <w:lang w:val="lv-LV" w:eastAsia="lv-LV"/>
              </w:rPr>
              <w:t>Ilze Lore</w:t>
            </w:r>
          </w:p>
        </w:tc>
        <w:tc>
          <w:tcPr>
            <w:tcW w:w="6179" w:type="dxa"/>
          </w:tcPr>
          <w:p w:rsidR="004C51AE" w:rsidRPr="0019406C" w:rsidRDefault="004C51AE" w:rsidP="00127A59">
            <w:pPr>
              <w:spacing w:after="0" w:line="276" w:lineRule="auto"/>
              <w:ind w:left="125"/>
              <w:rPr>
                <w:rFonts w:asciiTheme="majorHAnsi" w:hAnsiTheme="majorHAnsi"/>
                <w:bCs/>
                <w:lang w:val="lv-LV"/>
              </w:rPr>
            </w:pPr>
            <w:r w:rsidRPr="0019406C">
              <w:rPr>
                <w:rFonts w:asciiTheme="majorHAnsi" w:hAnsiTheme="majorHAnsi" w:cs="Arial Narrow"/>
                <w:bCs/>
                <w:lang w:val="lv-LV" w:eastAsia="lv-LV"/>
              </w:rPr>
              <w:t>Ekonomikas ministrijas Uz</w:t>
            </w:r>
            <w:r w:rsidRPr="0019406C">
              <w:rPr>
                <w:rFonts w:asciiTheme="majorHAnsi" w:hAnsiTheme="majorHAnsi"/>
                <w:bCs/>
                <w:lang w:val="lv-LV" w:eastAsia="lv-LV"/>
              </w:rPr>
              <w:t>ņē</w:t>
            </w:r>
            <w:r w:rsidRPr="0019406C">
              <w:rPr>
                <w:rFonts w:asciiTheme="majorHAnsi" w:hAnsiTheme="majorHAnsi" w:cs="Arial Narrow"/>
                <w:bCs/>
                <w:lang w:val="lv-LV" w:eastAsia="lv-LV"/>
              </w:rPr>
              <w:t>m</w:t>
            </w:r>
            <w:r w:rsidRPr="0019406C">
              <w:rPr>
                <w:rFonts w:asciiTheme="majorHAnsi" w:hAnsiTheme="majorHAnsi"/>
                <w:bCs/>
                <w:lang w:val="lv-LV" w:eastAsia="lv-LV"/>
              </w:rPr>
              <w:t>ē</w:t>
            </w:r>
            <w:r w:rsidRPr="0019406C">
              <w:rPr>
                <w:rFonts w:asciiTheme="majorHAnsi" w:hAnsiTheme="majorHAnsi" w:cs="Arial Narrow"/>
                <w:bCs/>
                <w:lang w:val="lv-LV" w:eastAsia="lv-LV"/>
              </w:rPr>
              <w:t>jdarb</w:t>
            </w:r>
            <w:r w:rsidRPr="0019406C">
              <w:rPr>
                <w:rFonts w:asciiTheme="majorHAnsi" w:hAnsiTheme="majorHAnsi"/>
                <w:bCs/>
                <w:lang w:val="lv-LV" w:eastAsia="lv-LV"/>
              </w:rPr>
              <w:t>ī</w:t>
            </w:r>
            <w:r w:rsidRPr="0019406C">
              <w:rPr>
                <w:rFonts w:asciiTheme="majorHAnsi" w:hAnsiTheme="majorHAnsi" w:cs="Arial Narrow"/>
                <w:bCs/>
                <w:lang w:val="lv-LV" w:eastAsia="lv-LV"/>
              </w:rPr>
              <w:t>bas konkur</w:t>
            </w:r>
            <w:r w:rsidRPr="0019406C">
              <w:rPr>
                <w:rFonts w:asciiTheme="majorHAnsi" w:hAnsiTheme="majorHAnsi"/>
                <w:bCs/>
                <w:lang w:val="lv-LV" w:eastAsia="lv-LV"/>
              </w:rPr>
              <w:t>ē</w:t>
            </w:r>
            <w:r w:rsidRPr="0019406C">
              <w:rPr>
                <w:rFonts w:asciiTheme="majorHAnsi" w:hAnsiTheme="majorHAnsi" w:cs="Arial Narrow"/>
                <w:bCs/>
                <w:lang w:val="lv-LV" w:eastAsia="lv-LV"/>
              </w:rPr>
              <w:t>tsp</w:t>
            </w:r>
            <w:r w:rsidRPr="0019406C">
              <w:rPr>
                <w:rFonts w:asciiTheme="majorHAnsi" w:hAnsiTheme="majorHAnsi"/>
                <w:bCs/>
                <w:lang w:val="lv-LV" w:eastAsia="lv-LV"/>
              </w:rPr>
              <w:t>ē</w:t>
            </w:r>
            <w:r w:rsidRPr="0019406C">
              <w:rPr>
                <w:rFonts w:asciiTheme="majorHAnsi" w:hAnsiTheme="majorHAnsi" w:cs="Arial Narrow"/>
                <w:bCs/>
                <w:lang w:val="lv-LV" w:eastAsia="lv-LV"/>
              </w:rPr>
              <w:t>jas departamenta Uz</w:t>
            </w:r>
            <w:r w:rsidRPr="0019406C">
              <w:rPr>
                <w:rFonts w:asciiTheme="majorHAnsi" w:hAnsiTheme="majorHAnsi"/>
                <w:bCs/>
                <w:lang w:val="lv-LV" w:eastAsia="lv-LV"/>
              </w:rPr>
              <w:t>ņē</w:t>
            </w:r>
            <w:r w:rsidRPr="0019406C">
              <w:rPr>
                <w:rFonts w:asciiTheme="majorHAnsi" w:hAnsiTheme="majorHAnsi" w:cs="Arial Narrow"/>
                <w:bCs/>
                <w:lang w:val="lv-LV" w:eastAsia="lv-LV"/>
              </w:rPr>
              <w:t>m</w:t>
            </w:r>
            <w:r w:rsidRPr="0019406C">
              <w:rPr>
                <w:rFonts w:asciiTheme="majorHAnsi" w:hAnsiTheme="majorHAnsi"/>
                <w:bCs/>
                <w:lang w:val="lv-LV" w:eastAsia="lv-LV"/>
              </w:rPr>
              <w:t>ē</w:t>
            </w:r>
            <w:r w:rsidRPr="0019406C">
              <w:rPr>
                <w:rFonts w:asciiTheme="majorHAnsi" w:hAnsiTheme="majorHAnsi" w:cs="Arial Narrow"/>
                <w:bCs/>
                <w:lang w:val="lv-LV" w:eastAsia="lv-LV"/>
              </w:rPr>
              <w:t>jdarb</w:t>
            </w:r>
            <w:r w:rsidRPr="0019406C">
              <w:rPr>
                <w:rFonts w:asciiTheme="majorHAnsi" w:hAnsiTheme="majorHAnsi"/>
                <w:bCs/>
                <w:lang w:val="lv-LV" w:eastAsia="lv-LV"/>
              </w:rPr>
              <w:t>ī</w:t>
            </w:r>
            <w:r w:rsidRPr="0019406C">
              <w:rPr>
                <w:rFonts w:asciiTheme="majorHAnsi" w:hAnsiTheme="majorHAnsi" w:cs="Arial Narrow"/>
                <w:bCs/>
                <w:lang w:val="lv-LV" w:eastAsia="lv-LV"/>
              </w:rPr>
              <w:t>bas vides uzlabošanas noda</w:t>
            </w:r>
            <w:r w:rsidRPr="0019406C">
              <w:rPr>
                <w:rFonts w:asciiTheme="majorHAnsi" w:hAnsiTheme="majorHAnsi"/>
                <w:bCs/>
                <w:lang w:val="lv-LV" w:eastAsia="lv-LV"/>
              </w:rPr>
              <w:t>ļ</w:t>
            </w:r>
            <w:r w:rsidRPr="0019406C">
              <w:rPr>
                <w:rFonts w:asciiTheme="majorHAnsi" w:hAnsiTheme="majorHAnsi" w:cs="Arial Narrow"/>
                <w:bCs/>
                <w:lang w:val="lv-LV" w:eastAsia="lv-LV"/>
              </w:rPr>
              <w:t>as vadītāja</w:t>
            </w:r>
          </w:p>
        </w:tc>
      </w:tr>
    </w:tbl>
    <w:p w:rsidR="002A0805" w:rsidRPr="0019406C" w:rsidRDefault="002A0805">
      <w:pPr>
        <w:rPr>
          <w:rFonts w:asciiTheme="majorHAnsi" w:eastAsiaTheme="majorEastAsia" w:hAnsiTheme="majorHAnsi" w:cstheme="majorBidi"/>
          <w:b/>
          <w:bCs/>
          <w:i/>
          <w:sz w:val="56"/>
          <w:szCs w:val="28"/>
          <w:lang w:val="lv-LV"/>
        </w:rPr>
      </w:pPr>
    </w:p>
    <w:p w:rsidR="006D2EA5" w:rsidRPr="0019406C" w:rsidRDefault="006D2EA5" w:rsidP="006D2EA5">
      <w:pPr>
        <w:pStyle w:val="Heading1"/>
        <w:rPr>
          <w:lang w:val="lv-LV"/>
        </w:rPr>
      </w:pPr>
      <w:bookmarkStart w:id="47" w:name="_Toc389226077"/>
      <w:r w:rsidRPr="0019406C">
        <w:rPr>
          <w:lang w:val="lv-LV"/>
        </w:rPr>
        <w:lastRenderedPageBreak/>
        <w:t>Tematiskās nodaļas</w:t>
      </w:r>
      <w:bookmarkEnd w:id="47"/>
    </w:p>
    <w:p w:rsidR="004A6E92" w:rsidRPr="0019406C" w:rsidRDefault="002941CB" w:rsidP="0088321F">
      <w:pPr>
        <w:pStyle w:val="BodyText"/>
        <w:spacing w:line="276" w:lineRule="auto"/>
        <w:rPr>
          <w:lang w:val="lv-LV"/>
        </w:rPr>
      </w:pPr>
      <w:r w:rsidRPr="0019406C">
        <w:rPr>
          <w:lang w:val="lv-LV"/>
        </w:rPr>
        <w:t>Z</w:t>
      </w:r>
      <w:r w:rsidR="004A6E92" w:rsidRPr="0019406C">
        <w:rPr>
          <w:lang w:val="lv-LV"/>
        </w:rPr>
        <w:t>iņojuma struktūr</w:t>
      </w:r>
      <w:r w:rsidRPr="0019406C">
        <w:rPr>
          <w:lang w:val="lv-LV"/>
        </w:rPr>
        <w:t>a</w:t>
      </w:r>
      <w:r w:rsidR="004A6E92" w:rsidRPr="0019406C">
        <w:rPr>
          <w:lang w:val="lv-LV"/>
        </w:rPr>
        <w:t xml:space="preserve"> </w:t>
      </w:r>
      <w:r w:rsidRPr="0019406C">
        <w:rPr>
          <w:lang w:val="lv-LV"/>
        </w:rPr>
        <w:t>veidota atbilstoši tehniskajai specifikācijai, kā arī</w:t>
      </w:r>
      <w:r w:rsidR="004A6E92" w:rsidRPr="0019406C">
        <w:rPr>
          <w:lang w:val="lv-LV"/>
        </w:rPr>
        <w:t>, lai ziņojuma saturs atbilstu ziņojuma izstrādes metodoloģijai, kas aprakstīta ziņojuma 1.sadaļā</w:t>
      </w:r>
      <w:r w:rsidRPr="0019406C">
        <w:rPr>
          <w:lang w:val="lv-LV"/>
        </w:rPr>
        <w:t>. I</w:t>
      </w:r>
      <w:r w:rsidR="004A6E92" w:rsidRPr="0019406C">
        <w:rPr>
          <w:lang w:val="lv-LV"/>
        </w:rPr>
        <w:t>nformācija tematiskajās sadaļās strukturēta šādā secībā:</w:t>
      </w:r>
    </w:p>
    <w:p w:rsidR="00B8250D" w:rsidRPr="0019406C" w:rsidRDefault="00B8250D" w:rsidP="0088321F">
      <w:pPr>
        <w:pStyle w:val="BodyText"/>
        <w:numPr>
          <w:ilvl w:val="0"/>
          <w:numId w:val="52"/>
        </w:numPr>
        <w:spacing w:line="276" w:lineRule="auto"/>
        <w:rPr>
          <w:lang w:val="lv-LV"/>
        </w:rPr>
      </w:pPr>
      <w:r w:rsidRPr="0019406C">
        <w:rPr>
          <w:lang w:val="lv-LV"/>
        </w:rPr>
        <w:t>Uzņē</w:t>
      </w:r>
      <w:r w:rsidR="00627B52" w:rsidRPr="0019406C">
        <w:rPr>
          <w:lang w:val="lv-LV"/>
        </w:rPr>
        <w:t xml:space="preserve">mēju </w:t>
      </w:r>
      <w:r w:rsidRPr="0019406C">
        <w:rPr>
          <w:lang w:val="lv-LV"/>
        </w:rPr>
        <w:t>aptaujas rezultāti;</w:t>
      </w:r>
    </w:p>
    <w:p w:rsidR="004A6E92" w:rsidRPr="0019406C" w:rsidRDefault="004A6E92" w:rsidP="0088321F">
      <w:pPr>
        <w:pStyle w:val="BodyText"/>
        <w:numPr>
          <w:ilvl w:val="0"/>
          <w:numId w:val="52"/>
        </w:numPr>
        <w:spacing w:line="276" w:lineRule="auto"/>
        <w:rPr>
          <w:lang w:val="lv-LV"/>
        </w:rPr>
      </w:pPr>
      <w:r w:rsidRPr="0019406C">
        <w:rPr>
          <w:lang w:val="lv-LV"/>
        </w:rPr>
        <w:t>Pasaules Bankas Doing Business pētījuma rezultāti (jā tādi ir pieejami par attiecīgo jomu);</w:t>
      </w:r>
    </w:p>
    <w:p w:rsidR="004A6E92" w:rsidRPr="0019406C" w:rsidRDefault="004A6E92" w:rsidP="0088321F">
      <w:pPr>
        <w:pStyle w:val="BodyText"/>
        <w:numPr>
          <w:ilvl w:val="0"/>
          <w:numId w:val="52"/>
        </w:numPr>
        <w:spacing w:line="276" w:lineRule="auto"/>
        <w:rPr>
          <w:lang w:val="lv-LV"/>
        </w:rPr>
      </w:pPr>
      <w:r w:rsidRPr="0019406C">
        <w:rPr>
          <w:lang w:val="lv-LV"/>
        </w:rPr>
        <w:t>Globālās konkurētspējas indeksa rezultāti (ja tādi ir pieejami par attiecīgo jomu);</w:t>
      </w:r>
    </w:p>
    <w:p w:rsidR="004A6E92" w:rsidRPr="0019406C" w:rsidRDefault="004A6E92" w:rsidP="0088321F">
      <w:pPr>
        <w:pStyle w:val="BodyText"/>
        <w:numPr>
          <w:ilvl w:val="0"/>
          <w:numId w:val="52"/>
        </w:numPr>
        <w:spacing w:line="276" w:lineRule="auto"/>
        <w:rPr>
          <w:lang w:val="lv-LV"/>
        </w:rPr>
      </w:pPr>
      <w:r w:rsidRPr="0019406C">
        <w:rPr>
          <w:lang w:val="lv-LV"/>
        </w:rPr>
        <w:t>Pēdējās aktuālās izmaiņas administratīvo šķēršļu mazināšanā</w:t>
      </w:r>
      <w:r w:rsidR="00B8250D" w:rsidRPr="0019406C">
        <w:rPr>
          <w:lang w:val="lv-LV"/>
        </w:rPr>
        <w:t xml:space="preserve"> (ja pieejama)</w:t>
      </w:r>
      <w:r w:rsidRPr="0019406C">
        <w:rPr>
          <w:lang w:val="lv-LV"/>
        </w:rPr>
        <w:t>;</w:t>
      </w:r>
    </w:p>
    <w:p w:rsidR="004A6E92" w:rsidRPr="0019406C" w:rsidRDefault="004A6E92" w:rsidP="0088321F">
      <w:pPr>
        <w:pStyle w:val="BodyText"/>
        <w:numPr>
          <w:ilvl w:val="0"/>
          <w:numId w:val="52"/>
        </w:numPr>
        <w:spacing w:line="276" w:lineRule="auto"/>
        <w:rPr>
          <w:lang w:val="lv-LV"/>
        </w:rPr>
      </w:pPr>
      <w:r w:rsidRPr="0019406C">
        <w:rPr>
          <w:lang w:val="lv-LV"/>
        </w:rPr>
        <w:t>Informācija no citiem pētījumiem (ja pieejama);</w:t>
      </w:r>
    </w:p>
    <w:p w:rsidR="004A6E92" w:rsidRPr="0019406C" w:rsidRDefault="004A6E92" w:rsidP="0088321F">
      <w:pPr>
        <w:pStyle w:val="BodyText"/>
        <w:numPr>
          <w:ilvl w:val="0"/>
          <w:numId w:val="52"/>
        </w:numPr>
        <w:spacing w:line="276" w:lineRule="auto"/>
        <w:rPr>
          <w:lang w:val="lv-LV"/>
        </w:rPr>
      </w:pPr>
      <w:r w:rsidRPr="0019406C">
        <w:rPr>
          <w:lang w:val="lv-LV"/>
        </w:rPr>
        <w:t>Citu valstu pieredze (jomās, kurās izvirzāmi priekšlikumi);</w:t>
      </w:r>
    </w:p>
    <w:p w:rsidR="00042128" w:rsidRPr="0019406C" w:rsidRDefault="002429FF" w:rsidP="0088321F">
      <w:pPr>
        <w:pStyle w:val="BodyText"/>
        <w:numPr>
          <w:ilvl w:val="0"/>
          <w:numId w:val="52"/>
        </w:numPr>
        <w:spacing w:line="276" w:lineRule="auto"/>
        <w:rPr>
          <w:lang w:val="lv-LV"/>
        </w:rPr>
      </w:pPr>
      <w:r w:rsidRPr="0019406C">
        <w:rPr>
          <w:lang w:val="lv-LV"/>
        </w:rPr>
        <w:t>Secinājumi un priekšlikumi</w:t>
      </w:r>
      <w:r w:rsidR="00042128" w:rsidRPr="0019406C">
        <w:rPr>
          <w:lang w:val="lv-LV"/>
        </w:rPr>
        <w:t>;</w:t>
      </w:r>
    </w:p>
    <w:p w:rsidR="004A6E92" w:rsidRPr="0019406C" w:rsidRDefault="00042128" w:rsidP="0088321F">
      <w:pPr>
        <w:pStyle w:val="BodyText"/>
        <w:numPr>
          <w:ilvl w:val="0"/>
          <w:numId w:val="52"/>
        </w:numPr>
        <w:spacing w:line="276" w:lineRule="auto"/>
        <w:rPr>
          <w:lang w:val="lv-LV"/>
        </w:rPr>
      </w:pPr>
      <w:r w:rsidRPr="0019406C">
        <w:rPr>
          <w:lang w:val="lv-LV"/>
        </w:rPr>
        <w:t>Ekspertu diskusija</w:t>
      </w:r>
      <w:r w:rsidR="002429FF" w:rsidRPr="0019406C">
        <w:rPr>
          <w:lang w:val="lv-LV"/>
        </w:rPr>
        <w:t xml:space="preserve"> (jomās, </w:t>
      </w:r>
      <w:r w:rsidR="007B41BD" w:rsidRPr="0019406C">
        <w:rPr>
          <w:lang w:val="lv-LV"/>
        </w:rPr>
        <w:t>kurās tika rīkotas diskusijas</w:t>
      </w:r>
      <w:r w:rsidR="002429FF" w:rsidRPr="0019406C">
        <w:rPr>
          <w:lang w:val="lv-LV"/>
        </w:rPr>
        <w:t>).</w:t>
      </w:r>
    </w:p>
    <w:p w:rsidR="004A6E92" w:rsidRPr="0019406C" w:rsidRDefault="004A6E92" w:rsidP="004A6E92">
      <w:pPr>
        <w:pStyle w:val="BodyText"/>
        <w:rPr>
          <w:lang w:val="lv-LV"/>
        </w:rPr>
      </w:pPr>
    </w:p>
    <w:p w:rsidR="0029580E" w:rsidRPr="0019406C" w:rsidRDefault="0029580E" w:rsidP="0029580E">
      <w:pPr>
        <w:pStyle w:val="Heading2"/>
        <w:rPr>
          <w:lang w:val="lv-LV"/>
        </w:rPr>
      </w:pPr>
      <w:bookmarkStart w:id="48" w:name="_Toc381483891"/>
      <w:bookmarkStart w:id="49" w:name="_Toc389226078"/>
      <w:bookmarkStart w:id="50" w:name="_Toc381343949"/>
      <w:bookmarkStart w:id="51" w:name="_Toc381343945"/>
      <w:r w:rsidRPr="0019406C">
        <w:rPr>
          <w:lang w:val="lv-LV"/>
        </w:rPr>
        <w:t>Uzņēmējdarbības uzsākšana (reģistrēšana)</w:t>
      </w:r>
      <w:bookmarkEnd w:id="48"/>
      <w:bookmarkEnd w:id="49"/>
    </w:p>
    <w:p w:rsidR="0029580E" w:rsidRPr="0019406C" w:rsidRDefault="0029580E" w:rsidP="0029580E">
      <w:pPr>
        <w:pStyle w:val="BodyText"/>
        <w:rPr>
          <w:rFonts w:asciiTheme="majorHAnsi" w:hAnsiTheme="majorHAnsi"/>
          <w:lang w:val="lv-LV"/>
        </w:rPr>
      </w:pPr>
    </w:p>
    <w:p w:rsidR="00163862" w:rsidRPr="0019406C" w:rsidRDefault="00163862" w:rsidP="00163862">
      <w:pPr>
        <w:pStyle w:val="BodyText"/>
        <w:rPr>
          <w:rFonts w:asciiTheme="majorHAnsi" w:hAnsiTheme="majorHAnsi"/>
          <w:b/>
          <w:sz w:val="22"/>
          <w:lang w:val="lv-LV"/>
        </w:rPr>
      </w:pPr>
      <w:r w:rsidRPr="0019406C">
        <w:rPr>
          <w:rFonts w:asciiTheme="majorHAnsi" w:hAnsiTheme="majorHAnsi"/>
          <w:b/>
          <w:sz w:val="22"/>
          <w:lang w:val="lv-LV"/>
        </w:rPr>
        <w:t>Uzņēmēju aptauja</w:t>
      </w:r>
    </w:p>
    <w:p w:rsidR="00163862" w:rsidRPr="0019406C" w:rsidRDefault="00163862" w:rsidP="00163862">
      <w:pPr>
        <w:pStyle w:val="BodyText"/>
        <w:spacing w:line="276" w:lineRule="auto"/>
        <w:jc w:val="both"/>
        <w:rPr>
          <w:rFonts w:asciiTheme="majorHAnsi" w:hAnsiTheme="majorHAnsi"/>
          <w:lang w:val="lv-LV"/>
        </w:rPr>
      </w:pPr>
      <w:r w:rsidRPr="0019406C">
        <w:rPr>
          <w:rFonts w:asciiTheme="majorHAnsi" w:hAnsiTheme="majorHAnsi"/>
          <w:lang w:val="lv-LV"/>
        </w:rPr>
        <w:t xml:space="preserve">Latvijas Faktu veiktajā uzņēmēju aptaujā uzņēmējdarbības uzsākšanas jomā ir novērojamas pozitīvas tendences, salīdzinājumā ar iepriekšējos gados veiktajām aptaujām: </w:t>
      </w:r>
    </w:p>
    <w:p w:rsidR="00C3727D" w:rsidRPr="0019406C" w:rsidRDefault="00C3727D" w:rsidP="00E521EE">
      <w:pPr>
        <w:pStyle w:val="BodyText"/>
        <w:numPr>
          <w:ilvl w:val="0"/>
          <w:numId w:val="33"/>
        </w:numPr>
        <w:spacing w:line="276" w:lineRule="auto"/>
        <w:jc w:val="both"/>
        <w:rPr>
          <w:rFonts w:asciiTheme="majorHAnsi" w:hAnsiTheme="majorHAnsi"/>
          <w:lang w:val="lv-LV"/>
        </w:rPr>
      </w:pPr>
      <w:r w:rsidRPr="0019406C">
        <w:rPr>
          <w:rFonts w:asciiTheme="majorHAnsi" w:hAnsiTheme="majorHAnsi"/>
          <w:lang w:val="lv-LV"/>
        </w:rPr>
        <w:t>Jauna uzņēmuma reģistrācijas process ir šķērslis tikai 2% respondentu (problēmas intensitāte 1</w:t>
      </w:r>
      <w:r w:rsidR="00C52B56" w:rsidRPr="0019406C">
        <w:rPr>
          <w:rFonts w:asciiTheme="majorHAnsi" w:hAnsiTheme="majorHAnsi"/>
          <w:lang w:val="lv-LV"/>
        </w:rPr>
        <w:t>,</w:t>
      </w:r>
      <w:r w:rsidRPr="0019406C">
        <w:rPr>
          <w:rFonts w:asciiTheme="majorHAnsi" w:hAnsiTheme="majorHAnsi"/>
          <w:lang w:val="lv-LV"/>
        </w:rPr>
        <w:t>5), salīdzinot ar iepriekšējo aptauju 2011.</w:t>
      </w:r>
      <w:r w:rsidR="00C52B56" w:rsidRPr="0019406C">
        <w:rPr>
          <w:rFonts w:asciiTheme="majorHAnsi" w:hAnsiTheme="majorHAnsi"/>
          <w:lang w:val="lv-LV"/>
        </w:rPr>
        <w:t xml:space="preserve"> </w:t>
      </w:r>
      <w:r w:rsidRPr="0019406C">
        <w:rPr>
          <w:rFonts w:asciiTheme="majorHAnsi" w:hAnsiTheme="majorHAnsi"/>
          <w:lang w:val="lv-LV"/>
        </w:rPr>
        <w:t>gadā ir samazinājusies gan šī šķēršļa izplatība, gan problēmas intensitāte. Kopumā 2014.</w:t>
      </w:r>
      <w:r w:rsidR="00C52B56" w:rsidRPr="0019406C">
        <w:rPr>
          <w:rFonts w:asciiTheme="majorHAnsi" w:hAnsiTheme="majorHAnsi"/>
          <w:lang w:val="lv-LV"/>
        </w:rPr>
        <w:t xml:space="preserve"> </w:t>
      </w:r>
      <w:r w:rsidRPr="0019406C">
        <w:rPr>
          <w:rFonts w:asciiTheme="majorHAnsi" w:hAnsiTheme="majorHAnsi"/>
          <w:lang w:val="lv-LV"/>
        </w:rPr>
        <w:t>gada rādītājs ir zemākais aptaujas veikšan</w:t>
      </w:r>
      <w:r w:rsidR="00C52B56" w:rsidRPr="0019406C">
        <w:rPr>
          <w:rFonts w:asciiTheme="majorHAnsi" w:hAnsiTheme="majorHAnsi"/>
          <w:lang w:val="lv-LV"/>
        </w:rPr>
        <w:t>a</w:t>
      </w:r>
      <w:r w:rsidRPr="0019406C">
        <w:rPr>
          <w:rFonts w:asciiTheme="majorHAnsi" w:hAnsiTheme="majorHAnsi"/>
          <w:lang w:val="lv-LV"/>
        </w:rPr>
        <w:t>s vēsturē.</w:t>
      </w:r>
    </w:p>
    <w:p w:rsidR="00163862" w:rsidRPr="0019406C" w:rsidRDefault="00163862" w:rsidP="00E521EE">
      <w:pPr>
        <w:pStyle w:val="BodyText"/>
        <w:numPr>
          <w:ilvl w:val="0"/>
          <w:numId w:val="33"/>
        </w:numPr>
        <w:spacing w:line="276" w:lineRule="auto"/>
        <w:jc w:val="both"/>
        <w:rPr>
          <w:rFonts w:asciiTheme="majorHAnsi" w:hAnsiTheme="majorHAnsi"/>
          <w:lang w:val="lv-LV"/>
        </w:rPr>
      </w:pPr>
      <w:r w:rsidRPr="0019406C">
        <w:rPr>
          <w:rFonts w:asciiTheme="majorHAnsi" w:hAnsiTheme="majorHAnsi"/>
          <w:lang w:val="lv-LV"/>
        </w:rPr>
        <w:t>Samazinās uzņēmumu reģistra apmeklējumu skaits. Ja 2009. gadā uzņēmumu reģistru bija apmeklējuši 50% no aptaujas dalībniekiem, tad 2014. gadā tie bija tikai 24</w:t>
      </w:r>
      <w:r w:rsidR="003A0A4B" w:rsidRPr="0019406C">
        <w:rPr>
          <w:rFonts w:asciiTheme="majorHAnsi" w:hAnsiTheme="majorHAnsi"/>
          <w:lang w:val="lv-LV"/>
        </w:rPr>
        <w:t>,</w:t>
      </w:r>
      <w:r w:rsidRPr="0019406C">
        <w:rPr>
          <w:rFonts w:asciiTheme="majorHAnsi" w:hAnsiTheme="majorHAnsi"/>
          <w:lang w:val="lv-LV"/>
        </w:rPr>
        <w:t xml:space="preserve">5% no aptaujas dalībniekiem. </w:t>
      </w:r>
    </w:p>
    <w:p w:rsidR="009F5E5C" w:rsidRPr="0019406C" w:rsidRDefault="009F5E5C" w:rsidP="00E521EE">
      <w:pPr>
        <w:pStyle w:val="BodyText"/>
        <w:numPr>
          <w:ilvl w:val="0"/>
          <w:numId w:val="33"/>
        </w:numPr>
        <w:spacing w:line="276" w:lineRule="auto"/>
        <w:jc w:val="both"/>
        <w:rPr>
          <w:rFonts w:asciiTheme="majorHAnsi" w:hAnsiTheme="majorHAnsi"/>
          <w:lang w:val="lv-LV"/>
        </w:rPr>
      </w:pPr>
      <w:r w:rsidRPr="0019406C">
        <w:rPr>
          <w:rFonts w:asciiTheme="majorHAnsi" w:hAnsiTheme="majorHAnsi"/>
          <w:lang w:val="lv-LV"/>
        </w:rPr>
        <w:t xml:space="preserve">Uzņēmumu reģistrēšanu, izmantojot e-pakalpojumu portālā </w:t>
      </w:r>
      <w:hyperlink r:id="rId10" w:history="1">
        <w:r w:rsidRPr="0019406C">
          <w:rPr>
            <w:rStyle w:val="Hyperlink"/>
            <w:rFonts w:asciiTheme="majorHAnsi" w:hAnsiTheme="majorHAnsi"/>
            <w:lang w:val="lv-LV"/>
          </w:rPr>
          <w:t>www.latvija.lv</w:t>
        </w:r>
      </w:hyperlink>
      <w:r w:rsidRPr="0019406C">
        <w:rPr>
          <w:rFonts w:asciiTheme="majorHAnsi" w:hAnsiTheme="majorHAnsi"/>
          <w:lang w:val="lv-LV"/>
        </w:rPr>
        <w:t>, veiku</w:t>
      </w:r>
      <w:r w:rsidR="00497AE2" w:rsidRPr="0019406C">
        <w:rPr>
          <w:rFonts w:asciiTheme="majorHAnsi" w:hAnsiTheme="majorHAnsi"/>
          <w:lang w:val="lv-LV"/>
        </w:rPr>
        <w:t>ši 13,</w:t>
      </w:r>
      <w:r w:rsidRPr="0019406C">
        <w:rPr>
          <w:rFonts w:asciiTheme="majorHAnsi" w:hAnsiTheme="majorHAnsi"/>
          <w:lang w:val="lv-LV"/>
        </w:rPr>
        <w:t>9%, no jaundibinātiem uzņēmumiem (dibināti pēc 2012.</w:t>
      </w:r>
      <w:r w:rsidR="00C52B56" w:rsidRPr="0019406C">
        <w:rPr>
          <w:rFonts w:asciiTheme="majorHAnsi" w:hAnsiTheme="majorHAnsi"/>
          <w:lang w:val="lv-LV"/>
        </w:rPr>
        <w:t xml:space="preserve"> </w:t>
      </w:r>
      <w:r w:rsidRPr="0019406C">
        <w:rPr>
          <w:rFonts w:asciiTheme="majorHAnsi" w:hAnsiTheme="majorHAnsi"/>
          <w:lang w:val="lv-LV"/>
        </w:rPr>
        <w:t>gada 1.</w:t>
      </w:r>
      <w:r w:rsidR="00C52B56" w:rsidRPr="0019406C">
        <w:rPr>
          <w:rFonts w:asciiTheme="majorHAnsi" w:hAnsiTheme="majorHAnsi"/>
          <w:lang w:val="lv-LV"/>
        </w:rPr>
        <w:t xml:space="preserve"> </w:t>
      </w:r>
      <w:r w:rsidRPr="0019406C">
        <w:rPr>
          <w:rFonts w:asciiTheme="majorHAnsi" w:hAnsiTheme="majorHAnsi"/>
          <w:lang w:val="lv-LV"/>
        </w:rPr>
        <w:t xml:space="preserve">janvāra) – </w:t>
      </w:r>
      <w:r w:rsidR="00497AE2" w:rsidRPr="0019406C">
        <w:rPr>
          <w:rFonts w:asciiTheme="majorHAnsi" w:hAnsiTheme="majorHAnsi"/>
          <w:lang w:val="lv-LV"/>
        </w:rPr>
        <w:t>25,</w:t>
      </w:r>
      <w:r w:rsidRPr="0019406C">
        <w:rPr>
          <w:rFonts w:asciiTheme="majorHAnsi" w:hAnsiTheme="majorHAnsi"/>
          <w:lang w:val="lv-LV"/>
        </w:rPr>
        <w:t>8%.</w:t>
      </w:r>
      <w:r w:rsidR="00AE3F79" w:rsidRPr="0019406C">
        <w:rPr>
          <w:rFonts w:asciiTheme="majorHAnsi" w:hAnsiTheme="majorHAnsi"/>
          <w:lang w:val="lv-LV"/>
        </w:rPr>
        <w:t xml:space="preserve"> (Šeit gan jāņem vērā arī e-pakalpojumu un e-paraksta izmantošanas tendences, kas apskatītas sadaļā 2.12.)</w:t>
      </w:r>
    </w:p>
    <w:p w:rsidR="00163862" w:rsidRPr="0019406C" w:rsidRDefault="00163862" w:rsidP="00E521EE">
      <w:pPr>
        <w:pStyle w:val="BodyText"/>
        <w:numPr>
          <w:ilvl w:val="0"/>
          <w:numId w:val="33"/>
        </w:numPr>
        <w:spacing w:line="276" w:lineRule="auto"/>
        <w:jc w:val="both"/>
        <w:rPr>
          <w:rFonts w:asciiTheme="majorHAnsi" w:hAnsiTheme="majorHAnsi"/>
          <w:lang w:val="lv-LV"/>
        </w:rPr>
      </w:pPr>
      <w:r w:rsidRPr="0019406C">
        <w:rPr>
          <w:rFonts w:asciiTheme="majorHAnsi" w:hAnsiTheme="majorHAnsi"/>
          <w:lang w:val="lv-LV"/>
        </w:rPr>
        <w:t>Samazinās reģistrācijas procedūrai patērētais laiks. Pēc uzņēmēju vērtējuma, pakāpeniski samazinās uzņēmumu reģistrācijai patērētais laiks. Ja 2009. gadā reģistrācijai uzņēmumu reģistrā tika patērētas 8</w:t>
      </w:r>
      <w:r w:rsidR="001D468B" w:rsidRPr="0019406C">
        <w:rPr>
          <w:rFonts w:asciiTheme="majorHAnsi" w:hAnsiTheme="majorHAnsi"/>
          <w:lang w:val="lv-LV"/>
        </w:rPr>
        <w:t>,</w:t>
      </w:r>
      <w:r w:rsidRPr="0019406C">
        <w:rPr>
          <w:rFonts w:asciiTheme="majorHAnsi" w:hAnsiTheme="majorHAnsi"/>
          <w:lang w:val="lv-LV"/>
        </w:rPr>
        <w:t xml:space="preserve">9 dienas, </w:t>
      </w:r>
      <w:r w:rsidR="00497AE2" w:rsidRPr="0019406C">
        <w:rPr>
          <w:rFonts w:asciiTheme="majorHAnsi" w:hAnsiTheme="majorHAnsi"/>
          <w:lang w:val="lv-LV"/>
        </w:rPr>
        <w:t>2011.</w:t>
      </w:r>
      <w:r w:rsidR="00C52B56" w:rsidRPr="0019406C">
        <w:rPr>
          <w:rFonts w:asciiTheme="majorHAnsi" w:hAnsiTheme="majorHAnsi"/>
          <w:lang w:val="lv-LV"/>
        </w:rPr>
        <w:t xml:space="preserve"> </w:t>
      </w:r>
      <w:r w:rsidR="00497AE2" w:rsidRPr="0019406C">
        <w:rPr>
          <w:rFonts w:asciiTheme="majorHAnsi" w:hAnsiTheme="majorHAnsi"/>
          <w:lang w:val="lv-LV"/>
        </w:rPr>
        <w:t xml:space="preserve">gadā – 7,1 diena, </w:t>
      </w:r>
      <w:r w:rsidRPr="0019406C">
        <w:rPr>
          <w:rFonts w:asciiTheme="majorHAnsi" w:hAnsiTheme="majorHAnsi"/>
          <w:lang w:val="lv-LV"/>
        </w:rPr>
        <w:t>tad 2014. gadā tiek patērētas tikai 5</w:t>
      </w:r>
      <w:r w:rsidR="003A0A4B" w:rsidRPr="0019406C">
        <w:rPr>
          <w:rFonts w:asciiTheme="majorHAnsi" w:hAnsiTheme="majorHAnsi"/>
          <w:lang w:val="lv-LV"/>
        </w:rPr>
        <w:t>,</w:t>
      </w:r>
      <w:r w:rsidRPr="0019406C">
        <w:rPr>
          <w:rFonts w:asciiTheme="majorHAnsi" w:hAnsiTheme="majorHAnsi"/>
          <w:lang w:val="lv-LV"/>
        </w:rPr>
        <w:t>7 dienas. Savukārt, reģistrācijai valsts ieņēmumu dienesta PVN maksātāju reģistrā 2009. gadā tika patērētas 9</w:t>
      </w:r>
      <w:r w:rsidR="003A0A4B" w:rsidRPr="0019406C">
        <w:rPr>
          <w:rFonts w:asciiTheme="majorHAnsi" w:hAnsiTheme="majorHAnsi"/>
          <w:lang w:val="lv-LV"/>
        </w:rPr>
        <w:t>,</w:t>
      </w:r>
      <w:r w:rsidRPr="0019406C">
        <w:rPr>
          <w:rFonts w:asciiTheme="majorHAnsi" w:hAnsiTheme="majorHAnsi"/>
          <w:lang w:val="lv-LV"/>
        </w:rPr>
        <w:t>2 dienas</w:t>
      </w:r>
      <w:r w:rsidR="00497AE2" w:rsidRPr="0019406C">
        <w:rPr>
          <w:rFonts w:asciiTheme="majorHAnsi" w:hAnsiTheme="majorHAnsi"/>
          <w:lang w:val="lv-LV"/>
        </w:rPr>
        <w:t>, 2011.</w:t>
      </w:r>
      <w:r w:rsidR="00C52B56" w:rsidRPr="0019406C">
        <w:rPr>
          <w:rFonts w:asciiTheme="majorHAnsi" w:hAnsiTheme="majorHAnsi"/>
          <w:lang w:val="lv-LV"/>
        </w:rPr>
        <w:t xml:space="preserve"> </w:t>
      </w:r>
      <w:r w:rsidR="00497AE2" w:rsidRPr="0019406C">
        <w:rPr>
          <w:rFonts w:asciiTheme="majorHAnsi" w:hAnsiTheme="majorHAnsi"/>
          <w:lang w:val="lv-LV"/>
        </w:rPr>
        <w:t>gadā – 7,2 dienas</w:t>
      </w:r>
      <w:r w:rsidRPr="0019406C">
        <w:rPr>
          <w:rFonts w:asciiTheme="majorHAnsi" w:hAnsiTheme="majorHAnsi"/>
          <w:lang w:val="lv-LV"/>
        </w:rPr>
        <w:t>, bet 2014. gadā jau tikai 3</w:t>
      </w:r>
      <w:r w:rsidR="003A0A4B" w:rsidRPr="0019406C">
        <w:rPr>
          <w:rFonts w:asciiTheme="majorHAnsi" w:hAnsiTheme="majorHAnsi"/>
          <w:lang w:val="lv-LV"/>
        </w:rPr>
        <w:t>,</w:t>
      </w:r>
      <w:r w:rsidRPr="0019406C">
        <w:rPr>
          <w:rFonts w:asciiTheme="majorHAnsi" w:hAnsiTheme="majorHAnsi"/>
          <w:lang w:val="lv-LV"/>
        </w:rPr>
        <w:t>3 dienas:</w:t>
      </w:r>
    </w:p>
    <w:p w:rsidR="00163862" w:rsidRPr="0019406C" w:rsidRDefault="00163862" w:rsidP="00163862">
      <w:pPr>
        <w:pStyle w:val="BodyText"/>
        <w:keepNext/>
        <w:spacing w:line="276" w:lineRule="auto"/>
        <w:jc w:val="both"/>
        <w:rPr>
          <w:lang w:val="lv-LV"/>
        </w:rPr>
      </w:pPr>
      <w:r w:rsidRPr="0019406C">
        <w:rPr>
          <w:noProof/>
          <w:lang w:eastAsia="en-GB"/>
        </w:rPr>
        <w:lastRenderedPageBreak/>
        <w:drawing>
          <wp:inline distT="0" distB="0" distL="0" distR="0" wp14:anchorId="6C916E9B" wp14:editId="224D280C">
            <wp:extent cx="6143625" cy="1819275"/>
            <wp:effectExtent l="0" t="0" r="0" b="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63862" w:rsidRPr="0019406C" w:rsidRDefault="00163862" w:rsidP="00163862">
      <w:pPr>
        <w:pStyle w:val="Caption"/>
        <w:jc w:val="both"/>
        <w:rPr>
          <w:rFonts w:asciiTheme="majorHAnsi" w:hAnsiTheme="majorHAnsi"/>
          <w:sz w:val="16"/>
          <w:lang w:val="lv-LV"/>
        </w:rPr>
      </w:pPr>
      <w:r w:rsidRPr="0019406C">
        <w:rPr>
          <w:sz w:val="16"/>
          <w:lang w:val="lv-LV"/>
        </w:rPr>
        <w:t xml:space="preserve">Ilustrācija </w:t>
      </w:r>
      <w:r w:rsidRPr="0019406C">
        <w:rPr>
          <w:sz w:val="16"/>
          <w:lang w:val="lv-LV"/>
        </w:rPr>
        <w:fldChar w:fldCharType="begin"/>
      </w:r>
      <w:r w:rsidRPr="0019406C">
        <w:rPr>
          <w:sz w:val="16"/>
          <w:lang w:val="lv-LV"/>
        </w:rPr>
        <w:instrText xml:space="preserve"> SEQ Ilustrācija \* ARABIC </w:instrText>
      </w:r>
      <w:r w:rsidRPr="0019406C">
        <w:rPr>
          <w:sz w:val="16"/>
          <w:lang w:val="lv-LV"/>
        </w:rPr>
        <w:fldChar w:fldCharType="separate"/>
      </w:r>
      <w:r w:rsidR="00410806" w:rsidRPr="0019406C">
        <w:rPr>
          <w:noProof/>
          <w:sz w:val="16"/>
          <w:lang w:val="lv-LV"/>
        </w:rPr>
        <w:t>2</w:t>
      </w:r>
      <w:r w:rsidRPr="0019406C">
        <w:rPr>
          <w:sz w:val="16"/>
          <w:lang w:val="lv-LV"/>
        </w:rPr>
        <w:fldChar w:fldCharType="end"/>
      </w:r>
      <w:r w:rsidRPr="0019406C">
        <w:rPr>
          <w:sz w:val="16"/>
          <w:lang w:val="lv-LV"/>
        </w:rPr>
        <w:t xml:space="preserve"> Vidējais uzņēmuma reģistrācijai patērētais dienu skaits</w:t>
      </w:r>
    </w:p>
    <w:p w:rsidR="00163862" w:rsidRPr="0019406C" w:rsidRDefault="00163862" w:rsidP="00E521EE">
      <w:pPr>
        <w:pStyle w:val="BodyText"/>
        <w:numPr>
          <w:ilvl w:val="0"/>
          <w:numId w:val="33"/>
        </w:numPr>
        <w:spacing w:line="276" w:lineRule="auto"/>
        <w:jc w:val="both"/>
        <w:rPr>
          <w:rFonts w:asciiTheme="majorHAnsi" w:hAnsiTheme="majorHAnsi"/>
          <w:lang w:val="lv-LV"/>
        </w:rPr>
      </w:pPr>
      <w:r w:rsidRPr="0019406C">
        <w:rPr>
          <w:rFonts w:asciiTheme="majorHAnsi" w:hAnsiTheme="majorHAnsi"/>
          <w:lang w:val="lv-LV"/>
        </w:rPr>
        <w:t>Uzņēmumu reģistrēšanas pakalpojumu kvalitāte tiek novērtēta pozitīvi. Pakalpojumu kvalitātes novērtējums pēdējo 13 gadu laikā ir</w:t>
      </w:r>
      <w:r w:rsidR="003C34CC" w:rsidRPr="0019406C">
        <w:rPr>
          <w:rFonts w:asciiTheme="majorHAnsi" w:hAnsiTheme="majorHAnsi"/>
          <w:lang w:val="lv-LV"/>
        </w:rPr>
        <w:t xml:space="preserve"> novērtēts vidēji</w:t>
      </w:r>
      <w:r w:rsidR="003E6282" w:rsidRPr="0019406C">
        <w:rPr>
          <w:rFonts w:asciiTheme="majorHAnsi" w:hAnsiTheme="majorHAnsi"/>
          <w:lang w:val="lv-LV"/>
        </w:rPr>
        <w:t xml:space="preserve"> ar</w:t>
      </w:r>
      <w:r w:rsidRPr="0019406C">
        <w:rPr>
          <w:rFonts w:asciiTheme="majorHAnsi" w:hAnsiTheme="majorHAnsi"/>
          <w:lang w:val="lv-LV"/>
        </w:rPr>
        <w:t xml:space="preserve"> 5 („labi”)</w:t>
      </w:r>
      <w:r w:rsidR="003E6282" w:rsidRPr="0019406C">
        <w:rPr>
          <w:rFonts w:asciiTheme="majorHAnsi" w:hAnsiTheme="majorHAnsi"/>
          <w:lang w:val="lv-LV"/>
        </w:rPr>
        <w:t xml:space="preserve">. </w:t>
      </w:r>
      <w:r w:rsidRPr="0019406C">
        <w:rPr>
          <w:rFonts w:asciiTheme="majorHAnsi" w:hAnsiTheme="majorHAnsi"/>
          <w:lang w:val="lv-LV"/>
        </w:rPr>
        <w:t>2014. gadā iegūts vērtēju</w:t>
      </w:r>
      <w:r w:rsidR="00497AE2" w:rsidRPr="0019406C">
        <w:rPr>
          <w:rFonts w:asciiTheme="majorHAnsi" w:hAnsiTheme="majorHAnsi"/>
          <w:lang w:val="lv-LV"/>
        </w:rPr>
        <w:t>m</w:t>
      </w:r>
      <w:r w:rsidRPr="0019406C">
        <w:rPr>
          <w:rFonts w:asciiTheme="majorHAnsi" w:hAnsiTheme="majorHAnsi"/>
          <w:lang w:val="lv-LV"/>
        </w:rPr>
        <w:t>s 4</w:t>
      </w:r>
      <w:r w:rsidR="003A0A4B" w:rsidRPr="0019406C">
        <w:rPr>
          <w:rFonts w:asciiTheme="majorHAnsi" w:hAnsiTheme="majorHAnsi"/>
          <w:lang w:val="lv-LV"/>
        </w:rPr>
        <w:t>,</w:t>
      </w:r>
      <w:r w:rsidRPr="0019406C">
        <w:rPr>
          <w:rFonts w:asciiTheme="majorHAnsi" w:hAnsiTheme="majorHAnsi"/>
          <w:lang w:val="lv-LV"/>
        </w:rPr>
        <w:t xml:space="preserve">8 gan par reģistrāciju uzņēmumu reģistrā, gan </w:t>
      </w:r>
      <w:r w:rsidR="00497AE2" w:rsidRPr="0019406C">
        <w:rPr>
          <w:rFonts w:asciiTheme="majorHAnsi" w:hAnsiTheme="majorHAnsi"/>
          <w:lang w:val="lv-LV"/>
        </w:rPr>
        <w:t xml:space="preserve">par </w:t>
      </w:r>
      <w:r w:rsidRPr="0019406C">
        <w:rPr>
          <w:rFonts w:asciiTheme="majorHAnsi" w:hAnsiTheme="majorHAnsi"/>
          <w:lang w:val="lv-LV"/>
        </w:rPr>
        <w:t>pievien</w:t>
      </w:r>
      <w:r w:rsidR="003E6282" w:rsidRPr="0019406C">
        <w:rPr>
          <w:rFonts w:asciiTheme="majorHAnsi" w:hAnsiTheme="majorHAnsi"/>
          <w:lang w:val="lv-LV"/>
        </w:rPr>
        <w:t xml:space="preserve">otās vērtības </w:t>
      </w:r>
      <w:r w:rsidR="00497AE2" w:rsidRPr="0019406C">
        <w:rPr>
          <w:rFonts w:asciiTheme="majorHAnsi" w:hAnsiTheme="majorHAnsi"/>
          <w:lang w:val="lv-LV"/>
        </w:rPr>
        <w:t xml:space="preserve">nodokļa </w:t>
      </w:r>
      <w:r w:rsidR="003E6282" w:rsidRPr="0019406C">
        <w:rPr>
          <w:rFonts w:asciiTheme="majorHAnsi" w:hAnsiTheme="majorHAnsi"/>
          <w:lang w:val="lv-LV"/>
        </w:rPr>
        <w:t>maksātāj</w:t>
      </w:r>
      <w:r w:rsidR="00497AE2" w:rsidRPr="0019406C">
        <w:rPr>
          <w:rFonts w:asciiTheme="majorHAnsi" w:hAnsiTheme="majorHAnsi"/>
          <w:lang w:val="lv-LV"/>
        </w:rPr>
        <w:t>a</w:t>
      </w:r>
      <w:r w:rsidR="003E6282" w:rsidRPr="0019406C">
        <w:rPr>
          <w:rFonts w:asciiTheme="majorHAnsi" w:hAnsiTheme="majorHAnsi"/>
          <w:lang w:val="lv-LV"/>
        </w:rPr>
        <w:t xml:space="preserve"> reģistrāciju</w:t>
      </w:r>
      <w:r w:rsidRPr="0019406C">
        <w:rPr>
          <w:rFonts w:asciiTheme="majorHAnsi" w:hAnsiTheme="majorHAnsi"/>
          <w:lang w:val="lv-LV"/>
        </w:rPr>
        <w:t>.</w:t>
      </w:r>
    </w:p>
    <w:p w:rsidR="00163862" w:rsidRPr="0019406C" w:rsidRDefault="00497AE2" w:rsidP="000857A7">
      <w:pPr>
        <w:pStyle w:val="BodyText"/>
        <w:spacing w:line="276" w:lineRule="auto"/>
        <w:jc w:val="both"/>
        <w:rPr>
          <w:rFonts w:asciiTheme="majorHAnsi" w:hAnsiTheme="majorHAnsi"/>
          <w:lang w:val="lv-LV"/>
        </w:rPr>
      </w:pPr>
      <w:r w:rsidRPr="0019406C">
        <w:rPr>
          <w:rFonts w:asciiTheme="majorHAnsi" w:hAnsiTheme="majorHAnsi"/>
          <w:lang w:val="lv-LV"/>
        </w:rPr>
        <w:t xml:space="preserve">Kopumā </w:t>
      </w:r>
      <w:r w:rsidR="00163862" w:rsidRPr="0019406C">
        <w:rPr>
          <w:rFonts w:asciiTheme="majorHAnsi" w:hAnsiTheme="majorHAnsi"/>
          <w:lang w:val="lv-LV"/>
        </w:rPr>
        <w:t>tendences norāda</w:t>
      </w:r>
      <w:r w:rsidRPr="0019406C">
        <w:rPr>
          <w:rFonts w:asciiTheme="majorHAnsi" w:hAnsiTheme="majorHAnsi"/>
          <w:lang w:val="lv-LV"/>
        </w:rPr>
        <w:t xml:space="preserve"> uz to</w:t>
      </w:r>
      <w:r w:rsidR="00163862" w:rsidRPr="0019406C">
        <w:rPr>
          <w:rFonts w:asciiTheme="majorHAnsi" w:hAnsiTheme="majorHAnsi"/>
          <w:lang w:val="lv-LV"/>
        </w:rPr>
        <w:t xml:space="preserve">, ka uzņēmumu reģistrēšanas jomā veiktie uzlabojumi </w:t>
      </w:r>
      <w:r w:rsidRPr="0019406C">
        <w:rPr>
          <w:rFonts w:asciiTheme="majorHAnsi" w:hAnsiTheme="majorHAnsi"/>
          <w:lang w:val="lv-LV"/>
        </w:rPr>
        <w:t xml:space="preserve">no uzņēmēju viedokļa </w:t>
      </w:r>
      <w:r w:rsidR="00163862" w:rsidRPr="0019406C">
        <w:rPr>
          <w:rFonts w:asciiTheme="majorHAnsi" w:hAnsiTheme="majorHAnsi"/>
          <w:lang w:val="lv-LV"/>
        </w:rPr>
        <w:t xml:space="preserve">tiek </w:t>
      </w:r>
      <w:r w:rsidRPr="0019406C">
        <w:rPr>
          <w:rFonts w:asciiTheme="majorHAnsi" w:hAnsiTheme="majorHAnsi"/>
          <w:lang w:val="lv-LV"/>
        </w:rPr>
        <w:t xml:space="preserve">novērtēti </w:t>
      </w:r>
      <w:r w:rsidR="00163862" w:rsidRPr="0019406C">
        <w:rPr>
          <w:rFonts w:asciiTheme="majorHAnsi" w:hAnsiTheme="majorHAnsi"/>
          <w:lang w:val="lv-LV"/>
        </w:rPr>
        <w:t>pozitīvi.</w:t>
      </w:r>
    </w:p>
    <w:p w:rsidR="00420131" w:rsidRPr="0019406C" w:rsidRDefault="00420131" w:rsidP="00420131">
      <w:pPr>
        <w:pStyle w:val="BodyText"/>
        <w:rPr>
          <w:rFonts w:asciiTheme="majorHAnsi" w:hAnsiTheme="majorHAnsi"/>
          <w:b/>
          <w:sz w:val="22"/>
          <w:lang w:val="lv-LV"/>
        </w:rPr>
      </w:pPr>
      <w:r w:rsidRPr="0019406C">
        <w:rPr>
          <w:rFonts w:asciiTheme="majorHAnsi" w:hAnsiTheme="majorHAnsi"/>
          <w:b/>
          <w:sz w:val="22"/>
          <w:lang w:val="lv-LV"/>
        </w:rPr>
        <w:t>Doing Business pētījums</w:t>
      </w:r>
    </w:p>
    <w:p w:rsidR="00420131" w:rsidRPr="0019406C" w:rsidRDefault="00420131" w:rsidP="00420131">
      <w:pPr>
        <w:pStyle w:val="BodyText"/>
        <w:spacing w:line="276" w:lineRule="auto"/>
        <w:jc w:val="both"/>
        <w:rPr>
          <w:rFonts w:asciiTheme="majorHAnsi" w:hAnsiTheme="majorHAnsi"/>
          <w:lang w:val="lv-LV"/>
        </w:rPr>
      </w:pPr>
      <w:r w:rsidRPr="0019406C">
        <w:rPr>
          <w:rFonts w:asciiTheme="majorHAnsi" w:hAnsiTheme="majorHAnsi"/>
          <w:lang w:val="lv-LV"/>
        </w:rPr>
        <w:t>Uzņēmējdarbības uzsākšanas indekss DB pētījumā vērtē uzņēmuma reģistrēšanas izmaksas, laiku un sarežģītību. Minētais indekss Latvijai DB2014 pētījumā ir uzlabojies par divām pozīcijām</w:t>
      </w:r>
      <w:r w:rsidR="00FF1F29" w:rsidRPr="0019406C">
        <w:rPr>
          <w:rFonts w:asciiTheme="majorHAnsi" w:hAnsiTheme="majorHAnsi"/>
          <w:lang w:val="lv-LV"/>
        </w:rPr>
        <w:t xml:space="preserve"> – no 59. uz 57.</w:t>
      </w:r>
      <w:r w:rsidR="00ED7D81" w:rsidRPr="0019406C">
        <w:rPr>
          <w:rFonts w:asciiTheme="majorHAnsi" w:hAnsiTheme="majorHAnsi"/>
          <w:lang w:val="lv-LV"/>
        </w:rPr>
        <w:t xml:space="preserve"> </w:t>
      </w:r>
      <w:r w:rsidR="00FF1F29" w:rsidRPr="0019406C">
        <w:rPr>
          <w:rFonts w:asciiTheme="majorHAnsi" w:hAnsiTheme="majorHAnsi"/>
          <w:lang w:val="lv-LV"/>
        </w:rPr>
        <w:t>vietu</w:t>
      </w:r>
      <w:r w:rsidRPr="0019406C">
        <w:rPr>
          <w:rFonts w:asciiTheme="majorHAnsi" w:hAnsiTheme="majorHAnsi"/>
          <w:lang w:val="lv-LV"/>
        </w:rPr>
        <w:t>, taču visstraujākās izmaiņas ir veikusi Lietuva, kas pakāpusies no 105. uz 11. vietu. Pēc DB pētījumā pieejamās informācijas, Lietuvas rezultātu ir ietekmējušas sekojošas reformas: ieviesta jauna uzņēmējdarbības forma – SIA bez minimālās kapitāla prasības un ieviesta iespēja reģistrēt uzņēmumu internetā bez notariāla parakstu apstiprinājuma.</w:t>
      </w:r>
    </w:p>
    <w:p w:rsidR="00420131" w:rsidRPr="0019406C" w:rsidRDefault="00420131" w:rsidP="00420131">
      <w:pPr>
        <w:pStyle w:val="BodyText"/>
        <w:spacing w:line="276" w:lineRule="auto"/>
        <w:jc w:val="both"/>
        <w:rPr>
          <w:rFonts w:asciiTheme="majorHAnsi" w:hAnsiTheme="majorHAnsi"/>
          <w:lang w:val="lv-LV"/>
        </w:rPr>
      </w:pPr>
      <w:r w:rsidRPr="0019406C">
        <w:rPr>
          <w:rFonts w:asciiTheme="majorHAnsi" w:hAnsiTheme="majorHAnsi"/>
          <w:lang w:val="lv-LV"/>
        </w:rPr>
        <w:t>Salīdzinot ar citām valstīm, Latvijas gadījumā DB pētījumā pozitīvi tiek vērtēta iespēja Komercreģistrā vienlaicīgi iesniegt pieteikumu gan uzņēmuma, gan PVN maksātāja reģistrācijai.</w:t>
      </w:r>
    </w:p>
    <w:p w:rsidR="00420131" w:rsidRPr="0019406C" w:rsidRDefault="00420131" w:rsidP="00420131">
      <w:pPr>
        <w:pStyle w:val="Caption"/>
        <w:keepNext/>
        <w:rPr>
          <w:rFonts w:asciiTheme="majorHAnsi" w:hAnsiTheme="majorHAnsi"/>
          <w:sz w:val="16"/>
          <w:lang w:val="lv-LV"/>
        </w:rPr>
      </w:pPr>
      <w:bookmarkStart w:id="52" w:name="_Toc381609301"/>
      <w:bookmarkStart w:id="53" w:name="_Toc389225078"/>
      <w:r w:rsidRPr="0019406C">
        <w:rPr>
          <w:rFonts w:asciiTheme="majorHAnsi" w:hAnsiTheme="majorHAnsi"/>
          <w:sz w:val="16"/>
          <w:lang w:val="lv-LV"/>
        </w:rPr>
        <w:t xml:space="preserve">Tabula </w:t>
      </w:r>
      <w:r w:rsidRPr="0019406C">
        <w:rPr>
          <w:rFonts w:asciiTheme="majorHAnsi" w:hAnsiTheme="majorHAnsi"/>
          <w:sz w:val="16"/>
          <w:lang w:val="lv-LV"/>
        </w:rPr>
        <w:fldChar w:fldCharType="begin"/>
      </w:r>
      <w:r w:rsidRPr="0019406C">
        <w:rPr>
          <w:rFonts w:asciiTheme="majorHAnsi" w:hAnsiTheme="majorHAnsi"/>
          <w:sz w:val="16"/>
          <w:lang w:val="lv-LV"/>
        </w:rPr>
        <w:instrText xml:space="preserve"> SEQ Tabula \* ARABIC </w:instrText>
      </w:r>
      <w:r w:rsidRPr="0019406C">
        <w:rPr>
          <w:rFonts w:asciiTheme="majorHAnsi" w:hAnsiTheme="majorHAnsi"/>
          <w:sz w:val="16"/>
          <w:lang w:val="lv-LV"/>
        </w:rPr>
        <w:fldChar w:fldCharType="separate"/>
      </w:r>
      <w:r w:rsidR="00410806" w:rsidRPr="0019406C">
        <w:rPr>
          <w:rFonts w:asciiTheme="majorHAnsi" w:hAnsiTheme="majorHAnsi"/>
          <w:noProof/>
          <w:sz w:val="16"/>
          <w:lang w:val="lv-LV"/>
        </w:rPr>
        <w:t>4</w:t>
      </w:r>
      <w:r w:rsidRPr="0019406C">
        <w:rPr>
          <w:rFonts w:asciiTheme="majorHAnsi" w:hAnsiTheme="majorHAnsi"/>
          <w:sz w:val="16"/>
          <w:lang w:val="lv-LV"/>
        </w:rPr>
        <w:fldChar w:fldCharType="end"/>
      </w:r>
      <w:r w:rsidRPr="0019406C">
        <w:rPr>
          <w:rFonts w:asciiTheme="majorHAnsi" w:hAnsiTheme="majorHAnsi"/>
          <w:sz w:val="16"/>
          <w:lang w:val="lv-LV"/>
        </w:rPr>
        <w:t xml:space="preserve"> „</w:t>
      </w:r>
      <w:proofErr w:type="spellStart"/>
      <w:r w:rsidRPr="0019406C">
        <w:rPr>
          <w:rFonts w:asciiTheme="majorHAnsi" w:hAnsiTheme="majorHAnsi"/>
          <w:sz w:val="16"/>
          <w:lang w:val="lv-LV"/>
        </w:rPr>
        <w:t>Starting</w:t>
      </w:r>
      <w:proofErr w:type="spellEnd"/>
      <w:r w:rsidRPr="0019406C">
        <w:rPr>
          <w:rFonts w:asciiTheme="majorHAnsi" w:hAnsiTheme="majorHAnsi"/>
          <w:sz w:val="16"/>
          <w:lang w:val="lv-LV"/>
        </w:rPr>
        <w:t xml:space="preserve"> a </w:t>
      </w:r>
      <w:proofErr w:type="spellStart"/>
      <w:r w:rsidRPr="0019406C">
        <w:rPr>
          <w:rFonts w:asciiTheme="majorHAnsi" w:hAnsiTheme="majorHAnsi"/>
          <w:sz w:val="16"/>
          <w:lang w:val="lv-LV"/>
        </w:rPr>
        <w:t>business</w:t>
      </w:r>
      <w:proofErr w:type="spellEnd"/>
      <w:r w:rsidRPr="0019406C">
        <w:rPr>
          <w:rFonts w:asciiTheme="majorHAnsi" w:hAnsiTheme="majorHAnsi"/>
          <w:sz w:val="16"/>
          <w:lang w:val="lv-LV"/>
        </w:rPr>
        <w:t>”, uzņēmējdarbības uzsākšanas indekss</w:t>
      </w:r>
      <w:bookmarkEnd w:id="52"/>
      <w:bookmarkEnd w:id="53"/>
    </w:p>
    <w:tbl>
      <w:tblPr>
        <w:tblStyle w:val="LightList-Accent11"/>
        <w:tblW w:w="5000" w:type="pct"/>
        <w:tblLook w:val="00A0" w:firstRow="1" w:lastRow="0" w:firstColumn="1" w:lastColumn="0" w:noHBand="0" w:noVBand="0"/>
      </w:tblPr>
      <w:tblGrid>
        <w:gridCol w:w="1314"/>
        <w:gridCol w:w="1117"/>
        <w:gridCol w:w="1117"/>
        <w:gridCol w:w="1169"/>
        <w:gridCol w:w="5363"/>
      </w:tblGrid>
      <w:tr w:rsidR="00420131" w:rsidRPr="0019406C" w:rsidTr="00420131">
        <w:trPr>
          <w:cnfStyle w:val="100000000000" w:firstRow="1" w:lastRow="0" w:firstColumn="0" w:lastColumn="0" w:oddVBand="0" w:evenVBand="0" w:oddHBand="0" w:evenHBand="0" w:firstRowFirstColumn="0" w:firstRowLastColumn="0" w:lastRowFirstColumn="0" w:lastRowLastColumn="0"/>
          <w:trHeight w:val="190"/>
        </w:trPr>
        <w:tc>
          <w:tcPr>
            <w:cnfStyle w:val="001000000000" w:firstRow="0" w:lastRow="0" w:firstColumn="1" w:lastColumn="0" w:oddVBand="0" w:evenVBand="0" w:oddHBand="0" w:evenHBand="0" w:firstRowFirstColumn="0" w:firstRowLastColumn="0" w:lastRowFirstColumn="0" w:lastRowLastColumn="0"/>
            <w:tcW w:w="652" w:type="pct"/>
            <w:vAlign w:val="center"/>
          </w:tcPr>
          <w:p w:rsidR="00420131" w:rsidRPr="0019406C" w:rsidRDefault="00420131" w:rsidP="00420131">
            <w:pPr>
              <w:spacing w:line="240" w:lineRule="atLeast"/>
              <w:rPr>
                <w:rFonts w:asciiTheme="majorHAnsi" w:eastAsia="Cambria" w:hAnsiTheme="majorHAnsi" w:cs="Times New Roman"/>
                <w:lang w:val="lv-LV"/>
              </w:rPr>
            </w:pPr>
            <w:r w:rsidRPr="0019406C">
              <w:rPr>
                <w:rFonts w:asciiTheme="majorHAnsi" w:eastAsia="Cambria" w:hAnsiTheme="majorHAnsi" w:cs="Times New Roman"/>
                <w:lang w:val="lv-LV"/>
              </w:rPr>
              <w:t>Valsts</w:t>
            </w:r>
          </w:p>
        </w:tc>
        <w:tc>
          <w:tcPr>
            <w:cnfStyle w:val="000010000000" w:firstRow="0" w:lastRow="0" w:firstColumn="0" w:lastColumn="0" w:oddVBand="1" w:evenVBand="0" w:oddHBand="0" w:evenHBand="0" w:firstRowFirstColumn="0" w:firstRowLastColumn="0" w:lastRowFirstColumn="0" w:lastRowLastColumn="0"/>
            <w:tcW w:w="554" w:type="pct"/>
            <w:vAlign w:val="center"/>
          </w:tcPr>
          <w:p w:rsidR="00420131" w:rsidRPr="0019406C" w:rsidRDefault="00420131" w:rsidP="00420131">
            <w:pPr>
              <w:spacing w:line="240" w:lineRule="atLeast"/>
              <w:jc w:val="center"/>
              <w:rPr>
                <w:rFonts w:asciiTheme="majorHAnsi" w:eastAsia="Cambria" w:hAnsiTheme="majorHAnsi" w:cs="Times New Roman"/>
                <w:lang w:val="lv-LV"/>
              </w:rPr>
            </w:pPr>
            <w:r w:rsidRPr="0019406C">
              <w:rPr>
                <w:rFonts w:asciiTheme="majorHAnsi" w:eastAsia="Cambria" w:hAnsiTheme="majorHAnsi" w:cs="Times New Roman"/>
                <w:lang w:val="lv-LV"/>
              </w:rPr>
              <w:t>DB2013</w:t>
            </w:r>
          </w:p>
        </w:tc>
        <w:tc>
          <w:tcPr>
            <w:tcW w:w="554" w:type="pct"/>
            <w:vAlign w:val="center"/>
          </w:tcPr>
          <w:p w:rsidR="00420131" w:rsidRPr="0019406C" w:rsidRDefault="00420131" w:rsidP="00420131">
            <w:pPr>
              <w:spacing w:line="240" w:lineRule="atLeast"/>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DB2014</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420131" w:rsidRPr="0019406C" w:rsidRDefault="00420131" w:rsidP="00420131">
            <w:pPr>
              <w:spacing w:line="240" w:lineRule="atLeast"/>
              <w:jc w:val="center"/>
              <w:rPr>
                <w:rFonts w:asciiTheme="majorHAnsi" w:eastAsia="Cambria" w:hAnsiTheme="majorHAnsi" w:cs="Times New Roman"/>
                <w:lang w:val="lv-LV"/>
              </w:rPr>
            </w:pPr>
            <w:r w:rsidRPr="0019406C">
              <w:rPr>
                <w:rFonts w:asciiTheme="majorHAnsi" w:eastAsia="Cambria" w:hAnsiTheme="majorHAnsi" w:cs="Times New Roman"/>
                <w:lang w:val="lv-LV"/>
              </w:rPr>
              <w:t>Izmaiņas</w:t>
            </w:r>
          </w:p>
        </w:tc>
        <w:tc>
          <w:tcPr>
            <w:tcW w:w="2661" w:type="pct"/>
          </w:tcPr>
          <w:p w:rsidR="00420131" w:rsidRPr="0019406C" w:rsidRDefault="00420131" w:rsidP="00420131">
            <w:pPr>
              <w:spacing w:line="240" w:lineRule="atLeast"/>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Veiktās reformas</w:t>
            </w:r>
          </w:p>
        </w:tc>
      </w:tr>
      <w:tr w:rsidR="00420131" w:rsidRPr="00BB0049" w:rsidTr="00420131">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52" w:type="pct"/>
            <w:vAlign w:val="center"/>
          </w:tcPr>
          <w:p w:rsidR="00420131" w:rsidRPr="0019406C" w:rsidRDefault="00420131" w:rsidP="00420131">
            <w:pPr>
              <w:rPr>
                <w:rFonts w:asciiTheme="majorHAnsi" w:eastAsia="Cambria" w:hAnsiTheme="majorHAnsi" w:cs="Times New Roman"/>
                <w:b w:val="0"/>
                <w:lang w:val="lv-LV"/>
              </w:rPr>
            </w:pPr>
            <w:r w:rsidRPr="0019406C">
              <w:rPr>
                <w:rFonts w:asciiTheme="majorHAnsi" w:hAnsiTheme="majorHAnsi"/>
                <w:b w:val="0"/>
                <w:lang w:val="lv-LV"/>
              </w:rPr>
              <w:t xml:space="preserve">Lietuva </w:t>
            </w:r>
          </w:p>
        </w:tc>
        <w:tc>
          <w:tcPr>
            <w:cnfStyle w:val="000010000000" w:firstRow="0" w:lastRow="0" w:firstColumn="0" w:lastColumn="0" w:oddVBand="1" w:evenVBand="0" w:oddHBand="0" w:evenHBand="0" w:firstRowFirstColumn="0" w:firstRowLastColumn="0" w:lastRowFirstColumn="0" w:lastRowLastColumn="0"/>
            <w:tcW w:w="554" w:type="pct"/>
            <w:vAlign w:val="center"/>
          </w:tcPr>
          <w:p w:rsidR="00420131" w:rsidRPr="0019406C" w:rsidRDefault="00420131" w:rsidP="00420131">
            <w:pPr>
              <w:jc w:val="center"/>
              <w:rPr>
                <w:rFonts w:asciiTheme="majorHAnsi" w:eastAsia="Cambria" w:hAnsiTheme="majorHAnsi" w:cs="Times New Roman"/>
                <w:lang w:val="lv-LV"/>
              </w:rPr>
            </w:pPr>
            <w:r w:rsidRPr="0019406C">
              <w:rPr>
                <w:rFonts w:asciiTheme="majorHAnsi" w:eastAsia="Cambria" w:hAnsiTheme="majorHAnsi" w:cs="Times New Roman"/>
                <w:lang w:val="lv-LV"/>
              </w:rPr>
              <w:t>105</w:t>
            </w:r>
          </w:p>
        </w:tc>
        <w:tc>
          <w:tcPr>
            <w:tcW w:w="554" w:type="pct"/>
            <w:vAlign w:val="center"/>
          </w:tcPr>
          <w:p w:rsidR="00420131" w:rsidRPr="0019406C" w:rsidRDefault="00420131" w:rsidP="00420131">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11</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420131" w:rsidRPr="0019406C" w:rsidRDefault="00420131" w:rsidP="00420131">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94</w:t>
            </w:r>
          </w:p>
        </w:tc>
        <w:tc>
          <w:tcPr>
            <w:tcW w:w="2661" w:type="pct"/>
          </w:tcPr>
          <w:p w:rsidR="00420131" w:rsidRPr="0019406C" w:rsidRDefault="00420131" w:rsidP="00420131">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Ieviesta iespēja dibināt kompāniju bez minimālās kapitāla prasības.</w:t>
            </w:r>
          </w:p>
        </w:tc>
      </w:tr>
      <w:tr w:rsidR="00420131" w:rsidRPr="00BB0049" w:rsidTr="00420131">
        <w:trPr>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420131" w:rsidRPr="0019406C" w:rsidRDefault="00420131" w:rsidP="00420131">
            <w:pPr>
              <w:rPr>
                <w:rFonts w:asciiTheme="majorHAnsi" w:hAnsiTheme="majorHAnsi"/>
                <w:b w:val="0"/>
                <w:lang w:val="lv-LV"/>
              </w:rPr>
            </w:pPr>
            <w:r w:rsidRPr="0019406C">
              <w:rPr>
                <w:rFonts w:asciiTheme="majorHAnsi" w:hAnsiTheme="majorHAnsi"/>
                <w:b w:val="0"/>
                <w:lang w:val="lv-LV"/>
              </w:rPr>
              <w:t>Lielbritānija</w:t>
            </w:r>
          </w:p>
        </w:tc>
        <w:tc>
          <w:tcPr>
            <w:cnfStyle w:val="000010000000" w:firstRow="0" w:lastRow="0" w:firstColumn="0" w:lastColumn="0" w:oddVBand="1" w:evenVBand="0" w:oddHBand="0" w:evenHBand="0" w:firstRowFirstColumn="0" w:firstRowLastColumn="0" w:lastRowFirstColumn="0" w:lastRowLastColumn="0"/>
            <w:tcW w:w="554" w:type="pct"/>
            <w:vAlign w:val="center"/>
          </w:tcPr>
          <w:p w:rsidR="00420131" w:rsidRPr="0019406C" w:rsidRDefault="00420131" w:rsidP="00420131">
            <w:pPr>
              <w:jc w:val="center"/>
              <w:rPr>
                <w:rFonts w:asciiTheme="majorHAnsi" w:eastAsia="Cambria" w:hAnsiTheme="majorHAnsi" w:cs="Times New Roman"/>
                <w:lang w:val="lv-LV"/>
              </w:rPr>
            </w:pPr>
            <w:r w:rsidRPr="0019406C">
              <w:rPr>
                <w:rFonts w:asciiTheme="majorHAnsi" w:eastAsia="Cambria" w:hAnsiTheme="majorHAnsi" w:cs="Times New Roman"/>
                <w:lang w:val="lv-LV"/>
              </w:rPr>
              <w:t>18</w:t>
            </w:r>
          </w:p>
        </w:tc>
        <w:tc>
          <w:tcPr>
            <w:tcW w:w="554" w:type="pct"/>
            <w:vAlign w:val="center"/>
          </w:tcPr>
          <w:p w:rsidR="00420131" w:rsidRPr="0019406C" w:rsidRDefault="00420131" w:rsidP="00420131">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28</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420131" w:rsidRPr="0019406C" w:rsidRDefault="00420131" w:rsidP="00420131">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-10</w:t>
            </w:r>
          </w:p>
        </w:tc>
        <w:tc>
          <w:tcPr>
            <w:tcW w:w="2661" w:type="pct"/>
          </w:tcPr>
          <w:p w:rsidR="00420131" w:rsidRPr="0019406C" w:rsidRDefault="00420131" w:rsidP="00420131">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Izstrādāti paraugi ar mērķi nodrošināt palīdzību memorandu un statūtu sagatavošanā.</w:t>
            </w:r>
          </w:p>
        </w:tc>
      </w:tr>
      <w:tr w:rsidR="00420131" w:rsidRPr="0019406C" w:rsidTr="00420131">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420131" w:rsidRPr="0019406C" w:rsidRDefault="00420131" w:rsidP="00420131">
            <w:pPr>
              <w:rPr>
                <w:rFonts w:asciiTheme="majorHAnsi" w:hAnsiTheme="majorHAnsi"/>
                <w:b w:val="0"/>
                <w:lang w:val="lv-LV"/>
              </w:rPr>
            </w:pPr>
            <w:r w:rsidRPr="0019406C">
              <w:rPr>
                <w:rFonts w:asciiTheme="majorHAnsi" w:hAnsiTheme="majorHAnsi"/>
                <w:b w:val="0"/>
                <w:lang w:val="lv-LV"/>
              </w:rPr>
              <w:t>Dānija</w:t>
            </w:r>
          </w:p>
        </w:tc>
        <w:tc>
          <w:tcPr>
            <w:cnfStyle w:val="000010000000" w:firstRow="0" w:lastRow="0" w:firstColumn="0" w:lastColumn="0" w:oddVBand="1" w:evenVBand="0" w:oddHBand="0" w:evenHBand="0" w:firstRowFirstColumn="0" w:firstRowLastColumn="0" w:lastRowFirstColumn="0" w:lastRowLastColumn="0"/>
            <w:tcW w:w="554" w:type="pct"/>
            <w:vAlign w:val="center"/>
          </w:tcPr>
          <w:p w:rsidR="00420131" w:rsidRPr="0019406C" w:rsidRDefault="00420131" w:rsidP="00420131">
            <w:pPr>
              <w:jc w:val="center"/>
              <w:rPr>
                <w:rFonts w:asciiTheme="majorHAnsi" w:eastAsia="Cambria" w:hAnsiTheme="majorHAnsi" w:cs="Times New Roman"/>
                <w:lang w:val="lv-LV"/>
              </w:rPr>
            </w:pPr>
            <w:r w:rsidRPr="0019406C">
              <w:rPr>
                <w:rFonts w:asciiTheme="majorHAnsi" w:eastAsia="Cambria" w:hAnsiTheme="majorHAnsi" w:cs="Times New Roman"/>
                <w:lang w:val="lv-LV"/>
              </w:rPr>
              <w:t>32</w:t>
            </w:r>
          </w:p>
        </w:tc>
        <w:tc>
          <w:tcPr>
            <w:tcW w:w="554" w:type="pct"/>
            <w:vAlign w:val="center"/>
          </w:tcPr>
          <w:p w:rsidR="00420131" w:rsidRPr="0019406C" w:rsidRDefault="00420131" w:rsidP="00420131">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40</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420131" w:rsidRPr="0019406C" w:rsidRDefault="00420131" w:rsidP="00420131">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-8</w:t>
            </w:r>
          </w:p>
        </w:tc>
        <w:tc>
          <w:tcPr>
            <w:tcW w:w="2661" w:type="pct"/>
          </w:tcPr>
          <w:p w:rsidR="00420131" w:rsidRPr="0019406C" w:rsidRDefault="00420131" w:rsidP="00420131">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420131" w:rsidRPr="0019406C" w:rsidTr="00420131">
        <w:trPr>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420131" w:rsidRPr="0019406C" w:rsidRDefault="00420131" w:rsidP="00420131">
            <w:pPr>
              <w:rPr>
                <w:rFonts w:asciiTheme="majorHAnsi" w:hAnsiTheme="majorHAnsi"/>
                <w:b w:val="0"/>
                <w:lang w:val="lv-LV"/>
              </w:rPr>
            </w:pPr>
            <w:r w:rsidRPr="0019406C">
              <w:rPr>
                <w:rFonts w:asciiTheme="majorHAnsi" w:hAnsiTheme="majorHAnsi"/>
                <w:b w:val="0"/>
                <w:lang w:val="lv-LV"/>
              </w:rPr>
              <w:t>Somija</w:t>
            </w:r>
          </w:p>
        </w:tc>
        <w:tc>
          <w:tcPr>
            <w:cnfStyle w:val="000010000000" w:firstRow="0" w:lastRow="0" w:firstColumn="0" w:lastColumn="0" w:oddVBand="1" w:evenVBand="0" w:oddHBand="0" w:evenHBand="0" w:firstRowFirstColumn="0" w:firstRowLastColumn="0" w:lastRowFirstColumn="0" w:lastRowLastColumn="0"/>
            <w:tcW w:w="554" w:type="pct"/>
            <w:vAlign w:val="center"/>
          </w:tcPr>
          <w:p w:rsidR="00420131" w:rsidRPr="0019406C" w:rsidRDefault="00420131" w:rsidP="00420131">
            <w:pPr>
              <w:jc w:val="center"/>
              <w:rPr>
                <w:rFonts w:asciiTheme="majorHAnsi" w:eastAsia="Cambria" w:hAnsiTheme="majorHAnsi" w:cs="Times New Roman"/>
                <w:lang w:val="lv-LV"/>
              </w:rPr>
            </w:pPr>
            <w:r w:rsidRPr="0019406C">
              <w:rPr>
                <w:rFonts w:asciiTheme="majorHAnsi" w:eastAsia="Cambria" w:hAnsiTheme="majorHAnsi" w:cs="Times New Roman"/>
                <w:lang w:val="lv-LV"/>
              </w:rPr>
              <w:t>48</w:t>
            </w:r>
          </w:p>
        </w:tc>
        <w:tc>
          <w:tcPr>
            <w:tcW w:w="554" w:type="pct"/>
            <w:vAlign w:val="center"/>
          </w:tcPr>
          <w:p w:rsidR="00420131" w:rsidRPr="0019406C" w:rsidRDefault="00420131" w:rsidP="00420131">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55</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420131" w:rsidRPr="0019406C" w:rsidRDefault="00420131" w:rsidP="00420131">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-7</w:t>
            </w:r>
          </w:p>
        </w:tc>
        <w:tc>
          <w:tcPr>
            <w:tcW w:w="2661" w:type="pct"/>
          </w:tcPr>
          <w:p w:rsidR="00420131" w:rsidRPr="0019406C" w:rsidRDefault="00420131" w:rsidP="00420131">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420131" w:rsidRPr="00BB0049" w:rsidTr="00420131">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652" w:type="pct"/>
            <w:shd w:val="clear" w:color="auto" w:fill="FFE199" w:themeFill="accent2" w:themeFillTint="66"/>
            <w:vAlign w:val="center"/>
          </w:tcPr>
          <w:p w:rsidR="00420131" w:rsidRPr="0019406C" w:rsidRDefault="00420131" w:rsidP="00420131">
            <w:pPr>
              <w:rPr>
                <w:rFonts w:asciiTheme="majorHAnsi" w:eastAsia="Cambria" w:hAnsiTheme="majorHAnsi" w:cs="Times New Roman"/>
                <w:b w:val="0"/>
                <w:lang w:val="lv-LV"/>
              </w:rPr>
            </w:pPr>
            <w:r w:rsidRPr="0019406C">
              <w:rPr>
                <w:rFonts w:asciiTheme="majorHAnsi" w:eastAsia="Cambria" w:hAnsiTheme="majorHAnsi" w:cs="Times New Roman"/>
                <w:b w:val="0"/>
                <w:lang w:val="lv-LV"/>
              </w:rPr>
              <w:t>Latvija</w:t>
            </w:r>
          </w:p>
        </w:tc>
        <w:tc>
          <w:tcPr>
            <w:cnfStyle w:val="000010000000" w:firstRow="0" w:lastRow="0" w:firstColumn="0" w:lastColumn="0" w:oddVBand="1" w:evenVBand="0" w:oddHBand="0" w:evenHBand="0" w:firstRowFirstColumn="0" w:firstRowLastColumn="0" w:lastRowFirstColumn="0" w:lastRowLastColumn="0"/>
            <w:tcW w:w="554" w:type="pct"/>
            <w:shd w:val="clear" w:color="auto" w:fill="FFE199" w:themeFill="accent2" w:themeFillTint="66"/>
            <w:vAlign w:val="center"/>
          </w:tcPr>
          <w:p w:rsidR="00420131" w:rsidRPr="0019406C" w:rsidRDefault="00420131" w:rsidP="00420131">
            <w:pPr>
              <w:jc w:val="center"/>
              <w:rPr>
                <w:rFonts w:asciiTheme="majorHAnsi" w:eastAsia="Cambria" w:hAnsiTheme="majorHAnsi" w:cs="Times New Roman"/>
                <w:lang w:val="lv-LV"/>
              </w:rPr>
            </w:pPr>
            <w:r w:rsidRPr="0019406C">
              <w:rPr>
                <w:rFonts w:asciiTheme="majorHAnsi" w:eastAsia="Cambria" w:hAnsiTheme="majorHAnsi" w:cs="Times New Roman"/>
                <w:lang w:val="lv-LV"/>
              </w:rPr>
              <w:t>59</w:t>
            </w:r>
          </w:p>
        </w:tc>
        <w:tc>
          <w:tcPr>
            <w:tcW w:w="554" w:type="pct"/>
            <w:shd w:val="clear" w:color="auto" w:fill="FFE199" w:themeFill="accent2" w:themeFillTint="66"/>
            <w:vAlign w:val="center"/>
          </w:tcPr>
          <w:p w:rsidR="00420131" w:rsidRPr="0019406C" w:rsidRDefault="00420131" w:rsidP="00420131">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57</w:t>
            </w:r>
          </w:p>
        </w:tc>
        <w:tc>
          <w:tcPr>
            <w:cnfStyle w:val="000010000000" w:firstRow="0" w:lastRow="0" w:firstColumn="0" w:lastColumn="0" w:oddVBand="1" w:evenVBand="0" w:oddHBand="0" w:evenHBand="0" w:firstRowFirstColumn="0" w:firstRowLastColumn="0" w:lastRowFirstColumn="0" w:lastRowLastColumn="0"/>
            <w:tcW w:w="580" w:type="pct"/>
            <w:shd w:val="clear" w:color="auto" w:fill="FFE199" w:themeFill="accent2" w:themeFillTint="66"/>
            <w:vAlign w:val="center"/>
          </w:tcPr>
          <w:p w:rsidR="00420131" w:rsidRPr="0019406C" w:rsidRDefault="00420131" w:rsidP="00420131">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2</w:t>
            </w:r>
          </w:p>
        </w:tc>
        <w:tc>
          <w:tcPr>
            <w:tcW w:w="2661" w:type="pct"/>
            <w:shd w:val="clear" w:color="auto" w:fill="FFE199" w:themeFill="accent2" w:themeFillTint="66"/>
          </w:tcPr>
          <w:p w:rsidR="00420131" w:rsidRPr="0019406C" w:rsidRDefault="00420131" w:rsidP="00420131">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Ieviesta iespēja vienlaicīgi iesniegt pieteikumu uzņēmuma un PVN reģistrācijai.</w:t>
            </w:r>
          </w:p>
        </w:tc>
      </w:tr>
      <w:tr w:rsidR="00420131" w:rsidRPr="0019406C" w:rsidTr="00420131">
        <w:trPr>
          <w:trHeight w:val="274"/>
        </w:trPr>
        <w:tc>
          <w:tcPr>
            <w:cnfStyle w:val="001000000000" w:firstRow="0" w:lastRow="0" w:firstColumn="1" w:lastColumn="0" w:oddVBand="0" w:evenVBand="0" w:oddHBand="0" w:evenHBand="0" w:firstRowFirstColumn="0" w:firstRowLastColumn="0" w:lastRowFirstColumn="0" w:lastRowLastColumn="0"/>
            <w:tcW w:w="652" w:type="pct"/>
            <w:vAlign w:val="center"/>
          </w:tcPr>
          <w:p w:rsidR="00420131" w:rsidRPr="0019406C" w:rsidRDefault="00420131" w:rsidP="00420131">
            <w:pPr>
              <w:rPr>
                <w:rFonts w:asciiTheme="majorHAnsi" w:eastAsia="Cambria" w:hAnsiTheme="majorHAnsi" w:cs="Times New Roman"/>
                <w:b w:val="0"/>
                <w:lang w:val="lv-LV"/>
              </w:rPr>
            </w:pPr>
            <w:r w:rsidRPr="0019406C">
              <w:rPr>
                <w:rFonts w:asciiTheme="majorHAnsi" w:hAnsiTheme="majorHAnsi"/>
                <w:b w:val="0"/>
                <w:lang w:val="lv-LV"/>
              </w:rPr>
              <w:t>Igaunija</w:t>
            </w:r>
          </w:p>
        </w:tc>
        <w:tc>
          <w:tcPr>
            <w:cnfStyle w:val="000010000000" w:firstRow="0" w:lastRow="0" w:firstColumn="0" w:lastColumn="0" w:oddVBand="1" w:evenVBand="0" w:oddHBand="0" w:evenHBand="0" w:firstRowFirstColumn="0" w:firstRowLastColumn="0" w:lastRowFirstColumn="0" w:lastRowLastColumn="0"/>
            <w:tcW w:w="554" w:type="pct"/>
            <w:vAlign w:val="center"/>
          </w:tcPr>
          <w:p w:rsidR="00420131" w:rsidRPr="0019406C" w:rsidRDefault="00420131" w:rsidP="00420131">
            <w:pPr>
              <w:jc w:val="center"/>
              <w:rPr>
                <w:rFonts w:asciiTheme="majorHAnsi" w:eastAsia="Cambria" w:hAnsiTheme="majorHAnsi" w:cs="Times New Roman"/>
                <w:lang w:val="lv-LV"/>
              </w:rPr>
            </w:pPr>
            <w:r w:rsidRPr="0019406C">
              <w:rPr>
                <w:rFonts w:asciiTheme="majorHAnsi" w:eastAsia="Cambria" w:hAnsiTheme="majorHAnsi" w:cs="Times New Roman"/>
                <w:lang w:val="lv-LV"/>
              </w:rPr>
              <w:t>50</w:t>
            </w:r>
          </w:p>
        </w:tc>
        <w:tc>
          <w:tcPr>
            <w:tcW w:w="554" w:type="pct"/>
            <w:vAlign w:val="center"/>
          </w:tcPr>
          <w:p w:rsidR="00420131" w:rsidRPr="0019406C" w:rsidRDefault="00420131" w:rsidP="00420131">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61</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420131" w:rsidRPr="0019406C" w:rsidRDefault="00420131" w:rsidP="00420131">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-11</w:t>
            </w:r>
          </w:p>
        </w:tc>
        <w:tc>
          <w:tcPr>
            <w:tcW w:w="2661" w:type="pct"/>
          </w:tcPr>
          <w:p w:rsidR="00420131" w:rsidRPr="0019406C" w:rsidRDefault="00420131" w:rsidP="00420131">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420131" w:rsidRPr="0019406C" w:rsidTr="00420131">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420131" w:rsidRPr="0019406C" w:rsidRDefault="00420131" w:rsidP="00420131">
            <w:pPr>
              <w:rPr>
                <w:rFonts w:asciiTheme="majorHAnsi" w:hAnsiTheme="majorHAnsi"/>
                <w:b w:val="0"/>
                <w:lang w:val="lv-LV"/>
              </w:rPr>
            </w:pPr>
            <w:r w:rsidRPr="0019406C">
              <w:rPr>
                <w:rFonts w:asciiTheme="majorHAnsi" w:hAnsiTheme="majorHAnsi"/>
                <w:b w:val="0"/>
                <w:lang w:val="lv-LV"/>
              </w:rPr>
              <w:t>Zviedrija</w:t>
            </w:r>
          </w:p>
        </w:tc>
        <w:tc>
          <w:tcPr>
            <w:cnfStyle w:val="000010000000" w:firstRow="0" w:lastRow="0" w:firstColumn="0" w:lastColumn="0" w:oddVBand="1" w:evenVBand="0" w:oddHBand="0" w:evenHBand="0" w:firstRowFirstColumn="0" w:firstRowLastColumn="0" w:lastRowFirstColumn="0" w:lastRowLastColumn="0"/>
            <w:tcW w:w="554" w:type="pct"/>
            <w:vAlign w:val="center"/>
          </w:tcPr>
          <w:p w:rsidR="00420131" w:rsidRPr="0019406C" w:rsidRDefault="00420131" w:rsidP="00420131">
            <w:pPr>
              <w:jc w:val="center"/>
              <w:rPr>
                <w:rFonts w:asciiTheme="majorHAnsi" w:eastAsia="Cambria" w:hAnsiTheme="majorHAnsi" w:cs="Times New Roman"/>
                <w:lang w:val="lv-LV"/>
              </w:rPr>
            </w:pPr>
            <w:r w:rsidRPr="0019406C">
              <w:rPr>
                <w:rFonts w:asciiTheme="majorHAnsi" w:eastAsia="Cambria" w:hAnsiTheme="majorHAnsi" w:cs="Times New Roman"/>
                <w:lang w:val="lv-LV"/>
              </w:rPr>
              <w:t>55</w:t>
            </w:r>
          </w:p>
        </w:tc>
        <w:tc>
          <w:tcPr>
            <w:tcW w:w="554" w:type="pct"/>
            <w:vAlign w:val="center"/>
          </w:tcPr>
          <w:p w:rsidR="00420131" w:rsidRPr="0019406C" w:rsidRDefault="00420131" w:rsidP="00420131">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61</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420131" w:rsidRPr="0019406C" w:rsidRDefault="00420131" w:rsidP="00420131">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-6</w:t>
            </w:r>
          </w:p>
        </w:tc>
        <w:tc>
          <w:tcPr>
            <w:tcW w:w="2661" w:type="pct"/>
          </w:tcPr>
          <w:p w:rsidR="00420131" w:rsidRPr="0019406C" w:rsidRDefault="00420131" w:rsidP="00420131">
            <w:pPr>
              <w:tabs>
                <w:tab w:val="left" w:pos="1815"/>
              </w:tabs>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420131" w:rsidRPr="00BB0049" w:rsidTr="00420131">
        <w:trPr>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420131" w:rsidRPr="0019406C" w:rsidRDefault="00420131" w:rsidP="00420131">
            <w:pPr>
              <w:rPr>
                <w:rFonts w:asciiTheme="majorHAnsi" w:eastAsia="Cambria" w:hAnsiTheme="majorHAnsi" w:cs="Times New Roman"/>
                <w:b w:val="0"/>
                <w:lang w:val="lv-LV"/>
              </w:rPr>
            </w:pPr>
            <w:r w:rsidRPr="0019406C">
              <w:rPr>
                <w:rFonts w:asciiTheme="majorHAnsi" w:hAnsiTheme="majorHAnsi"/>
                <w:b w:val="0"/>
                <w:lang w:val="lv-LV"/>
              </w:rPr>
              <w:t>Polija</w:t>
            </w:r>
          </w:p>
        </w:tc>
        <w:tc>
          <w:tcPr>
            <w:cnfStyle w:val="000010000000" w:firstRow="0" w:lastRow="0" w:firstColumn="0" w:lastColumn="0" w:oddVBand="1" w:evenVBand="0" w:oddHBand="0" w:evenHBand="0" w:firstRowFirstColumn="0" w:firstRowLastColumn="0" w:lastRowFirstColumn="0" w:lastRowLastColumn="0"/>
            <w:tcW w:w="554" w:type="pct"/>
            <w:vAlign w:val="center"/>
          </w:tcPr>
          <w:p w:rsidR="00420131" w:rsidRPr="0019406C" w:rsidRDefault="00420131" w:rsidP="00420131">
            <w:pPr>
              <w:jc w:val="center"/>
              <w:rPr>
                <w:rFonts w:asciiTheme="majorHAnsi" w:eastAsia="Cambria" w:hAnsiTheme="majorHAnsi" w:cs="Times New Roman"/>
                <w:lang w:val="lv-LV"/>
              </w:rPr>
            </w:pPr>
            <w:r w:rsidRPr="0019406C">
              <w:rPr>
                <w:rFonts w:asciiTheme="majorHAnsi" w:eastAsia="Cambria" w:hAnsiTheme="majorHAnsi" w:cs="Times New Roman"/>
                <w:lang w:val="lv-LV"/>
              </w:rPr>
              <w:t>124</w:t>
            </w:r>
          </w:p>
        </w:tc>
        <w:tc>
          <w:tcPr>
            <w:tcW w:w="554" w:type="pct"/>
            <w:vAlign w:val="center"/>
          </w:tcPr>
          <w:p w:rsidR="00420131" w:rsidRPr="0019406C" w:rsidRDefault="00420131" w:rsidP="00420131">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116</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420131" w:rsidRPr="0019406C" w:rsidRDefault="00420131" w:rsidP="00420131">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8</w:t>
            </w:r>
          </w:p>
        </w:tc>
        <w:tc>
          <w:tcPr>
            <w:tcW w:w="2661" w:type="pct"/>
          </w:tcPr>
          <w:p w:rsidR="00420131" w:rsidRPr="0019406C" w:rsidRDefault="00420131" w:rsidP="00420131">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Atcelta prasība reģistrēt jauno uzņēmumu Valsts Darba inspekcijā un Valsts Sanitārajā inspekcijā.</w:t>
            </w:r>
          </w:p>
        </w:tc>
      </w:tr>
      <w:tr w:rsidR="00420131" w:rsidRPr="0019406C" w:rsidTr="00420131">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420131" w:rsidRPr="0019406C" w:rsidRDefault="00420131" w:rsidP="00420131">
            <w:pPr>
              <w:rPr>
                <w:rFonts w:asciiTheme="majorHAnsi" w:hAnsiTheme="majorHAnsi"/>
                <w:b w:val="0"/>
                <w:lang w:val="lv-LV"/>
              </w:rPr>
            </w:pPr>
            <w:r w:rsidRPr="0019406C">
              <w:rPr>
                <w:rFonts w:asciiTheme="majorHAnsi" w:hAnsiTheme="majorHAnsi"/>
                <w:b w:val="0"/>
                <w:lang w:val="lv-LV"/>
              </w:rPr>
              <w:t>Čehija</w:t>
            </w:r>
          </w:p>
        </w:tc>
        <w:tc>
          <w:tcPr>
            <w:cnfStyle w:val="000010000000" w:firstRow="0" w:lastRow="0" w:firstColumn="0" w:lastColumn="0" w:oddVBand="1" w:evenVBand="0" w:oddHBand="0" w:evenHBand="0" w:firstRowFirstColumn="0" w:firstRowLastColumn="0" w:lastRowFirstColumn="0" w:lastRowLastColumn="0"/>
            <w:tcW w:w="554" w:type="pct"/>
            <w:vAlign w:val="center"/>
          </w:tcPr>
          <w:p w:rsidR="00420131" w:rsidRPr="0019406C" w:rsidRDefault="00420131" w:rsidP="00420131">
            <w:pPr>
              <w:jc w:val="center"/>
              <w:rPr>
                <w:rFonts w:asciiTheme="majorHAnsi" w:eastAsia="Cambria" w:hAnsiTheme="majorHAnsi" w:cs="Times New Roman"/>
                <w:lang w:val="lv-LV"/>
              </w:rPr>
            </w:pPr>
            <w:r w:rsidRPr="0019406C">
              <w:rPr>
                <w:rFonts w:asciiTheme="majorHAnsi" w:eastAsia="Cambria" w:hAnsiTheme="majorHAnsi" w:cs="Times New Roman"/>
                <w:lang w:val="lv-LV"/>
              </w:rPr>
              <w:t>140</w:t>
            </w:r>
          </w:p>
        </w:tc>
        <w:tc>
          <w:tcPr>
            <w:tcW w:w="554" w:type="pct"/>
            <w:vAlign w:val="center"/>
          </w:tcPr>
          <w:p w:rsidR="00420131" w:rsidRPr="0019406C" w:rsidRDefault="00420131" w:rsidP="00420131">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146</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420131" w:rsidRPr="0019406C" w:rsidRDefault="00420131" w:rsidP="00420131">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-6</w:t>
            </w:r>
          </w:p>
        </w:tc>
        <w:tc>
          <w:tcPr>
            <w:tcW w:w="2661" w:type="pct"/>
          </w:tcPr>
          <w:p w:rsidR="00420131" w:rsidRPr="0019406C" w:rsidRDefault="00420131" w:rsidP="00420131">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bl>
    <w:p w:rsidR="00420131" w:rsidRPr="0019406C" w:rsidRDefault="00420131" w:rsidP="00420131">
      <w:pPr>
        <w:pStyle w:val="BodyText"/>
        <w:rPr>
          <w:rFonts w:asciiTheme="majorHAnsi" w:hAnsiTheme="majorHAnsi"/>
          <w:lang w:val="lv-LV"/>
        </w:rPr>
      </w:pPr>
    </w:p>
    <w:p w:rsidR="00420131" w:rsidRPr="0019406C" w:rsidRDefault="00420131" w:rsidP="00420131">
      <w:pPr>
        <w:pStyle w:val="Caption"/>
        <w:spacing w:line="276" w:lineRule="auto"/>
        <w:jc w:val="both"/>
        <w:rPr>
          <w:rFonts w:asciiTheme="majorHAnsi" w:hAnsiTheme="majorHAnsi"/>
          <w:b w:val="0"/>
          <w:lang w:val="lv-LV"/>
        </w:rPr>
      </w:pPr>
      <w:r w:rsidRPr="0019406C">
        <w:rPr>
          <w:rFonts w:asciiTheme="majorHAnsi" w:hAnsiTheme="majorHAnsi"/>
          <w:b w:val="0"/>
          <w:lang w:val="lv-LV"/>
        </w:rPr>
        <w:t>Uzņēmuma reģistrēšanas ilguma ziņā Latvijā ir vērojams uzlabojums. Laika posmā no 2013. uz 2014. gadu tas ir samazinājies no 16 uz 12</w:t>
      </w:r>
      <w:r w:rsidR="00F541BC" w:rsidRPr="0019406C">
        <w:rPr>
          <w:rFonts w:asciiTheme="majorHAnsi" w:hAnsiTheme="majorHAnsi"/>
          <w:b w:val="0"/>
          <w:lang w:val="lv-LV"/>
        </w:rPr>
        <w:t>,</w:t>
      </w:r>
      <w:r w:rsidRPr="0019406C">
        <w:rPr>
          <w:rFonts w:asciiTheme="majorHAnsi" w:hAnsiTheme="majorHAnsi"/>
          <w:b w:val="0"/>
          <w:lang w:val="lv-LV"/>
        </w:rPr>
        <w:t>5 dienām. Taču jāņem vērā, ka kaimiņvalstīs tas ir izdarāms vēl ātrāk; piemēram, gan Igaunijā, gan Lietuvā jauna uzņēmuma reģistrēšanai vajadzīgas aptuveni 6</w:t>
      </w:r>
      <w:r w:rsidR="00F541BC" w:rsidRPr="0019406C">
        <w:rPr>
          <w:rFonts w:asciiTheme="majorHAnsi" w:hAnsiTheme="majorHAnsi"/>
          <w:b w:val="0"/>
          <w:lang w:val="lv-LV"/>
        </w:rPr>
        <w:t>,</w:t>
      </w:r>
      <w:r w:rsidRPr="0019406C">
        <w:rPr>
          <w:rFonts w:asciiTheme="majorHAnsi" w:hAnsiTheme="majorHAnsi"/>
          <w:b w:val="0"/>
          <w:lang w:val="lv-LV"/>
        </w:rPr>
        <w:t>5 dienas, bet Dānijā – 5</w:t>
      </w:r>
      <w:r w:rsidR="00F541BC" w:rsidRPr="0019406C">
        <w:rPr>
          <w:rFonts w:asciiTheme="majorHAnsi" w:hAnsiTheme="majorHAnsi"/>
          <w:b w:val="0"/>
          <w:lang w:val="lv-LV"/>
        </w:rPr>
        <w:t>,</w:t>
      </w:r>
      <w:r w:rsidRPr="0019406C">
        <w:rPr>
          <w:rFonts w:asciiTheme="majorHAnsi" w:hAnsiTheme="majorHAnsi"/>
          <w:b w:val="0"/>
          <w:lang w:val="lv-LV"/>
        </w:rPr>
        <w:t xml:space="preserve">5 </w:t>
      </w:r>
      <w:r w:rsidRPr="0019406C">
        <w:rPr>
          <w:rFonts w:asciiTheme="majorHAnsi" w:hAnsiTheme="majorHAnsi"/>
          <w:b w:val="0"/>
          <w:lang w:val="lv-LV"/>
        </w:rPr>
        <w:lastRenderedPageBreak/>
        <w:t>dienas. Tomēr Latvija apsteidz Somiju un Zviedriju, kur vidēji vajadzīgas 15 dienas, lai reģistrētu uzņēmumu, kā arī Poliju, kur tas aizņem 30 dienas.</w:t>
      </w:r>
    </w:p>
    <w:p w:rsidR="00420131" w:rsidRPr="0019406C" w:rsidRDefault="00420131" w:rsidP="00420131">
      <w:pPr>
        <w:pStyle w:val="Caption"/>
        <w:rPr>
          <w:rFonts w:asciiTheme="majorHAnsi" w:hAnsiTheme="majorHAnsi"/>
          <w:sz w:val="16"/>
          <w:lang w:val="lv-LV"/>
        </w:rPr>
      </w:pPr>
      <w:bookmarkStart w:id="54" w:name="_Toc381609302"/>
      <w:bookmarkStart w:id="55" w:name="_Toc389225079"/>
      <w:r w:rsidRPr="0019406C">
        <w:rPr>
          <w:rFonts w:asciiTheme="majorHAnsi" w:hAnsiTheme="majorHAnsi"/>
          <w:sz w:val="16"/>
          <w:lang w:val="lv-LV"/>
        </w:rPr>
        <w:t xml:space="preserve">Tabula </w:t>
      </w:r>
      <w:r w:rsidRPr="0019406C">
        <w:rPr>
          <w:rFonts w:asciiTheme="majorHAnsi" w:hAnsiTheme="majorHAnsi"/>
          <w:sz w:val="16"/>
          <w:lang w:val="lv-LV"/>
        </w:rPr>
        <w:fldChar w:fldCharType="begin"/>
      </w:r>
      <w:r w:rsidRPr="0019406C">
        <w:rPr>
          <w:rFonts w:asciiTheme="majorHAnsi" w:hAnsiTheme="majorHAnsi"/>
          <w:sz w:val="16"/>
          <w:lang w:val="lv-LV"/>
        </w:rPr>
        <w:instrText xml:space="preserve"> SEQ Tabula \* ARABIC </w:instrText>
      </w:r>
      <w:r w:rsidRPr="0019406C">
        <w:rPr>
          <w:rFonts w:asciiTheme="majorHAnsi" w:hAnsiTheme="majorHAnsi"/>
          <w:sz w:val="16"/>
          <w:lang w:val="lv-LV"/>
        </w:rPr>
        <w:fldChar w:fldCharType="separate"/>
      </w:r>
      <w:r w:rsidR="00410806" w:rsidRPr="0019406C">
        <w:rPr>
          <w:rFonts w:asciiTheme="majorHAnsi" w:hAnsiTheme="majorHAnsi"/>
          <w:noProof/>
          <w:sz w:val="16"/>
          <w:lang w:val="lv-LV"/>
        </w:rPr>
        <w:t>5</w:t>
      </w:r>
      <w:r w:rsidRPr="0019406C">
        <w:rPr>
          <w:rFonts w:asciiTheme="majorHAnsi" w:hAnsiTheme="majorHAnsi"/>
          <w:sz w:val="16"/>
          <w:lang w:val="lv-LV"/>
        </w:rPr>
        <w:fldChar w:fldCharType="end"/>
      </w:r>
      <w:r w:rsidRPr="0019406C">
        <w:rPr>
          <w:rFonts w:asciiTheme="majorHAnsi" w:hAnsiTheme="majorHAnsi"/>
          <w:sz w:val="16"/>
          <w:lang w:val="lv-LV"/>
        </w:rPr>
        <w:t xml:space="preserve"> Uzņēmējdarbības reģistrēšanas procesa ilguma salīdzinājums</w:t>
      </w:r>
      <w:bookmarkEnd w:id="54"/>
      <w:bookmarkEnd w:id="55"/>
    </w:p>
    <w:tbl>
      <w:tblPr>
        <w:tblStyle w:val="LightList-Accent11"/>
        <w:tblW w:w="5000" w:type="pct"/>
        <w:tblLook w:val="00A0" w:firstRow="1" w:lastRow="0" w:firstColumn="1" w:lastColumn="0" w:noHBand="0" w:noVBand="0"/>
      </w:tblPr>
      <w:tblGrid>
        <w:gridCol w:w="2650"/>
        <w:gridCol w:w="1137"/>
        <w:gridCol w:w="1119"/>
        <w:gridCol w:w="937"/>
        <w:gridCol w:w="1117"/>
        <w:gridCol w:w="1040"/>
        <w:gridCol w:w="1042"/>
        <w:gridCol w:w="1038"/>
      </w:tblGrid>
      <w:tr w:rsidR="00420131" w:rsidRPr="0019406C" w:rsidTr="00420131">
        <w:trPr>
          <w:cnfStyle w:val="100000000000" w:firstRow="1" w:lastRow="0" w:firstColumn="0" w:lastColumn="0" w:oddVBand="0" w:evenVBand="0" w:oddHBand="0" w:evenHBand="0" w:firstRowFirstColumn="0" w:firstRowLastColumn="0" w:lastRowFirstColumn="0" w:lastRowLastColumn="0"/>
          <w:trHeight w:val="190"/>
        </w:trPr>
        <w:tc>
          <w:tcPr>
            <w:cnfStyle w:val="001000000000" w:firstRow="0" w:lastRow="0" w:firstColumn="1" w:lastColumn="0" w:oddVBand="0" w:evenVBand="0" w:oddHBand="0" w:evenHBand="0" w:firstRowFirstColumn="0" w:firstRowLastColumn="0" w:lastRowFirstColumn="0" w:lastRowLastColumn="0"/>
            <w:tcW w:w="1314" w:type="pct"/>
            <w:vAlign w:val="center"/>
          </w:tcPr>
          <w:p w:rsidR="00420131" w:rsidRPr="0019406C" w:rsidRDefault="00420131" w:rsidP="00420131">
            <w:pPr>
              <w:spacing w:line="240" w:lineRule="atLeast"/>
              <w:rPr>
                <w:rFonts w:asciiTheme="majorHAnsi" w:eastAsia="Cambria" w:hAnsiTheme="majorHAnsi" w:cs="Times New Roman"/>
                <w:lang w:val="lv-LV"/>
              </w:rPr>
            </w:pPr>
            <w:r w:rsidRPr="0019406C">
              <w:rPr>
                <w:rFonts w:asciiTheme="majorHAnsi" w:eastAsia="Cambria" w:hAnsiTheme="majorHAnsi" w:cs="Times New Roman"/>
                <w:lang w:val="lv-LV"/>
              </w:rPr>
              <w:t>Kritērijs</w:t>
            </w:r>
          </w:p>
        </w:tc>
        <w:tc>
          <w:tcPr>
            <w:cnfStyle w:val="000010000000" w:firstRow="0" w:lastRow="0" w:firstColumn="0" w:lastColumn="0" w:oddVBand="1" w:evenVBand="0" w:oddHBand="0" w:evenHBand="0" w:firstRowFirstColumn="0" w:firstRowLastColumn="0" w:lastRowFirstColumn="0" w:lastRowLastColumn="0"/>
            <w:tcW w:w="564" w:type="pct"/>
            <w:vAlign w:val="center"/>
          </w:tcPr>
          <w:p w:rsidR="00420131" w:rsidRPr="0019406C" w:rsidRDefault="00420131" w:rsidP="00420131">
            <w:pPr>
              <w:spacing w:line="240" w:lineRule="atLeast"/>
              <w:jc w:val="center"/>
              <w:rPr>
                <w:rFonts w:asciiTheme="majorHAnsi" w:eastAsia="Cambria" w:hAnsiTheme="majorHAnsi" w:cs="Times New Roman"/>
                <w:lang w:val="lv-LV"/>
              </w:rPr>
            </w:pPr>
            <w:r w:rsidRPr="0019406C">
              <w:rPr>
                <w:rFonts w:asciiTheme="majorHAnsi" w:eastAsia="Cambria" w:hAnsiTheme="majorHAnsi" w:cs="Times New Roman"/>
                <w:lang w:val="lv-LV"/>
              </w:rPr>
              <w:t>Latvijā DB2013</w:t>
            </w:r>
          </w:p>
        </w:tc>
        <w:tc>
          <w:tcPr>
            <w:tcW w:w="555" w:type="pct"/>
            <w:vAlign w:val="center"/>
          </w:tcPr>
          <w:p w:rsidR="00420131" w:rsidRPr="0019406C" w:rsidRDefault="00420131" w:rsidP="00420131">
            <w:pPr>
              <w:spacing w:line="240" w:lineRule="atLeast"/>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Latvijā DB2014</w:t>
            </w:r>
          </w:p>
        </w:tc>
        <w:tc>
          <w:tcPr>
            <w:cnfStyle w:val="000010000000" w:firstRow="0" w:lastRow="0" w:firstColumn="0" w:lastColumn="0" w:oddVBand="1" w:evenVBand="0" w:oddHBand="0" w:evenHBand="0" w:firstRowFirstColumn="0" w:firstRowLastColumn="0" w:lastRowFirstColumn="0" w:lastRowLastColumn="0"/>
            <w:tcW w:w="465" w:type="pct"/>
            <w:vAlign w:val="center"/>
          </w:tcPr>
          <w:p w:rsidR="00420131" w:rsidRPr="0019406C" w:rsidRDefault="00420131" w:rsidP="00420131">
            <w:pPr>
              <w:spacing w:line="240" w:lineRule="atLeast"/>
              <w:jc w:val="center"/>
              <w:rPr>
                <w:rFonts w:asciiTheme="majorHAnsi" w:eastAsia="Cambria" w:hAnsiTheme="majorHAnsi" w:cs="Times New Roman"/>
                <w:lang w:val="lv-LV"/>
              </w:rPr>
            </w:pPr>
            <w:r w:rsidRPr="0019406C">
              <w:rPr>
                <w:rFonts w:asciiTheme="majorHAnsi" w:eastAsia="Cambria" w:hAnsiTheme="majorHAnsi" w:cs="Times New Roman"/>
                <w:lang w:val="lv-LV"/>
              </w:rPr>
              <w:t>Dānija</w:t>
            </w:r>
          </w:p>
        </w:tc>
        <w:tc>
          <w:tcPr>
            <w:tcW w:w="554" w:type="pct"/>
            <w:vAlign w:val="center"/>
          </w:tcPr>
          <w:p w:rsidR="00420131" w:rsidRPr="0019406C" w:rsidRDefault="00420131" w:rsidP="00420131">
            <w:pPr>
              <w:spacing w:line="240" w:lineRule="atLeast"/>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Igaunija</w:t>
            </w:r>
          </w:p>
        </w:tc>
        <w:tc>
          <w:tcPr>
            <w:cnfStyle w:val="000010000000" w:firstRow="0" w:lastRow="0" w:firstColumn="0" w:lastColumn="0" w:oddVBand="1" w:evenVBand="0" w:oddHBand="0" w:evenHBand="0" w:firstRowFirstColumn="0" w:firstRowLastColumn="0" w:lastRowFirstColumn="0" w:lastRowLastColumn="0"/>
            <w:tcW w:w="516" w:type="pct"/>
            <w:vAlign w:val="center"/>
          </w:tcPr>
          <w:p w:rsidR="00420131" w:rsidRPr="0019406C" w:rsidRDefault="00420131" w:rsidP="00420131">
            <w:pPr>
              <w:spacing w:line="240" w:lineRule="atLeast"/>
              <w:jc w:val="center"/>
              <w:rPr>
                <w:rFonts w:asciiTheme="majorHAnsi" w:eastAsia="Cambria" w:hAnsiTheme="majorHAnsi" w:cs="Times New Roman"/>
                <w:lang w:val="lv-LV"/>
              </w:rPr>
            </w:pPr>
            <w:r w:rsidRPr="0019406C">
              <w:rPr>
                <w:rFonts w:asciiTheme="majorHAnsi" w:eastAsia="Cambria" w:hAnsiTheme="majorHAnsi" w:cs="Times New Roman"/>
                <w:lang w:val="lv-LV"/>
              </w:rPr>
              <w:t>Somija</w:t>
            </w:r>
          </w:p>
        </w:tc>
        <w:tc>
          <w:tcPr>
            <w:tcW w:w="517" w:type="pct"/>
            <w:vAlign w:val="center"/>
          </w:tcPr>
          <w:p w:rsidR="00420131" w:rsidRPr="0019406C" w:rsidRDefault="00420131" w:rsidP="00420131">
            <w:pPr>
              <w:spacing w:line="240" w:lineRule="atLeast"/>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Lietuva</w:t>
            </w:r>
          </w:p>
        </w:tc>
        <w:tc>
          <w:tcPr>
            <w:cnfStyle w:val="000010000000" w:firstRow="0" w:lastRow="0" w:firstColumn="0" w:lastColumn="0" w:oddVBand="1" w:evenVBand="0" w:oddHBand="0" w:evenHBand="0" w:firstRowFirstColumn="0" w:firstRowLastColumn="0" w:lastRowFirstColumn="0" w:lastRowLastColumn="0"/>
            <w:tcW w:w="516" w:type="pct"/>
            <w:vAlign w:val="center"/>
          </w:tcPr>
          <w:p w:rsidR="00420131" w:rsidRPr="0019406C" w:rsidRDefault="00420131" w:rsidP="00420131">
            <w:pPr>
              <w:jc w:val="center"/>
              <w:rPr>
                <w:rFonts w:asciiTheme="majorHAnsi" w:eastAsia="Cambria" w:hAnsiTheme="majorHAnsi" w:cs="Times New Roman"/>
                <w:lang w:val="lv-LV"/>
              </w:rPr>
            </w:pPr>
            <w:r w:rsidRPr="0019406C">
              <w:rPr>
                <w:rFonts w:asciiTheme="majorHAnsi" w:eastAsia="Cambria" w:hAnsiTheme="majorHAnsi" w:cs="Times New Roman"/>
                <w:lang w:val="lv-LV"/>
              </w:rPr>
              <w:t>Anketa</w:t>
            </w:r>
          </w:p>
        </w:tc>
      </w:tr>
      <w:tr w:rsidR="00420131" w:rsidRPr="0019406C" w:rsidTr="00420131">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314" w:type="pct"/>
            <w:vAlign w:val="center"/>
          </w:tcPr>
          <w:p w:rsidR="00420131" w:rsidRPr="0019406C" w:rsidRDefault="00420131" w:rsidP="00420131">
            <w:pPr>
              <w:rPr>
                <w:rFonts w:asciiTheme="majorHAnsi" w:eastAsia="Cambria" w:hAnsiTheme="majorHAnsi" w:cs="Times New Roman"/>
                <w:b w:val="0"/>
                <w:lang w:val="lv-LV"/>
              </w:rPr>
            </w:pPr>
            <w:r w:rsidRPr="0019406C">
              <w:rPr>
                <w:rFonts w:asciiTheme="majorHAnsi" w:eastAsia="Cambria" w:hAnsiTheme="majorHAnsi" w:cs="Times New Roman"/>
                <w:b w:val="0"/>
                <w:lang w:val="lv-LV"/>
              </w:rPr>
              <w:t>Ilgums, dienas</w:t>
            </w:r>
          </w:p>
        </w:tc>
        <w:tc>
          <w:tcPr>
            <w:cnfStyle w:val="000010000000" w:firstRow="0" w:lastRow="0" w:firstColumn="0" w:lastColumn="0" w:oddVBand="1" w:evenVBand="0" w:oddHBand="0" w:evenHBand="0" w:firstRowFirstColumn="0" w:firstRowLastColumn="0" w:lastRowFirstColumn="0" w:lastRowLastColumn="0"/>
            <w:tcW w:w="564" w:type="pct"/>
            <w:vAlign w:val="center"/>
          </w:tcPr>
          <w:p w:rsidR="00420131" w:rsidRPr="0019406C" w:rsidRDefault="00420131" w:rsidP="00420131">
            <w:pPr>
              <w:jc w:val="center"/>
              <w:rPr>
                <w:rFonts w:asciiTheme="majorHAnsi" w:eastAsia="Cambria" w:hAnsiTheme="majorHAnsi" w:cs="Times New Roman"/>
                <w:lang w:val="lv-LV"/>
              </w:rPr>
            </w:pPr>
            <w:r w:rsidRPr="0019406C">
              <w:rPr>
                <w:rFonts w:asciiTheme="majorHAnsi" w:eastAsia="Cambria" w:hAnsiTheme="majorHAnsi" w:cs="Times New Roman"/>
                <w:lang w:val="lv-LV"/>
              </w:rPr>
              <w:t>16</w:t>
            </w:r>
          </w:p>
        </w:tc>
        <w:tc>
          <w:tcPr>
            <w:tcW w:w="555" w:type="pct"/>
            <w:vAlign w:val="center"/>
          </w:tcPr>
          <w:p w:rsidR="00420131" w:rsidRPr="0019406C" w:rsidRDefault="00420131">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12</w:t>
            </w:r>
            <w:r w:rsidR="00F541BC" w:rsidRPr="0019406C">
              <w:rPr>
                <w:rFonts w:asciiTheme="majorHAnsi" w:eastAsia="Cambria" w:hAnsiTheme="majorHAnsi" w:cs="Times New Roman"/>
                <w:lang w:val="lv-LV"/>
              </w:rPr>
              <w:t>,</w:t>
            </w:r>
            <w:r w:rsidRPr="0019406C">
              <w:rPr>
                <w:rFonts w:asciiTheme="majorHAnsi" w:eastAsia="Cambria" w:hAnsiTheme="majorHAnsi" w:cs="Times New Roman"/>
                <w:lang w:val="lv-LV"/>
              </w:rPr>
              <w:t>5</w:t>
            </w:r>
          </w:p>
        </w:tc>
        <w:tc>
          <w:tcPr>
            <w:cnfStyle w:val="000010000000" w:firstRow="0" w:lastRow="0" w:firstColumn="0" w:lastColumn="0" w:oddVBand="1" w:evenVBand="0" w:oddHBand="0" w:evenHBand="0" w:firstRowFirstColumn="0" w:firstRowLastColumn="0" w:lastRowFirstColumn="0" w:lastRowLastColumn="0"/>
            <w:tcW w:w="465" w:type="pct"/>
            <w:vAlign w:val="center"/>
          </w:tcPr>
          <w:p w:rsidR="00420131" w:rsidRPr="0019406C" w:rsidRDefault="00420131">
            <w:pPr>
              <w:jc w:val="center"/>
              <w:rPr>
                <w:rFonts w:asciiTheme="majorHAnsi" w:eastAsia="Cambria" w:hAnsiTheme="majorHAnsi" w:cs="Times New Roman"/>
                <w:highlight w:val="yellow"/>
                <w:lang w:val="lv-LV"/>
              </w:rPr>
            </w:pPr>
            <w:r w:rsidRPr="0019406C">
              <w:rPr>
                <w:rFonts w:asciiTheme="majorHAnsi" w:eastAsia="Cambria" w:hAnsiTheme="majorHAnsi" w:cs="Times New Roman"/>
                <w:lang w:val="lv-LV"/>
              </w:rPr>
              <w:t>5</w:t>
            </w:r>
            <w:r w:rsidR="00F541BC" w:rsidRPr="0019406C">
              <w:rPr>
                <w:rFonts w:asciiTheme="majorHAnsi" w:eastAsia="Cambria" w:hAnsiTheme="majorHAnsi" w:cs="Times New Roman"/>
                <w:lang w:val="lv-LV"/>
              </w:rPr>
              <w:t>,</w:t>
            </w:r>
            <w:r w:rsidRPr="0019406C">
              <w:rPr>
                <w:rFonts w:asciiTheme="majorHAnsi" w:eastAsia="Cambria" w:hAnsiTheme="majorHAnsi" w:cs="Times New Roman"/>
                <w:lang w:val="lv-LV"/>
              </w:rPr>
              <w:t>5</w:t>
            </w:r>
          </w:p>
        </w:tc>
        <w:tc>
          <w:tcPr>
            <w:tcW w:w="554" w:type="pct"/>
            <w:vAlign w:val="center"/>
          </w:tcPr>
          <w:p w:rsidR="00420131" w:rsidRPr="0019406C" w:rsidRDefault="00420131">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6</w:t>
            </w:r>
            <w:r w:rsidR="00F541BC" w:rsidRPr="0019406C">
              <w:rPr>
                <w:rFonts w:asciiTheme="majorHAnsi" w:eastAsia="Cambria" w:hAnsiTheme="majorHAnsi" w:cs="Times New Roman"/>
                <w:lang w:val="lv-LV"/>
              </w:rPr>
              <w:t>,</w:t>
            </w:r>
            <w:r w:rsidRPr="0019406C">
              <w:rPr>
                <w:rFonts w:asciiTheme="majorHAnsi" w:eastAsia="Cambria" w:hAnsiTheme="majorHAnsi" w:cs="Times New Roman"/>
                <w:lang w:val="lv-LV"/>
              </w:rPr>
              <w:t>5</w:t>
            </w:r>
          </w:p>
        </w:tc>
        <w:tc>
          <w:tcPr>
            <w:cnfStyle w:val="000010000000" w:firstRow="0" w:lastRow="0" w:firstColumn="0" w:lastColumn="0" w:oddVBand="1" w:evenVBand="0" w:oddHBand="0" w:evenHBand="0" w:firstRowFirstColumn="0" w:firstRowLastColumn="0" w:lastRowFirstColumn="0" w:lastRowLastColumn="0"/>
            <w:tcW w:w="516" w:type="pct"/>
            <w:vAlign w:val="center"/>
          </w:tcPr>
          <w:p w:rsidR="00420131" w:rsidRPr="0019406C" w:rsidRDefault="00420131" w:rsidP="00420131">
            <w:pPr>
              <w:jc w:val="center"/>
              <w:rPr>
                <w:rFonts w:asciiTheme="majorHAnsi" w:eastAsia="Cambria" w:hAnsiTheme="majorHAnsi" w:cs="Times New Roman"/>
                <w:lang w:val="lv-LV"/>
              </w:rPr>
            </w:pPr>
            <w:r w:rsidRPr="0019406C">
              <w:rPr>
                <w:rFonts w:asciiTheme="majorHAnsi" w:eastAsia="Cambria" w:hAnsiTheme="majorHAnsi" w:cs="Times New Roman"/>
                <w:lang w:val="lv-LV"/>
              </w:rPr>
              <w:t>14</w:t>
            </w:r>
          </w:p>
        </w:tc>
        <w:tc>
          <w:tcPr>
            <w:tcW w:w="517" w:type="pct"/>
            <w:vAlign w:val="center"/>
          </w:tcPr>
          <w:p w:rsidR="00420131" w:rsidRPr="0019406C" w:rsidRDefault="00420131">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6</w:t>
            </w:r>
            <w:r w:rsidR="00F541BC" w:rsidRPr="0019406C">
              <w:rPr>
                <w:rFonts w:asciiTheme="majorHAnsi" w:eastAsia="Cambria" w:hAnsiTheme="majorHAnsi" w:cs="Times New Roman"/>
                <w:lang w:val="lv-LV"/>
              </w:rPr>
              <w:t>,</w:t>
            </w:r>
            <w:r w:rsidRPr="0019406C">
              <w:rPr>
                <w:rFonts w:asciiTheme="majorHAnsi" w:eastAsia="Cambria" w:hAnsiTheme="majorHAnsi" w:cs="Times New Roman"/>
                <w:lang w:val="lv-LV"/>
              </w:rPr>
              <w:t>5</w:t>
            </w:r>
          </w:p>
        </w:tc>
        <w:tc>
          <w:tcPr>
            <w:cnfStyle w:val="000010000000" w:firstRow="0" w:lastRow="0" w:firstColumn="0" w:lastColumn="0" w:oddVBand="1" w:evenVBand="0" w:oddHBand="0" w:evenHBand="0" w:firstRowFirstColumn="0" w:firstRowLastColumn="0" w:lastRowFirstColumn="0" w:lastRowLastColumn="0"/>
            <w:tcW w:w="516" w:type="pct"/>
            <w:vAlign w:val="center"/>
          </w:tcPr>
          <w:p w:rsidR="00420131" w:rsidRPr="0019406C" w:rsidRDefault="00420131">
            <w:pPr>
              <w:jc w:val="center"/>
              <w:rPr>
                <w:rFonts w:asciiTheme="majorHAnsi" w:eastAsia="Cambria" w:hAnsiTheme="majorHAnsi" w:cs="Times New Roman"/>
                <w:b/>
                <w:lang w:val="lv-LV"/>
              </w:rPr>
            </w:pPr>
            <w:r w:rsidRPr="0019406C">
              <w:rPr>
                <w:rFonts w:asciiTheme="majorHAnsi" w:eastAsia="Cambria" w:hAnsiTheme="majorHAnsi" w:cs="Times New Roman"/>
                <w:b/>
                <w:lang w:val="lv-LV"/>
              </w:rPr>
              <w:t>9</w:t>
            </w:r>
            <w:r w:rsidR="00F541BC" w:rsidRPr="0019406C">
              <w:rPr>
                <w:rFonts w:asciiTheme="majorHAnsi" w:eastAsia="Cambria" w:hAnsiTheme="majorHAnsi" w:cs="Times New Roman"/>
                <w:b/>
                <w:lang w:val="lv-LV"/>
              </w:rPr>
              <w:t>,</w:t>
            </w:r>
            <w:r w:rsidRPr="0019406C">
              <w:rPr>
                <w:rFonts w:asciiTheme="majorHAnsi" w:eastAsia="Cambria" w:hAnsiTheme="majorHAnsi" w:cs="Times New Roman"/>
                <w:b/>
                <w:lang w:val="lv-LV"/>
              </w:rPr>
              <w:t>0</w:t>
            </w:r>
          </w:p>
        </w:tc>
      </w:tr>
    </w:tbl>
    <w:p w:rsidR="00420131" w:rsidRPr="0019406C" w:rsidRDefault="00420131" w:rsidP="00420131">
      <w:pPr>
        <w:pStyle w:val="BodyText"/>
        <w:rPr>
          <w:rFonts w:asciiTheme="majorHAnsi" w:hAnsiTheme="majorHAnsi"/>
          <w:b/>
          <w:lang w:val="lv-LV"/>
        </w:rPr>
      </w:pPr>
    </w:p>
    <w:p w:rsidR="00420131" w:rsidRPr="0019406C" w:rsidRDefault="00420131" w:rsidP="00420131">
      <w:pPr>
        <w:pStyle w:val="Caption"/>
        <w:keepNext/>
        <w:rPr>
          <w:rFonts w:asciiTheme="majorHAnsi" w:hAnsiTheme="majorHAnsi"/>
          <w:sz w:val="16"/>
          <w:lang w:val="lv-LV"/>
        </w:rPr>
      </w:pPr>
      <w:bookmarkStart w:id="56" w:name="_Toc381609303"/>
      <w:bookmarkStart w:id="57" w:name="_Toc389225080"/>
      <w:r w:rsidRPr="0019406C">
        <w:rPr>
          <w:rFonts w:asciiTheme="majorHAnsi" w:hAnsiTheme="majorHAnsi"/>
          <w:sz w:val="16"/>
          <w:lang w:val="lv-LV"/>
        </w:rPr>
        <w:t xml:space="preserve">Tabula </w:t>
      </w:r>
      <w:r w:rsidRPr="0019406C">
        <w:rPr>
          <w:rFonts w:asciiTheme="majorHAnsi" w:hAnsiTheme="majorHAnsi"/>
          <w:sz w:val="16"/>
          <w:lang w:val="lv-LV"/>
        </w:rPr>
        <w:fldChar w:fldCharType="begin"/>
      </w:r>
      <w:r w:rsidRPr="0019406C">
        <w:rPr>
          <w:rFonts w:asciiTheme="majorHAnsi" w:hAnsiTheme="majorHAnsi"/>
          <w:sz w:val="16"/>
          <w:lang w:val="lv-LV"/>
        </w:rPr>
        <w:instrText xml:space="preserve"> SEQ Tabula \* ARABIC </w:instrText>
      </w:r>
      <w:r w:rsidRPr="0019406C">
        <w:rPr>
          <w:rFonts w:asciiTheme="majorHAnsi" w:hAnsiTheme="majorHAnsi"/>
          <w:sz w:val="16"/>
          <w:lang w:val="lv-LV"/>
        </w:rPr>
        <w:fldChar w:fldCharType="separate"/>
      </w:r>
      <w:r w:rsidR="00410806" w:rsidRPr="0019406C">
        <w:rPr>
          <w:rFonts w:asciiTheme="majorHAnsi" w:hAnsiTheme="majorHAnsi"/>
          <w:noProof/>
          <w:sz w:val="16"/>
          <w:lang w:val="lv-LV"/>
        </w:rPr>
        <w:t>6</w:t>
      </w:r>
      <w:r w:rsidRPr="0019406C">
        <w:rPr>
          <w:rFonts w:asciiTheme="majorHAnsi" w:hAnsiTheme="majorHAnsi"/>
          <w:sz w:val="16"/>
          <w:lang w:val="lv-LV"/>
        </w:rPr>
        <w:fldChar w:fldCharType="end"/>
      </w:r>
      <w:r w:rsidRPr="0019406C">
        <w:rPr>
          <w:rFonts w:asciiTheme="majorHAnsi" w:hAnsiTheme="majorHAnsi"/>
          <w:sz w:val="16"/>
          <w:lang w:val="lv-LV"/>
        </w:rPr>
        <w:t xml:space="preserve"> Uzņēmējdarbības reģistrēšanas laika un izmaksu attīstības salīdzinājums kopš iepriekšējā pētījuma</w:t>
      </w:r>
      <w:bookmarkEnd w:id="56"/>
      <w:bookmarkEnd w:id="57"/>
    </w:p>
    <w:tbl>
      <w:tblPr>
        <w:tblStyle w:val="LightList-Accent11"/>
        <w:tblW w:w="5000" w:type="pct"/>
        <w:tblLook w:val="04A0" w:firstRow="1" w:lastRow="0" w:firstColumn="1" w:lastColumn="0" w:noHBand="0" w:noVBand="1"/>
      </w:tblPr>
      <w:tblGrid>
        <w:gridCol w:w="4968"/>
        <w:gridCol w:w="1704"/>
        <w:gridCol w:w="1704"/>
        <w:gridCol w:w="1704"/>
      </w:tblGrid>
      <w:tr w:rsidR="00420131" w:rsidRPr="0019406C" w:rsidTr="00420131">
        <w:trPr>
          <w:cnfStyle w:val="100000000000" w:firstRow="1" w:lastRow="0" w:firstColumn="0" w:lastColumn="0" w:oddVBand="0" w:evenVBand="0" w:oddHBand="0"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2464" w:type="pct"/>
          </w:tcPr>
          <w:p w:rsidR="00420131" w:rsidRPr="0019406C" w:rsidRDefault="00420131" w:rsidP="00420131">
            <w:pPr>
              <w:rPr>
                <w:lang w:val="lv-LV"/>
              </w:rPr>
            </w:pPr>
            <w:r w:rsidRPr="0019406C">
              <w:rPr>
                <w:lang w:val="lv-LV"/>
              </w:rPr>
              <w:t>Latvija Doing Business – uzņēmējdarbības uzsākšana</w:t>
            </w:r>
          </w:p>
        </w:tc>
        <w:tc>
          <w:tcPr>
            <w:tcW w:w="845" w:type="pct"/>
          </w:tcPr>
          <w:p w:rsidR="00420131" w:rsidRPr="0019406C" w:rsidRDefault="00420131" w:rsidP="00420131">
            <w:pPr>
              <w:jc w:val="center"/>
              <w:cnfStyle w:val="100000000000" w:firstRow="1" w:lastRow="0" w:firstColumn="0" w:lastColumn="0" w:oddVBand="0" w:evenVBand="0" w:oddHBand="0" w:evenHBand="0" w:firstRowFirstColumn="0" w:firstRowLastColumn="0" w:lastRowFirstColumn="0" w:lastRowLastColumn="0"/>
              <w:rPr>
                <w:lang w:val="lv-LV"/>
              </w:rPr>
            </w:pPr>
            <w:r w:rsidRPr="0019406C">
              <w:rPr>
                <w:lang w:val="lv-LV"/>
              </w:rPr>
              <w:t>DB2013</w:t>
            </w:r>
          </w:p>
        </w:tc>
        <w:tc>
          <w:tcPr>
            <w:tcW w:w="845" w:type="pct"/>
          </w:tcPr>
          <w:p w:rsidR="00420131" w:rsidRPr="0019406C" w:rsidRDefault="00420131" w:rsidP="00420131">
            <w:pPr>
              <w:jc w:val="center"/>
              <w:cnfStyle w:val="100000000000" w:firstRow="1" w:lastRow="0" w:firstColumn="0" w:lastColumn="0" w:oddVBand="0" w:evenVBand="0" w:oddHBand="0" w:evenHBand="0" w:firstRowFirstColumn="0" w:firstRowLastColumn="0" w:lastRowFirstColumn="0" w:lastRowLastColumn="0"/>
              <w:rPr>
                <w:lang w:val="lv-LV"/>
              </w:rPr>
            </w:pPr>
            <w:r w:rsidRPr="0019406C">
              <w:rPr>
                <w:lang w:val="lv-LV"/>
              </w:rPr>
              <w:t>DB2014</w:t>
            </w:r>
          </w:p>
        </w:tc>
        <w:tc>
          <w:tcPr>
            <w:tcW w:w="845" w:type="pct"/>
          </w:tcPr>
          <w:p w:rsidR="00420131" w:rsidRPr="0019406C" w:rsidRDefault="00420131" w:rsidP="00420131">
            <w:pPr>
              <w:jc w:val="center"/>
              <w:cnfStyle w:val="100000000000" w:firstRow="1" w:lastRow="0" w:firstColumn="0" w:lastColumn="0" w:oddVBand="0" w:evenVBand="0" w:oddHBand="0" w:evenHBand="0" w:firstRowFirstColumn="0" w:firstRowLastColumn="0" w:lastRowFirstColumn="0" w:lastRowLastColumn="0"/>
              <w:rPr>
                <w:lang w:val="lv-LV"/>
              </w:rPr>
            </w:pPr>
            <w:r w:rsidRPr="0019406C">
              <w:rPr>
                <w:lang w:val="lv-LV"/>
              </w:rPr>
              <w:t>Izmaiņa</w:t>
            </w:r>
          </w:p>
        </w:tc>
      </w:tr>
      <w:tr w:rsidR="00420131" w:rsidRPr="0019406C" w:rsidTr="00420131">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2464" w:type="pct"/>
          </w:tcPr>
          <w:p w:rsidR="00420131" w:rsidRPr="0019406C" w:rsidRDefault="00420131" w:rsidP="00420131">
            <w:pPr>
              <w:rPr>
                <w:b w:val="0"/>
                <w:color w:val="000000"/>
                <w:lang w:val="lv-LV"/>
              </w:rPr>
            </w:pPr>
            <w:r w:rsidRPr="0019406C">
              <w:rPr>
                <w:b w:val="0"/>
                <w:color w:val="000000"/>
                <w:lang w:val="lv-LV"/>
              </w:rPr>
              <w:t>Procedūru skaits</w:t>
            </w:r>
          </w:p>
        </w:tc>
        <w:tc>
          <w:tcPr>
            <w:tcW w:w="845" w:type="pct"/>
          </w:tcPr>
          <w:p w:rsidR="00420131" w:rsidRPr="0019406C" w:rsidRDefault="00420131" w:rsidP="00420131">
            <w:pPr>
              <w:jc w:val="center"/>
              <w:cnfStyle w:val="000000100000" w:firstRow="0" w:lastRow="0" w:firstColumn="0" w:lastColumn="0" w:oddVBand="0" w:evenVBand="0" w:oddHBand="1" w:evenHBand="0" w:firstRowFirstColumn="0" w:firstRowLastColumn="0" w:lastRowFirstColumn="0" w:lastRowLastColumn="0"/>
              <w:rPr>
                <w:color w:val="000000"/>
                <w:lang w:val="lv-LV"/>
              </w:rPr>
            </w:pPr>
            <w:r w:rsidRPr="0019406C">
              <w:rPr>
                <w:color w:val="000000"/>
                <w:lang w:val="lv-LV"/>
              </w:rPr>
              <w:t>4</w:t>
            </w:r>
          </w:p>
        </w:tc>
        <w:tc>
          <w:tcPr>
            <w:tcW w:w="845" w:type="pct"/>
          </w:tcPr>
          <w:p w:rsidR="00420131" w:rsidRPr="0019406C" w:rsidRDefault="00420131" w:rsidP="00420131">
            <w:pPr>
              <w:jc w:val="center"/>
              <w:cnfStyle w:val="000000100000" w:firstRow="0" w:lastRow="0" w:firstColumn="0" w:lastColumn="0" w:oddVBand="0" w:evenVBand="0" w:oddHBand="1" w:evenHBand="0" w:firstRowFirstColumn="0" w:firstRowLastColumn="0" w:lastRowFirstColumn="0" w:lastRowLastColumn="0"/>
              <w:rPr>
                <w:color w:val="000000"/>
                <w:lang w:val="lv-LV"/>
              </w:rPr>
            </w:pPr>
            <w:r w:rsidRPr="0019406C">
              <w:rPr>
                <w:color w:val="000000"/>
                <w:lang w:val="lv-LV"/>
              </w:rPr>
              <w:t>4</w:t>
            </w:r>
          </w:p>
        </w:tc>
        <w:tc>
          <w:tcPr>
            <w:tcW w:w="845" w:type="pct"/>
          </w:tcPr>
          <w:p w:rsidR="00420131" w:rsidRPr="0019406C" w:rsidRDefault="00420131" w:rsidP="00420131">
            <w:pPr>
              <w:jc w:val="center"/>
              <w:cnfStyle w:val="000000100000" w:firstRow="0" w:lastRow="0" w:firstColumn="0" w:lastColumn="0" w:oddVBand="0" w:evenVBand="0" w:oddHBand="1" w:evenHBand="0" w:firstRowFirstColumn="0" w:firstRowLastColumn="0" w:lastRowFirstColumn="0" w:lastRowLastColumn="0"/>
              <w:rPr>
                <w:color w:val="000000"/>
                <w:lang w:val="lv-LV"/>
              </w:rPr>
            </w:pPr>
            <w:r w:rsidRPr="0019406C">
              <w:rPr>
                <w:color w:val="000000"/>
                <w:lang w:val="lv-LV"/>
              </w:rPr>
              <w:t>-</w:t>
            </w:r>
          </w:p>
        </w:tc>
      </w:tr>
      <w:tr w:rsidR="00420131" w:rsidRPr="0019406C" w:rsidTr="00420131">
        <w:trPr>
          <w:trHeight w:val="378"/>
        </w:trPr>
        <w:tc>
          <w:tcPr>
            <w:cnfStyle w:val="001000000000" w:firstRow="0" w:lastRow="0" w:firstColumn="1" w:lastColumn="0" w:oddVBand="0" w:evenVBand="0" w:oddHBand="0" w:evenHBand="0" w:firstRowFirstColumn="0" w:firstRowLastColumn="0" w:lastRowFirstColumn="0" w:lastRowLastColumn="0"/>
            <w:tcW w:w="2464" w:type="pct"/>
          </w:tcPr>
          <w:p w:rsidR="00420131" w:rsidRPr="0019406C" w:rsidRDefault="00420131" w:rsidP="00420131">
            <w:pPr>
              <w:rPr>
                <w:b w:val="0"/>
                <w:color w:val="000000"/>
                <w:lang w:val="lv-LV"/>
              </w:rPr>
            </w:pPr>
            <w:r w:rsidRPr="0019406C">
              <w:rPr>
                <w:b w:val="0"/>
                <w:color w:val="000000"/>
                <w:lang w:val="lv-LV"/>
              </w:rPr>
              <w:t>Ilgums (dienas)</w:t>
            </w:r>
          </w:p>
        </w:tc>
        <w:tc>
          <w:tcPr>
            <w:tcW w:w="845" w:type="pct"/>
          </w:tcPr>
          <w:p w:rsidR="00420131" w:rsidRPr="0019406C" w:rsidRDefault="00420131" w:rsidP="00420131">
            <w:pPr>
              <w:jc w:val="center"/>
              <w:cnfStyle w:val="000000000000" w:firstRow="0" w:lastRow="0" w:firstColumn="0" w:lastColumn="0" w:oddVBand="0" w:evenVBand="0" w:oddHBand="0" w:evenHBand="0" w:firstRowFirstColumn="0" w:firstRowLastColumn="0" w:lastRowFirstColumn="0" w:lastRowLastColumn="0"/>
              <w:rPr>
                <w:color w:val="000000"/>
                <w:lang w:val="lv-LV"/>
              </w:rPr>
            </w:pPr>
            <w:r w:rsidRPr="0019406C">
              <w:rPr>
                <w:color w:val="000000"/>
                <w:lang w:val="lv-LV"/>
              </w:rPr>
              <w:t>16</w:t>
            </w:r>
          </w:p>
        </w:tc>
        <w:tc>
          <w:tcPr>
            <w:tcW w:w="845" w:type="pct"/>
          </w:tcPr>
          <w:p w:rsidR="00420131" w:rsidRPr="0019406C" w:rsidRDefault="00420131">
            <w:pPr>
              <w:jc w:val="center"/>
              <w:cnfStyle w:val="000000000000" w:firstRow="0" w:lastRow="0" w:firstColumn="0" w:lastColumn="0" w:oddVBand="0" w:evenVBand="0" w:oddHBand="0" w:evenHBand="0" w:firstRowFirstColumn="0" w:firstRowLastColumn="0" w:lastRowFirstColumn="0" w:lastRowLastColumn="0"/>
              <w:rPr>
                <w:color w:val="000000"/>
                <w:lang w:val="lv-LV"/>
              </w:rPr>
            </w:pPr>
            <w:r w:rsidRPr="0019406C">
              <w:rPr>
                <w:color w:val="000000"/>
                <w:lang w:val="lv-LV"/>
              </w:rPr>
              <w:t>12</w:t>
            </w:r>
            <w:r w:rsidR="00F541BC" w:rsidRPr="0019406C">
              <w:rPr>
                <w:color w:val="000000"/>
                <w:lang w:val="lv-LV"/>
              </w:rPr>
              <w:t>,</w:t>
            </w:r>
            <w:r w:rsidRPr="0019406C">
              <w:rPr>
                <w:color w:val="000000"/>
                <w:lang w:val="lv-LV"/>
              </w:rPr>
              <w:t>5</w:t>
            </w:r>
          </w:p>
        </w:tc>
        <w:tc>
          <w:tcPr>
            <w:tcW w:w="845" w:type="pct"/>
          </w:tcPr>
          <w:p w:rsidR="00420131" w:rsidRPr="0019406C" w:rsidRDefault="00420131">
            <w:pPr>
              <w:jc w:val="center"/>
              <w:cnfStyle w:val="000000000000" w:firstRow="0" w:lastRow="0" w:firstColumn="0" w:lastColumn="0" w:oddVBand="0" w:evenVBand="0" w:oddHBand="0" w:evenHBand="0" w:firstRowFirstColumn="0" w:firstRowLastColumn="0" w:lastRowFirstColumn="0" w:lastRowLastColumn="0"/>
              <w:rPr>
                <w:color w:val="000000"/>
                <w:lang w:val="lv-LV"/>
              </w:rPr>
            </w:pPr>
            <w:r w:rsidRPr="0019406C">
              <w:rPr>
                <w:color w:val="000000"/>
                <w:lang w:val="lv-LV"/>
              </w:rPr>
              <w:t>- 3</w:t>
            </w:r>
            <w:r w:rsidR="00F541BC" w:rsidRPr="0019406C">
              <w:rPr>
                <w:color w:val="000000"/>
                <w:lang w:val="lv-LV"/>
              </w:rPr>
              <w:t>,</w:t>
            </w:r>
            <w:r w:rsidRPr="0019406C">
              <w:rPr>
                <w:color w:val="000000"/>
                <w:lang w:val="lv-LV"/>
              </w:rPr>
              <w:t>5</w:t>
            </w:r>
          </w:p>
        </w:tc>
      </w:tr>
      <w:tr w:rsidR="00420131" w:rsidRPr="0019406C" w:rsidTr="00420131">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2464" w:type="pct"/>
          </w:tcPr>
          <w:p w:rsidR="00420131" w:rsidRPr="0019406C" w:rsidRDefault="00420131" w:rsidP="00420131">
            <w:pPr>
              <w:rPr>
                <w:b w:val="0"/>
                <w:color w:val="000000"/>
                <w:lang w:val="lv-LV"/>
              </w:rPr>
            </w:pPr>
            <w:r w:rsidRPr="0019406C">
              <w:rPr>
                <w:b w:val="0"/>
                <w:color w:val="000000"/>
                <w:lang w:val="lv-LV"/>
              </w:rPr>
              <w:t>Izmaksas (% no IKP uz 1 iedzīvotāju)</w:t>
            </w:r>
          </w:p>
        </w:tc>
        <w:tc>
          <w:tcPr>
            <w:tcW w:w="845" w:type="pct"/>
          </w:tcPr>
          <w:p w:rsidR="00420131" w:rsidRPr="0019406C" w:rsidRDefault="00420131" w:rsidP="00420131">
            <w:pPr>
              <w:jc w:val="center"/>
              <w:cnfStyle w:val="000000100000" w:firstRow="0" w:lastRow="0" w:firstColumn="0" w:lastColumn="0" w:oddVBand="0" w:evenVBand="0" w:oddHBand="1" w:evenHBand="0" w:firstRowFirstColumn="0" w:firstRowLastColumn="0" w:lastRowFirstColumn="0" w:lastRowLastColumn="0"/>
              <w:rPr>
                <w:color w:val="000000"/>
                <w:lang w:val="lv-LV"/>
              </w:rPr>
            </w:pPr>
            <w:r w:rsidRPr="0019406C">
              <w:rPr>
                <w:color w:val="000000"/>
                <w:lang w:val="lv-LV"/>
              </w:rPr>
              <w:t>2,3</w:t>
            </w:r>
          </w:p>
        </w:tc>
        <w:tc>
          <w:tcPr>
            <w:tcW w:w="845" w:type="pct"/>
          </w:tcPr>
          <w:p w:rsidR="00420131" w:rsidRPr="0019406C" w:rsidRDefault="00420131">
            <w:pPr>
              <w:jc w:val="center"/>
              <w:cnfStyle w:val="000000100000" w:firstRow="0" w:lastRow="0" w:firstColumn="0" w:lastColumn="0" w:oddVBand="0" w:evenVBand="0" w:oddHBand="1" w:evenHBand="0" w:firstRowFirstColumn="0" w:firstRowLastColumn="0" w:lastRowFirstColumn="0" w:lastRowLastColumn="0"/>
              <w:rPr>
                <w:color w:val="000000"/>
                <w:lang w:val="lv-LV"/>
              </w:rPr>
            </w:pPr>
            <w:r w:rsidRPr="0019406C">
              <w:rPr>
                <w:color w:val="000000"/>
                <w:lang w:val="lv-LV"/>
              </w:rPr>
              <w:t>1</w:t>
            </w:r>
            <w:r w:rsidR="00F541BC" w:rsidRPr="0019406C">
              <w:rPr>
                <w:color w:val="000000"/>
                <w:lang w:val="lv-LV"/>
              </w:rPr>
              <w:t>,</w:t>
            </w:r>
            <w:r w:rsidRPr="0019406C">
              <w:rPr>
                <w:color w:val="000000"/>
                <w:lang w:val="lv-LV"/>
              </w:rPr>
              <w:t>9</w:t>
            </w:r>
          </w:p>
        </w:tc>
        <w:tc>
          <w:tcPr>
            <w:tcW w:w="845" w:type="pct"/>
          </w:tcPr>
          <w:p w:rsidR="00420131" w:rsidRPr="0019406C" w:rsidRDefault="00420131">
            <w:pPr>
              <w:jc w:val="center"/>
              <w:cnfStyle w:val="000000100000" w:firstRow="0" w:lastRow="0" w:firstColumn="0" w:lastColumn="0" w:oddVBand="0" w:evenVBand="0" w:oddHBand="1" w:evenHBand="0" w:firstRowFirstColumn="0" w:firstRowLastColumn="0" w:lastRowFirstColumn="0" w:lastRowLastColumn="0"/>
              <w:rPr>
                <w:color w:val="000000"/>
                <w:lang w:val="lv-LV"/>
              </w:rPr>
            </w:pPr>
            <w:r w:rsidRPr="0019406C">
              <w:rPr>
                <w:color w:val="000000"/>
                <w:lang w:val="lv-LV"/>
              </w:rPr>
              <w:t>- 0</w:t>
            </w:r>
            <w:r w:rsidR="00F541BC" w:rsidRPr="0019406C">
              <w:rPr>
                <w:color w:val="000000"/>
                <w:lang w:val="lv-LV"/>
              </w:rPr>
              <w:t>,</w:t>
            </w:r>
            <w:r w:rsidRPr="0019406C">
              <w:rPr>
                <w:color w:val="000000"/>
                <w:lang w:val="lv-LV"/>
              </w:rPr>
              <w:t>4</w:t>
            </w:r>
          </w:p>
        </w:tc>
      </w:tr>
      <w:tr w:rsidR="00420131" w:rsidRPr="0019406C" w:rsidTr="00420131">
        <w:trPr>
          <w:trHeight w:val="400"/>
        </w:trPr>
        <w:tc>
          <w:tcPr>
            <w:cnfStyle w:val="001000000000" w:firstRow="0" w:lastRow="0" w:firstColumn="1" w:lastColumn="0" w:oddVBand="0" w:evenVBand="0" w:oddHBand="0" w:evenHBand="0" w:firstRowFirstColumn="0" w:firstRowLastColumn="0" w:lastRowFirstColumn="0" w:lastRowLastColumn="0"/>
            <w:tcW w:w="2464" w:type="pct"/>
          </w:tcPr>
          <w:p w:rsidR="00420131" w:rsidRPr="0019406C" w:rsidRDefault="00420131" w:rsidP="00420131">
            <w:pPr>
              <w:rPr>
                <w:b w:val="0"/>
                <w:color w:val="000000"/>
                <w:lang w:val="lv-LV"/>
              </w:rPr>
            </w:pPr>
            <w:r w:rsidRPr="0019406C">
              <w:rPr>
                <w:b w:val="0"/>
                <w:color w:val="000000"/>
                <w:lang w:val="lv-LV"/>
              </w:rPr>
              <w:t>Minimālais pamatkapitāls (% no IKP uz 1 iedzīvotāju)</w:t>
            </w:r>
          </w:p>
        </w:tc>
        <w:tc>
          <w:tcPr>
            <w:tcW w:w="845" w:type="pct"/>
          </w:tcPr>
          <w:p w:rsidR="00420131" w:rsidRPr="0019406C" w:rsidRDefault="00420131" w:rsidP="00420131">
            <w:pPr>
              <w:jc w:val="center"/>
              <w:cnfStyle w:val="000000000000" w:firstRow="0" w:lastRow="0" w:firstColumn="0" w:lastColumn="0" w:oddVBand="0" w:evenVBand="0" w:oddHBand="0" w:evenHBand="0" w:firstRowFirstColumn="0" w:firstRowLastColumn="0" w:lastRowFirstColumn="0" w:lastRowLastColumn="0"/>
              <w:rPr>
                <w:color w:val="000000"/>
                <w:lang w:val="lv-LV"/>
              </w:rPr>
            </w:pPr>
            <w:r w:rsidRPr="0019406C">
              <w:rPr>
                <w:color w:val="000000"/>
                <w:lang w:val="lv-LV"/>
              </w:rPr>
              <w:t>0,0</w:t>
            </w:r>
          </w:p>
        </w:tc>
        <w:tc>
          <w:tcPr>
            <w:tcW w:w="845" w:type="pct"/>
          </w:tcPr>
          <w:p w:rsidR="00420131" w:rsidRPr="0019406C" w:rsidRDefault="00420131" w:rsidP="00420131">
            <w:pPr>
              <w:jc w:val="center"/>
              <w:cnfStyle w:val="000000000000" w:firstRow="0" w:lastRow="0" w:firstColumn="0" w:lastColumn="0" w:oddVBand="0" w:evenVBand="0" w:oddHBand="0" w:evenHBand="0" w:firstRowFirstColumn="0" w:firstRowLastColumn="0" w:lastRowFirstColumn="0" w:lastRowLastColumn="0"/>
              <w:rPr>
                <w:color w:val="000000"/>
                <w:lang w:val="lv-LV"/>
              </w:rPr>
            </w:pPr>
            <w:r w:rsidRPr="0019406C">
              <w:rPr>
                <w:color w:val="000000"/>
                <w:lang w:val="lv-LV"/>
              </w:rPr>
              <w:t>0,0</w:t>
            </w:r>
          </w:p>
        </w:tc>
        <w:tc>
          <w:tcPr>
            <w:tcW w:w="845" w:type="pct"/>
          </w:tcPr>
          <w:p w:rsidR="00420131" w:rsidRPr="0019406C" w:rsidRDefault="00420131" w:rsidP="00420131">
            <w:pPr>
              <w:jc w:val="center"/>
              <w:cnfStyle w:val="000000000000" w:firstRow="0" w:lastRow="0" w:firstColumn="0" w:lastColumn="0" w:oddVBand="0" w:evenVBand="0" w:oddHBand="0" w:evenHBand="0" w:firstRowFirstColumn="0" w:firstRowLastColumn="0" w:lastRowFirstColumn="0" w:lastRowLastColumn="0"/>
              <w:rPr>
                <w:color w:val="000000"/>
                <w:lang w:val="lv-LV"/>
              </w:rPr>
            </w:pPr>
            <w:r w:rsidRPr="0019406C">
              <w:rPr>
                <w:color w:val="000000"/>
                <w:lang w:val="lv-LV"/>
              </w:rPr>
              <w:t>-</w:t>
            </w:r>
          </w:p>
        </w:tc>
      </w:tr>
    </w:tbl>
    <w:p w:rsidR="00420131" w:rsidRPr="0019406C" w:rsidRDefault="00420131" w:rsidP="00420131">
      <w:pPr>
        <w:pStyle w:val="BodyText"/>
        <w:rPr>
          <w:rFonts w:asciiTheme="majorHAnsi" w:eastAsia="Arial" w:hAnsiTheme="majorHAnsi" w:cs="Times New Roman"/>
          <w:bCs/>
          <w:lang w:val="lv-LV"/>
        </w:rPr>
      </w:pPr>
    </w:p>
    <w:p w:rsidR="00420131" w:rsidRPr="0019406C" w:rsidRDefault="00420131" w:rsidP="00420131">
      <w:pPr>
        <w:pStyle w:val="BodyText"/>
        <w:spacing w:line="276" w:lineRule="auto"/>
        <w:jc w:val="both"/>
        <w:rPr>
          <w:rFonts w:asciiTheme="majorHAnsi" w:hAnsiTheme="majorHAnsi"/>
          <w:lang w:val="lv-LV"/>
        </w:rPr>
      </w:pPr>
      <w:r w:rsidRPr="0019406C">
        <w:rPr>
          <w:rFonts w:asciiTheme="majorHAnsi" w:hAnsiTheme="majorHAnsi"/>
          <w:lang w:val="lv-LV"/>
        </w:rPr>
        <w:t>Atsaucoties uz DB pētījuma kvantitatīvajiem rādītājiem, var secināt, ka Latvijā veiktās reformas ir pozitīvi ietekmējušas reģistrācijai nepieciešamo ilgumu, samazinot arī uzņēmuma reģistrēšanai nepieciešamās izmaksas.</w:t>
      </w:r>
    </w:p>
    <w:p w:rsidR="00420131" w:rsidRPr="0019406C" w:rsidRDefault="00420131" w:rsidP="00420131">
      <w:pPr>
        <w:pStyle w:val="BodyText"/>
        <w:spacing w:line="276" w:lineRule="auto"/>
        <w:jc w:val="both"/>
        <w:rPr>
          <w:rFonts w:asciiTheme="majorHAnsi" w:hAnsiTheme="majorHAnsi"/>
          <w:lang w:val="lv-LV"/>
        </w:rPr>
      </w:pPr>
      <w:r w:rsidRPr="0019406C">
        <w:rPr>
          <w:rFonts w:asciiTheme="majorHAnsi" w:hAnsiTheme="majorHAnsi"/>
          <w:lang w:val="lv-LV"/>
        </w:rPr>
        <w:t>Pēc DB pētījumā identificētajām citu valstu veiktajām reformām var secināt, ka tendence konkurējošās valstīs ir tiekties uz uzlabotiem e-pakalpojumiem un samazinātu pamatkapitāla apmēru, kas ir galvenie divi rādītāji, kuri atvieglo uzņēmējdarbības reģistrāciju valstī un pozitīvi ietekmē DB vērtējuma rezultātu.</w:t>
      </w:r>
    </w:p>
    <w:p w:rsidR="00420131" w:rsidRPr="0019406C" w:rsidRDefault="00420131" w:rsidP="00420131">
      <w:pPr>
        <w:pStyle w:val="BodyText"/>
        <w:rPr>
          <w:rFonts w:asciiTheme="majorHAnsi" w:hAnsiTheme="majorHAnsi"/>
          <w:b/>
          <w:sz w:val="22"/>
          <w:lang w:val="lv-LV"/>
        </w:rPr>
      </w:pPr>
      <w:r w:rsidRPr="0019406C">
        <w:rPr>
          <w:rFonts w:asciiTheme="majorHAnsi" w:hAnsiTheme="majorHAnsi"/>
          <w:b/>
          <w:sz w:val="22"/>
          <w:lang w:val="lv-LV"/>
        </w:rPr>
        <w:t>Globālās konkurētspējas indekss</w:t>
      </w:r>
    </w:p>
    <w:p w:rsidR="00420131" w:rsidRPr="0019406C" w:rsidRDefault="00420131" w:rsidP="00420131">
      <w:pPr>
        <w:pStyle w:val="BodyText"/>
        <w:spacing w:line="276" w:lineRule="auto"/>
        <w:jc w:val="both"/>
        <w:rPr>
          <w:rFonts w:asciiTheme="majorHAnsi" w:hAnsiTheme="majorHAnsi"/>
          <w:lang w:val="lv-LV"/>
        </w:rPr>
      </w:pPr>
      <w:r w:rsidRPr="0019406C">
        <w:rPr>
          <w:rFonts w:asciiTheme="majorHAnsi" w:hAnsiTheme="majorHAnsi"/>
          <w:lang w:val="lv-LV"/>
        </w:rPr>
        <w:t>Procedūru skaita ziņā, kas nepieciešamas, lai reģistrētu uzņēmējdarbību, no 148 valstīm Latvija ierindojas 20. vietā, tādējādi, salīdzinot ar iepriekšējo gadu, uzlabojot savu pozīciju. Tomēr dienu skaits, kas vajadzīgs, lai dibinātu jaunu uzņēmumu, Latvijā ir augstāks nekā citās valstīs, tāpēc šajā jomā Latvija ieņem tikai 73. vietu. Jāmin, ka GKI uzņēmuma reģistrācijai nepieciešamo laiku ir noteicis 16 dienas, kas atspoguļo situāciju DB2013 pētījumā un pēdējie veiktie uzlabojumi nav ņemti vērā.</w:t>
      </w:r>
    </w:p>
    <w:p w:rsidR="00420131" w:rsidRPr="0019406C" w:rsidRDefault="00420131" w:rsidP="00420131">
      <w:pPr>
        <w:pStyle w:val="BodyText"/>
        <w:rPr>
          <w:rFonts w:asciiTheme="majorHAnsi" w:hAnsiTheme="majorHAnsi"/>
          <w:b/>
          <w:sz w:val="22"/>
          <w:lang w:val="lv-LV"/>
        </w:rPr>
      </w:pPr>
      <w:r w:rsidRPr="0019406C">
        <w:rPr>
          <w:rFonts w:asciiTheme="majorHAnsi" w:hAnsiTheme="majorHAnsi"/>
          <w:b/>
          <w:sz w:val="22"/>
          <w:lang w:val="lv-LV"/>
        </w:rPr>
        <w:t>Citu valstu pieredze</w:t>
      </w:r>
    </w:p>
    <w:p w:rsidR="00420131" w:rsidRPr="0019406C" w:rsidRDefault="00420131" w:rsidP="00420131">
      <w:pPr>
        <w:pStyle w:val="BodyText"/>
        <w:spacing w:line="276" w:lineRule="auto"/>
        <w:jc w:val="both"/>
        <w:rPr>
          <w:rFonts w:asciiTheme="majorHAnsi" w:hAnsiTheme="majorHAnsi"/>
          <w:lang w:val="lv-LV"/>
        </w:rPr>
      </w:pPr>
      <w:r w:rsidRPr="0019406C">
        <w:rPr>
          <w:rFonts w:asciiTheme="majorHAnsi" w:hAnsiTheme="majorHAnsi"/>
          <w:lang w:val="lv-LV"/>
        </w:rPr>
        <w:t>Analīzes ietvaros veicām intervijas ar citu ES dalībvalstu speciālistiem</w:t>
      </w:r>
      <w:r w:rsidR="00FF1F29" w:rsidRPr="0019406C">
        <w:rPr>
          <w:rFonts w:asciiTheme="majorHAnsi" w:hAnsiTheme="majorHAnsi"/>
          <w:lang w:val="lv-LV"/>
        </w:rPr>
        <w:t xml:space="preserve">, izmantojot </w:t>
      </w:r>
      <w:proofErr w:type="spellStart"/>
      <w:r w:rsidR="00FF1F29" w:rsidRPr="0019406C">
        <w:rPr>
          <w:rFonts w:asciiTheme="majorHAnsi" w:hAnsiTheme="majorHAnsi"/>
          <w:lang w:val="lv-LV"/>
        </w:rPr>
        <w:t>PwC</w:t>
      </w:r>
      <w:proofErr w:type="spellEnd"/>
      <w:r w:rsidR="00FF1F29" w:rsidRPr="0019406C">
        <w:rPr>
          <w:rFonts w:asciiTheme="majorHAnsi" w:hAnsiTheme="majorHAnsi"/>
          <w:lang w:val="lv-LV"/>
        </w:rPr>
        <w:t xml:space="preserve"> uzņēmumu tīklu</w:t>
      </w:r>
      <w:r w:rsidRPr="0019406C">
        <w:rPr>
          <w:rFonts w:asciiTheme="majorHAnsi" w:hAnsiTheme="majorHAnsi"/>
          <w:lang w:val="lv-LV"/>
        </w:rPr>
        <w:t>, kuri sniedza komentārus par savās valstīs pastāvošajiem procesiem un veiktajām reformām saistībā ar uzņēmumu reģistrēšanu.</w:t>
      </w:r>
    </w:p>
    <w:p w:rsidR="00420131" w:rsidRPr="0019406C" w:rsidRDefault="00420131" w:rsidP="00420131">
      <w:pPr>
        <w:pStyle w:val="BodyText"/>
        <w:spacing w:line="276" w:lineRule="auto"/>
        <w:jc w:val="both"/>
        <w:rPr>
          <w:rFonts w:asciiTheme="majorHAnsi" w:hAnsiTheme="majorHAnsi"/>
          <w:i/>
          <w:lang w:val="lv-LV"/>
        </w:rPr>
      </w:pPr>
      <w:r w:rsidRPr="0019406C">
        <w:rPr>
          <w:rFonts w:asciiTheme="majorHAnsi" w:hAnsiTheme="majorHAnsi"/>
          <w:b/>
          <w:i/>
          <w:u w:val="single"/>
          <w:lang w:val="lv-LV"/>
        </w:rPr>
        <w:t>Igaunija</w:t>
      </w:r>
      <w:r w:rsidRPr="0019406C">
        <w:rPr>
          <w:rFonts w:asciiTheme="majorHAnsi" w:hAnsiTheme="majorHAnsi"/>
          <w:b/>
          <w:i/>
          <w:lang w:val="lv-LV"/>
        </w:rPr>
        <w:t xml:space="preserve">. </w:t>
      </w:r>
      <w:r w:rsidRPr="0019406C">
        <w:rPr>
          <w:rFonts w:asciiTheme="majorHAnsi" w:hAnsiTheme="majorHAnsi"/>
          <w:i/>
          <w:lang w:val="lv-LV"/>
        </w:rPr>
        <w:t>Igaunijā uzņēmējdarbības reģistrēšanu atvieglo plašais e-paraksta pielietojums. Pielietojot e-parakstu, uzņēmuma reģistrēšanu Igaunijā var veikt attālināti un tas tiek vērtēts kā ērts rīks, ko izmanto plašs sabiedrības loks. Papildus, reģistrējot uzņēmumu Igaunijā, nav jāiemaksā pamatkapitāls reģistrācijas brīdī, tas ir jāiemaksā vien, ja uzņēmuma īpašnieks vēlas saņemt dividendes no uzņēmuma.</w:t>
      </w:r>
    </w:p>
    <w:p w:rsidR="00420131" w:rsidRPr="0019406C" w:rsidRDefault="00420131" w:rsidP="00420131">
      <w:pPr>
        <w:pStyle w:val="BodyText"/>
        <w:spacing w:line="276" w:lineRule="auto"/>
        <w:jc w:val="both"/>
        <w:rPr>
          <w:rFonts w:asciiTheme="majorHAnsi" w:hAnsiTheme="majorHAnsi"/>
          <w:i/>
          <w:lang w:val="lv-LV"/>
        </w:rPr>
      </w:pPr>
      <w:r w:rsidRPr="0019406C">
        <w:rPr>
          <w:rFonts w:asciiTheme="majorHAnsi" w:hAnsiTheme="majorHAnsi"/>
          <w:b/>
          <w:i/>
          <w:u w:val="single"/>
          <w:lang w:val="lv-LV"/>
        </w:rPr>
        <w:t>Lietuva</w:t>
      </w:r>
      <w:r w:rsidRPr="0019406C">
        <w:rPr>
          <w:rFonts w:asciiTheme="majorHAnsi" w:hAnsiTheme="majorHAnsi"/>
          <w:b/>
          <w:i/>
          <w:lang w:val="lv-LV"/>
        </w:rPr>
        <w:t>.</w:t>
      </w:r>
      <w:r w:rsidRPr="0019406C">
        <w:rPr>
          <w:rFonts w:asciiTheme="majorHAnsi" w:hAnsiTheme="majorHAnsi"/>
          <w:i/>
          <w:lang w:val="lv-LV"/>
        </w:rPr>
        <w:t xml:space="preserve"> Lietuvā uzņēmējdarbību var reģistrēt izmantojot e-pakalpojumu. Pēdējā gada laikā Lietuva nav veikusi papildus reformas jau iepriekš minētajām uzņēmējdarbības uzsākšanas veicināšanai. Pēc sarunām ar Lietuvas speciālistiem, secinām, ka Lietuvā esošais process no Latvijas šobrīd esošā procesa būtiski neatšķiras.</w:t>
      </w:r>
    </w:p>
    <w:p w:rsidR="00420131" w:rsidRPr="0019406C" w:rsidRDefault="00420131" w:rsidP="00420131">
      <w:pPr>
        <w:pStyle w:val="BodyText"/>
        <w:spacing w:line="276" w:lineRule="auto"/>
        <w:jc w:val="both"/>
        <w:rPr>
          <w:rFonts w:asciiTheme="majorHAnsi" w:hAnsiTheme="majorHAnsi"/>
          <w:i/>
          <w:lang w:val="lv-LV"/>
        </w:rPr>
      </w:pPr>
      <w:r w:rsidRPr="0019406C">
        <w:rPr>
          <w:rFonts w:asciiTheme="majorHAnsi" w:hAnsiTheme="majorHAnsi"/>
          <w:b/>
          <w:i/>
          <w:u w:val="single"/>
          <w:lang w:val="lv-LV"/>
        </w:rPr>
        <w:lastRenderedPageBreak/>
        <w:t>Polija</w:t>
      </w:r>
      <w:r w:rsidRPr="0019406C">
        <w:rPr>
          <w:rFonts w:asciiTheme="majorHAnsi" w:hAnsiTheme="majorHAnsi"/>
          <w:b/>
          <w:i/>
          <w:lang w:val="lv-LV"/>
        </w:rPr>
        <w:t xml:space="preserve">. </w:t>
      </w:r>
      <w:r w:rsidRPr="0019406C">
        <w:rPr>
          <w:rFonts w:asciiTheme="majorHAnsi" w:hAnsiTheme="majorHAnsi"/>
          <w:i/>
          <w:lang w:val="lv-LV"/>
        </w:rPr>
        <w:t>Polijā uzņēmējdarbības reģistrēšana ir salīdzinoši sarežģīts process, ietverot statūtu notariālu apstiprināšanu un dokumentu fizisku iesniegšanu uzņēmumu reģistrā kā arī atsevišķos nodokļu maksātāju reģistros.</w:t>
      </w:r>
    </w:p>
    <w:p w:rsidR="00420131" w:rsidRPr="0019406C" w:rsidRDefault="00420131" w:rsidP="00420131">
      <w:pPr>
        <w:pStyle w:val="BodyText"/>
        <w:spacing w:line="276" w:lineRule="auto"/>
        <w:jc w:val="both"/>
        <w:rPr>
          <w:rFonts w:asciiTheme="majorHAnsi" w:hAnsiTheme="majorHAnsi"/>
          <w:i/>
          <w:lang w:val="lv-LV"/>
        </w:rPr>
      </w:pPr>
      <w:r w:rsidRPr="0019406C">
        <w:rPr>
          <w:rFonts w:asciiTheme="majorHAnsi" w:hAnsiTheme="majorHAnsi"/>
          <w:b/>
          <w:i/>
          <w:u w:val="single"/>
          <w:lang w:val="lv-LV"/>
        </w:rPr>
        <w:t>Dānija</w:t>
      </w:r>
      <w:r w:rsidRPr="0019406C">
        <w:rPr>
          <w:rFonts w:asciiTheme="majorHAnsi" w:hAnsiTheme="majorHAnsi"/>
          <w:b/>
          <w:i/>
          <w:lang w:val="lv-LV"/>
        </w:rPr>
        <w:t>.</w:t>
      </w:r>
      <w:r w:rsidRPr="0019406C">
        <w:rPr>
          <w:rFonts w:asciiTheme="majorHAnsi" w:hAnsiTheme="majorHAnsi"/>
          <w:lang w:val="lv-LV"/>
        </w:rPr>
        <w:t xml:space="preserve"> </w:t>
      </w:r>
      <w:r w:rsidRPr="0019406C">
        <w:rPr>
          <w:rFonts w:asciiTheme="majorHAnsi" w:hAnsiTheme="majorHAnsi"/>
          <w:i/>
          <w:lang w:val="lv-LV"/>
        </w:rPr>
        <w:t>Dānijā uzņēmumu reģistrs un ieņēmumu dienests strādā ciešā sadarbībā un tādējādi ir iespējams reģistrēt uzņēmumu, aizpildot vienu veidlapu, pēc kuras uzņēmums pēc nepieciešamības tiek reģistrēts arī nodokļu maksātāju reģistrā. Abas institūcijas datus par uzņēmumu uztur vienotā informācijas sistēmā.</w:t>
      </w:r>
    </w:p>
    <w:p w:rsidR="00420131" w:rsidRPr="0019406C" w:rsidRDefault="00C52B56" w:rsidP="007654C8">
      <w:pPr>
        <w:rPr>
          <w:rFonts w:asciiTheme="majorHAnsi" w:hAnsiTheme="majorHAnsi"/>
          <w:b/>
          <w:sz w:val="22"/>
          <w:lang w:val="lv-LV"/>
        </w:rPr>
      </w:pPr>
      <w:r w:rsidRPr="0019406C">
        <w:rPr>
          <w:rFonts w:asciiTheme="majorHAnsi" w:hAnsiTheme="majorHAnsi"/>
          <w:b/>
          <w:sz w:val="22"/>
          <w:lang w:val="lv-LV"/>
        </w:rPr>
        <w:t>Secinājumi un priekšlikumi</w:t>
      </w:r>
    </w:p>
    <w:p w:rsidR="000B368D" w:rsidRPr="0019406C" w:rsidRDefault="000B368D" w:rsidP="00420131">
      <w:pPr>
        <w:pStyle w:val="BodyText"/>
        <w:spacing w:line="276" w:lineRule="auto"/>
        <w:jc w:val="both"/>
        <w:rPr>
          <w:rFonts w:asciiTheme="majorHAnsi" w:hAnsiTheme="majorHAnsi"/>
          <w:lang w:val="lv-LV"/>
        </w:rPr>
      </w:pPr>
      <w:r w:rsidRPr="0019406C">
        <w:rPr>
          <w:rFonts w:asciiTheme="majorHAnsi" w:hAnsiTheme="majorHAnsi"/>
          <w:lang w:val="lv-LV"/>
        </w:rPr>
        <w:t xml:space="preserve">Uzņēmējdarbības uzsākšanas (reģistrēšanas) procesa analīze tika balstīta uz uzņēmēju aptaujas rezultātiem, kā arī DB un GKI starptautiskajiem vērtējumiem. Papildus, lai iegūtu plašāku skatījumu par uzņēmumu reģistrācijas procesu konkurējošās valstīs, tika veiktas intervijas ar ekspertiem </w:t>
      </w:r>
      <w:proofErr w:type="spellStart"/>
      <w:r w:rsidR="00FF1F29" w:rsidRPr="0019406C">
        <w:rPr>
          <w:rFonts w:asciiTheme="majorHAnsi" w:hAnsiTheme="majorHAnsi"/>
          <w:lang w:val="lv-LV"/>
        </w:rPr>
        <w:t>PwC</w:t>
      </w:r>
      <w:proofErr w:type="spellEnd"/>
      <w:r w:rsidR="00FF1F29" w:rsidRPr="0019406C">
        <w:rPr>
          <w:rFonts w:asciiTheme="majorHAnsi" w:hAnsiTheme="majorHAnsi"/>
          <w:lang w:val="lv-LV"/>
        </w:rPr>
        <w:t xml:space="preserve"> uzņēmumos </w:t>
      </w:r>
      <w:r w:rsidRPr="0019406C">
        <w:rPr>
          <w:rFonts w:asciiTheme="majorHAnsi" w:hAnsiTheme="majorHAnsi"/>
          <w:lang w:val="lv-LV"/>
        </w:rPr>
        <w:t>Igaunij</w:t>
      </w:r>
      <w:r w:rsidR="00FF1F29" w:rsidRPr="0019406C">
        <w:rPr>
          <w:rFonts w:asciiTheme="majorHAnsi" w:hAnsiTheme="majorHAnsi"/>
          <w:lang w:val="lv-LV"/>
        </w:rPr>
        <w:t>ā</w:t>
      </w:r>
      <w:r w:rsidRPr="0019406C">
        <w:rPr>
          <w:rFonts w:asciiTheme="majorHAnsi" w:hAnsiTheme="majorHAnsi"/>
          <w:lang w:val="lv-LV"/>
        </w:rPr>
        <w:t>, Lietuv</w:t>
      </w:r>
      <w:r w:rsidR="00FF1F29" w:rsidRPr="0019406C">
        <w:rPr>
          <w:rFonts w:asciiTheme="majorHAnsi" w:hAnsiTheme="majorHAnsi"/>
          <w:lang w:val="lv-LV"/>
        </w:rPr>
        <w:t>ā</w:t>
      </w:r>
      <w:r w:rsidRPr="0019406C">
        <w:rPr>
          <w:rFonts w:asciiTheme="majorHAnsi" w:hAnsiTheme="majorHAnsi"/>
          <w:lang w:val="lv-LV"/>
        </w:rPr>
        <w:t>, Polij</w:t>
      </w:r>
      <w:r w:rsidR="00FF1F29" w:rsidRPr="0019406C">
        <w:rPr>
          <w:rFonts w:asciiTheme="majorHAnsi" w:hAnsiTheme="majorHAnsi"/>
          <w:lang w:val="lv-LV"/>
        </w:rPr>
        <w:t>ā</w:t>
      </w:r>
      <w:r w:rsidRPr="0019406C">
        <w:rPr>
          <w:rFonts w:asciiTheme="majorHAnsi" w:hAnsiTheme="majorHAnsi"/>
          <w:lang w:val="lv-LV"/>
        </w:rPr>
        <w:t xml:space="preserve"> un Dānij</w:t>
      </w:r>
      <w:r w:rsidR="00FF1F29" w:rsidRPr="0019406C">
        <w:rPr>
          <w:rFonts w:asciiTheme="majorHAnsi" w:hAnsiTheme="majorHAnsi"/>
          <w:lang w:val="lv-LV"/>
        </w:rPr>
        <w:t>ā</w:t>
      </w:r>
      <w:r w:rsidR="003416D5" w:rsidRPr="0019406C">
        <w:rPr>
          <w:rFonts w:asciiTheme="majorHAnsi" w:hAnsiTheme="majorHAnsi"/>
          <w:lang w:val="lv-LV"/>
        </w:rPr>
        <w:t>, kā arī tika organizēta</w:t>
      </w:r>
      <w:r w:rsidR="00084ADB" w:rsidRPr="0019406C">
        <w:rPr>
          <w:rFonts w:asciiTheme="majorHAnsi" w:hAnsiTheme="majorHAnsi"/>
          <w:lang w:val="lv-LV"/>
        </w:rPr>
        <w:t xml:space="preserve"> intervija</w:t>
      </w:r>
      <w:r w:rsidR="003416D5" w:rsidRPr="0019406C">
        <w:rPr>
          <w:rFonts w:asciiTheme="majorHAnsi" w:hAnsiTheme="majorHAnsi"/>
          <w:lang w:val="lv-LV"/>
        </w:rPr>
        <w:t xml:space="preserve"> ar Uzņēmumu reģistra pārstāvi</w:t>
      </w:r>
      <w:r w:rsidRPr="0019406C">
        <w:rPr>
          <w:rFonts w:asciiTheme="majorHAnsi" w:hAnsiTheme="majorHAnsi"/>
          <w:lang w:val="lv-LV"/>
        </w:rPr>
        <w:t>.</w:t>
      </w:r>
    </w:p>
    <w:p w:rsidR="00420131" w:rsidRPr="0019406C" w:rsidRDefault="007268C8" w:rsidP="00420131">
      <w:pPr>
        <w:pStyle w:val="BodyText"/>
        <w:spacing w:line="276" w:lineRule="auto"/>
        <w:jc w:val="both"/>
        <w:rPr>
          <w:rFonts w:asciiTheme="majorHAnsi" w:hAnsiTheme="majorHAnsi"/>
          <w:lang w:val="lv-LV"/>
        </w:rPr>
      </w:pPr>
      <w:r w:rsidRPr="0019406C">
        <w:rPr>
          <w:rFonts w:asciiTheme="majorHAnsi" w:hAnsiTheme="majorHAnsi"/>
          <w:lang w:val="lv-LV"/>
        </w:rPr>
        <w:t>Uzņēm</w:t>
      </w:r>
      <w:r w:rsidR="00627B52" w:rsidRPr="0019406C">
        <w:rPr>
          <w:rFonts w:asciiTheme="majorHAnsi" w:hAnsiTheme="majorHAnsi"/>
          <w:lang w:val="lv-LV"/>
        </w:rPr>
        <w:t xml:space="preserve">ēju </w:t>
      </w:r>
      <w:r w:rsidRPr="0019406C">
        <w:rPr>
          <w:rFonts w:asciiTheme="majorHAnsi" w:hAnsiTheme="majorHAnsi"/>
          <w:lang w:val="lv-LV"/>
        </w:rPr>
        <w:t xml:space="preserve">aptauja norādīja uz </w:t>
      </w:r>
      <w:r w:rsidR="003416D5" w:rsidRPr="0019406C">
        <w:rPr>
          <w:rFonts w:asciiTheme="majorHAnsi" w:hAnsiTheme="majorHAnsi"/>
          <w:lang w:val="lv-LV"/>
        </w:rPr>
        <w:t xml:space="preserve">to, ka uzņēmumu reģistrēšanas process kopumā uzlabojas, vienīgi e-pakalpojumu izmantošana bija samērā zema. Konsultējoties ar Uzņēmumu reģistru, tika iegūta informācija, ka </w:t>
      </w:r>
      <w:r w:rsidR="005114EF" w:rsidRPr="0019406C">
        <w:rPr>
          <w:rFonts w:asciiTheme="majorHAnsi" w:hAnsiTheme="majorHAnsi"/>
          <w:lang w:val="lv-LV"/>
        </w:rPr>
        <w:t>U</w:t>
      </w:r>
      <w:r w:rsidR="00420131" w:rsidRPr="0019406C">
        <w:rPr>
          <w:rFonts w:asciiTheme="majorHAnsi" w:hAnsiTheme="majorHAnsi"/>
          <w:lang w:val="lv-LV"/>
        </w:rPr>
        <w:t xml:space="preserve">zņēmumu reģistrs jau ir veicis būtiskus uzlabojumus, lai </w:t>
      </w:r>
      <w:proofErr w:type="spellStart"/>
      <w:r w:rsidR="00420131" w:rsidRPr="0019406C">
        <w:rPr>
          <w:rFonts w:asciiTheme="majorHAnsi" w:hAnsiTheme="majorHAnsi"/>
          <w:lang w:val="lv-LV"/>
        </w:rPr>
        <w:t>efektivizētu</w:t>
      </w:r>
      <w:proofErr w:type="spellEnd"/>
      <w:r w:rsidR="00420131" w:rsidRPr="0019406C">
        <w:rPr>
          <w:rFonts w:asciiTheme="majorHAnsi" w:hAnsiTheme="majorHAnsi"/>
          <w:lang w:val="lv-LV"/>
        </w:rPr>
        <w:t xml:space="preserve"> savus sniegtos pakalpojumus, </w:t>
      </w:r>
      <w:proofErr w:type="spellStart"/>
      <w:r w:rsidR="00420131" w:rsidRPr="0019406C">
        <w:rPr>
          <w:rFonts w:asciiTheme="majorHAnsi" w:hAnsiTheme="majorHAnsi"/>
          <w:lang w:val="lv-LV"/>
        </w:rPr>
        <w:t>t.sk</w:t>
      </w:r>
      <w:proofErr w:type="spellEnd"/>
      <w:r w:rsidR="00420131" w:rsidRPr="0019406C">
        <w:rPr>
          <w:rFonts w:asciiTheme="majorHAnsi" w:hAnsiTheme="majorHAnsi"/>
          <w:lang w:val="lv-LV"/>
        </w:rPr>
        <w:t xml:space="preserve">. plānojot dažādus e-pakalpojumus un pieņemot ar e-parakstu parakstītus dokumentus, </w:t>
      </w:r>
      <w:proofErr w:type="spellStart"/>
      <w:r w:rsidR="00420131" w:rsidRPr="0019406C">
        <w:rPr>
          <w:rFonts w:asciiTheme="majorHAnsi" w:hAnsiTheme="majorHAnsi"/>
          <w:lang w:val="lv-LV"/>
        </w:rPr>
        <w:t>t.sk</w:t>
      </w:r>
      <w:proofErr w:type="spellEnd"/>
      <w:r w:rsidR="00420131" w:rsidRPr="0019406C">
        <w:rPr>
          <w:rFonts w:asciiTheme="majorHAnsi" w:hAnsiTheme="majorHAnsi"/>
          <w:lang w:val="lv-LV"/>
        </w:rPr>
        <w:t>. citu ES dalībvalstu e-parakstītus</w:t>
      </w:r>
      <w:r w:rsidR="0087580B" w:rsidRPr="0019406C">
        <w:rPr>
          <w:rFonts w:asciiTheme="majorHAnsi" w:hAnsiTheme="majorHAnsi"/>
          <w:lang w:val="lv-LV"/>
        </w:rPr>
        <w:t>, t</w:t>
      </w:r>
      <w:r w:rsidR="00420131" w:rsidRPr="0019406C">
        <w:rPr>
          <w:rFonts w:asciiTheme="majorHAnsi" w:hAnsiTheme="majorHAnsi"/>
          <w:lang w:val="lv-LV"/>
        </w:rPr>
        <w:t>omēr no uzņēm</w:t>
      </w:r>
      <w:r w:rsidR="00627B52" w:rsidRPr="0019406C">
        <w:rPr>
          <w:rFonts w:asciiTheme="majorHAnsi" w:hAnsiTheme="majorHAnsi"/>
          <w:lang w:val="lv-LV"/>
        </w:rPr>
        <w:t xml:space="preserve">ēju </w:t>
      </w:r>
      <w:r w:rsidR="00420131" w:rsidRPr="0019406C">
        <w:rPr>
          <w:rFonts w:asciiTheme="majorHAnsi" w:hAnsiTheme="majorHAnsi"/>
          <w:lang w:val="lv-LV"/>
        </w:rPr>
        <w:t xml:space="preserve">aptaujas, </w:t>
      </w:r>
      <w:r w:rsidR="006F7745" w:rsidRPr="0019406C">
        <w:rPr>
          <w:rFonts w:asciiTheme="majorHAnsi" w:hAnsiTheme="majorHAnsi"/>
          <w:lang w:val="lv-LV"/>
        </w:rPr>
        <w:t xml:space="preserve">ekspertu intervijām, </w:t>
      </w:r>
      <w:r w:rsidR="00420131" w:rsidRPr="0019406C">
        <w:rPr>
          <w:rFonts w:asciiTheme="majorHAnsi" w:hAnsiTheme="majorHAnsi"/>
          <w:lang w:val="lv-LV"/>
        </w:rPr>
        <w:t>DB un GKI pētījumu un citu valstu pieredzes analīzes var secināt, ka uzņēmējdarbības uzsākšanas process Latvijā vēl atpaliek no kaimiņvalstīs esošajiem procesiem</w:t>
      </w:r>
      <w:r w:rsidR="004B4AC8" w:rsidRPr="0019406C">
        <w:rPr>
          <w:rFonts w:asciiTheme="majorHAnsi" w:hAnsiTheme="majorHAnsi"/>
          <w:lang w:val="lv-LV"/>
        </w:rPr>
        <w:t>.</w:t>
      </w:r>
      <w:r w:rsidR="00420131" w:rsidRPr="0019406C">
        <w:rPr>
          <w:rFonts w:asciiTheme="majorHAnsi" w:hAnsiTheme="majorHAnsi"/>
          <w:lang w:val="lv-LV"/>
        </w:rPr>
        <w:t xml:space="preserve"> </w:t>
      </w:r>
      <w:r w:rsidR="004B4AC8" w:rsidRPr="0019406C">
        <w:rPr>
          <w:rFonts w:asciiTheme="majorHAnsi" w:hAnsiTheme="majorHAnsi"/>
          <w:lang w:val="lv-LV"/>
        </w:rPr>
        <w:t>T</w:t>
      </w:r>
      <w:r w:rsidR="00420131" w:rsidRPr="0019406C">
        <w:rPr>
          <w:rFonts w:asciiTheme="majorHAnsi" w:hAnsiTheme="majorHAnsi"/>
          <w:lang w:val="lv-LV"/>
        </w:rPr>
        <w:t xml:space="preserve">ādēļ ir būtiski turpināt veikt uzlabojumus šajā nozarē, galvenokārt, uzmanību vēršot </w:t>
      </w:r>
      <w:r w:rsidR="004B4AC8" w:rsidRPr="0019406C">
        <w:rPr>
          <w:rFonts w:asciiTheme="majorHAnsi" w:hAnsiTheme="majorHAnsi"/>
          <w:lang w:val="lv-LV"/>
        </w:rPr>
        <w:t>uz</w:t>
      </w:r>
      <w:r w:rsidR="00420131" w:rsidRPr="0019406C">
        <w:rPr>
          <w:rFonts w:asciiTheme="majorHAnsi" w:hAnsiTheme="majorHAnsi"/>
          <w:lang w:val="lv-LV"/>
        </w:rPr>
        <w:t xml:space="preserve"> – (1) reģistrēšanās procesa ilguma samazināšanu </w:t>
      </w:r>
      <w:r w:rsidR="004B4AC8" w:rsidRPr="0019406C">
        <w:rPr>
          <w:rFonts w:asciiTheme="majorHAnsi" w:hAnsiTheme="majorHAnsi"/>
          <w:lang w:val="lv-LV"/>
        </w:rPr>
        <w:t xml:space="preserve">un atvieglošanu, (2) </w:t>
      </w:r>
      <w:r w:rsidR="0080471C" w:rsidRPr="0019406C">
        <w:rPr>
          <w:rFonts w:asciiTheme="majorHAnsi" w:hAnsiTheme="majorHAnsi"/>
          <w:lang w:val="lv-LV"/>
        </w:rPr>
        <w:t>e-pakalpojumu uzlabošan</w:t>
      </w:r>
      <w:r w:rsidR="005E0AE3" w:rsidRPr="0019406C">
        <w:rPr>
          <w:rFonts w:asciiTheme="majorHAnsi" w:hAnsiTheme="majorHAnsi"/>
          <w:lang w:val="lv-LV"/>
        </w:rPr>
        <w:t>u</w:t>
      </w:r>
      <w:r w:rsidR="0080471C" w:rsidRPr="0019406C">
        <w:rPr>
          <w:rFonts w:asciiTheme="majorHAnsi" w:hAnsiTheme="majorHAnsi"/>
          <w:lang w:val="lv-LV"/>
        </w:rPr>
        <w:t xml:space="preserve"> un pilnveidošan</w:t>
      </w:r>
      <w:r w:rsidR="005E0AE3" w:rsidRPr="0019406C">
        <w:rPr>
          <w:rFonts w:asciiTheme="majorHAnsi" w:hAnsiTheme="majorHAnsi"/>
          <w:lang w:val="lv-LV"/>
        </w:rPr>
        <w:t>u</w:t>
      </w:r>
      <w:r w:rsidR="00FF1F29" w:rsidRPr="0019406C">
        <w:rPr>
          <w:rFonts w:asciiTheme="majorHAnsi" w:hAnsiTheme="majorHAnsi"/>
          <w:lang w:val="lv-LV"/>
        </w:rPr>
        <w:t xml:space="preserve">, </w:t>
      </w:r>
      <w:r w:rsidR="00420131" w:rsidRPr="0019406C">
        <w:rPr>
          <w:rFonts w:asciiTheme="majorHAnsi" w:hAnsiTheme="majorHAnsi"/>
          <w:lang w:val="lv-LV"/>
        </w:rPr>
        <w:t>(</w:t>
      </w:r>
      <w:r w:rsidR="004B4AC8" w:rsidRPr="0019406C">
        <w:rPr>
          <w:rFonts w:asciiTheme="majorHAnsi" w:hAnsiTheme="majorHAnsi"/>
          <w:lang w:val="lv-LV"/>
        </w:rPr>
        <w:t>3</w:t>
      </w:r>
      <w:r w:rsidR="00420131" w:rsidRPr="0019406C">
        <w:rPr>
          <w:rFonts w:asciiTheme="majorHAnsi" w:hAnsiTheme="majorHAnsi"/>
          <w:lang w:val="lv-LV"/>
        </w:rPr>
        <w:t xml:space="preserve">) </w:t>
      </w:r>
      <w:r w:rsidR="00FF1F29" w:rsidRPr="0019406C">
        <w:rPr>
          <w:rFonts w:asciiTheme="majorHAnsi" w:hAnsiTheme="majorHAnsi"/>
          <w:lang w:val="lv-LV"/>
        </w:rPr>
        <w:t xml:space="preserve">kā arī uz </w:t>
      </w:r>
      <w:r w:rsidR="0080471C" w:rsidRPr="0019406C">
        <w:rPr>
          <w:rFonts w:asciiTheme="majorHAnsi" w:hAnsiTheme="majorHAnsi"/>
          <w:lang w:val="lv-LV"/>
        </w:rPr>
        <w:t>turpmāku izmaksu samazinājumu uzņēmuma reģistrācijas brīd</w:t>
      </w:r>
      <w:r w:rsidR="00FF1F29" w:rsidRPr="0019406C">
        <w:rPr>
          <w:rFonts w:asciiTheme="majorHAnsi" w:hAnsiTheme="majorHAnsi"/>
          <w:lang w:val="lv-LV"/>
        </w:rPr>
        <w:t>ī</w:t>
      </w:r>
      <w:r w:rsidR="0080471C" w:rsidRPr="0019406C">
        <w:rPr>
          <w:rFonts w:asciiTheme="majorHAnsi" w:hAnsiTheme="majorHAnsi"/>
          <w:lang w:val="lv-LV"/>
        </w:rPr>
        <w:t>.</w:t>
      </w:r>
      <w:r w:rsidR="00420131" w:rsidRPr="0019406C">
        <w:rPr>
          <w:rFonts w:asciiTheme="majorHAnsi" w:hAnsiTheme="majorHAnsi"/>
          <w:lang w:val="lv-LV"/>
        </w:rPr>
        <w:t xml:space="preserve"> </w:t>
      </w:r>
    </w:p>
    <w:p w:rsidR="00420131" w:rsidRPr="0019406C" w:rsidRDefault="00420131" w:rsidP="00420131">
      <w:pPr>
        <w:pStyle w:val="BodyText"/>
        <w:spacing w:line="276" w:lineRule="auto"/>
        <w:jc w:val="both"/>
        <w:rPr>
          <w:rFonts w:asciiTheme="majorHAnsi" w:hAnsiTheme="majorHAnsi"/>
          <w:lang w:val="lv-LV"/>
        </w:rPr>
      </w:pPr>
      <w:r w:rsidRPr="0019406C">
        <w:rPr>
          <w:rFonts w:asciiTheme="majorHAnsi" w:hAnsiTheme="majorHAnsi"/>
          <w:lang w:val="lv-LV"/>
        </w:rPr>
        <w:t xml:space="preserve">No uzņēmējdarbības uzsākšanas (reģistrēšanas) procesu analīzes </w:t>
      </w:r>
      <w:r w:rsidR="004D1F8A" w:rsidRPr="0019406C">
        <w:rPr>
          <w:rFonts w:asciiTheme="majorHAnsi" w:hAnsiTheme="majorHAnsi"/>
          <w:lang w:val="lv-LV"/>
        </w:rPr>
        <w:t xml:space="preserve">ekspertu diskusijām tiek izvirzīti </w:t>
      </w:r>
      <w:r w:rsidRPr="0019406C">
        <w:rPr>
          <w:rFonts w:asciiTheme="majorHAnsi" w:hAnsiTheme="majorHAnsi"/>
          <w:lang w:val="lv-LV"/>
        </w:rPr>
        <w:t>sekojoš</w:t>
      </w:r>
      <w:r w:rsidR="004D1F8A" w:rsidRPr="0019406C">
        <w:rPr>
          <w:rFonts w:asciiTheme="majorHAnsi" w:hAnsiTheme="majorHAnsi"/>
          <w:lang w:val="lv-LV"/>
        </w:rPr>
        <w:t>i</w:t>
      </w:r>
      <w:r w:rsidRPr="0019406C">
        <w:rPr>
          <w:rFonts w:asciiTheme="majorHAnsi" w:hAnsiTheme="majorHAnsi"/>
          <w:lang w:val="lv-LV"/>
        </w:rPr>
        <w:t xml:space="preserve"> ieteikum</w:t>
      </w:r>
      <w:r w:rsidR="004D1F8A" w:rsidRPr="0019406C">
        <w:rPr>
          <w:rFonts w:asciiTheme="majorHAnsi" w:hAnsiTheme="majorHAnsi"/>
          <w:lang w:val="lv-LV"/>
        </w:rPr>
        <w:t>i</w:t>
      </w:r>
      <w:r w:rsidRPr="0019406C">
        <w:rPr>
          <w:rFonts w:asciiTheme="majorHAnsi" w:hAnsiTheme="majorHAnsi"/>
          <w:lang w:val="lv-LV"/>
        </w:rPr>
        <w:t>:</w:t>
      </w:r>
    </w:p>
    <w:p w:rsidR="00E11E5B" w:rsidRPr="0019406C" w:rsidRDefault="00A6697C" w:rsidP="00E521EE">
      <w:pPr>
        <w:pStyle w:val="BodyText"/>
        <w:numPr>
          <w:ilvl w:val="0"/>
          <w:numId w:val="74"/>
        </w:numPr>
        <w:spacing w:line="276" w:lineRule="auto"/>
        <w:jc w:val="both"/>
        <w:rPr>
          <w:rFonts w:asciiTheme="majorHAnsi" w:hAnsiTheme="majorHAnsi"/>
          <w:lang w:val="lv-LV"/>
        </w:rPr>
      </w:pPr>
      <w:r w:rsidRPr="0019406C">
        <w:rPr>
          <w:rFonts w:asciiTheme="majorHAnsi" w:hAnsiTheme="majorHAnsi"/>
          <w:lang w:val="lv-LV"/>
        </w:rPr>
        <w:t xml:space="preserve">Prasības par pamatkapitāla iemaksāšanu (nodrošināšanu) reģistrācijas brīdī likvidēšana. </w:t>
      </w:r>
      <w:r w:rsidR="003D76FB" w:rsidRPr="0019406C">
        <w:rPr>
          <w:rFonts w:asciiTheme="majorHAnsi" w:hAnsiTheme="majorHAnsi"/>
          <w:lang w:val="lv-LV"/>
        </w:rPr>
        <w:t>SIA ar pamatkapitālu 2</w:t>
      </w:r>
      <w:r w:rsidR="00ED7D81" w:rsidRPr="0019406C">
        <w:rPr>
          <w:rFonts w:asciiTheme="majorHAnsi" w:hAnsiTheme="majorHAnsi"/>
          <w:lang w:val="lv-LV"/>
        </w:rPr>
        <w:t xml:space="preserve"> </w:t>
      </w:r>
      <w:r w:rsidR="003D76FB" w:rsidRPr="0019406C">
        <w:rPr>
          <w:rFonts w:asciiTheme="majorHAnsi" w:hAnsiTheme="majorHAnsi"/>
          <w:lang w:val="lv-LV"/>
        </w:rPr>
        <w:t>800 EUR apmērā, l</w:t>
      </w:r>
      <w:r w:rsidR="00420131" w:rsidRPr="0019406C">
        <w:rPr>
          <w:rFonts w:asciiTheme="majorHAnsi" w:hAnsiTheme="majorHAnsi"/>
          <w:lang w:val="lv-LV"/>
        </w:rPr>
        <w:t>ikvidēt pamatkapitāla iemaksāšanas (nodrošināšanas) prasību reģistrācijas brīdī, tā vietā nosakot pamatkapitāla iemaksu gadījumā, ja uzņēmuma īpašnieki vēlas saņemt dividendes, līdzīgi, kā tas ir noteikts Igaunijā.</w:t>
      </w:r>
      <w:r w:rsidR="00C66303" w:rsidRPr="0019406C">
        <w:rPr>
          <w:rFonts w:asciiTheme="majorHAnsi" w:hAnsiTheme="majorHAnsi"/>
          <w:lang w:val="lv-LV"/>
        </w:rPr>
        <w:t xml:space="preserve"> </w:t>
      </w:r>
      <w:r w:rsidR="00E11E5B" w:rsidRPr="0019406C">
        <w:rPr>
          <w:rFonts w:asciiTheme="majorHAnsi" w:hAnsiTheme="majorHAnsi"/>
          <w:lang w:val="lv-LV"/>
        </w:rPr>
        <w:t>Tāpat, lai aizsargātu kreditorus, nepieciešams veidot pieeju, ka pastāvīgi tiek sekots līdzi, vai uzņēmumā notiek būtiskas izmaiņas (piemēram, akcionāru skaits, biznesa veids, lielas apgro</w:t>
      </w:r>
      <w:r w:rsidR="00C66303" w:rsidRPr="0019406C">
        <w:rPr>
          <w:rFonts w:asciiTheme="majorHAnsi" w:hAnsiTheme="majorHAnsi"/>
          <w:lang w:val="lv-LV"/>
        </w:rPr>
        <w:t xml:space="preserve">zījuma izmaiņas, pašu kapitāla </w:t>
      </w:r>
      <w:r w:rsidR="00E11E5B" w:rsidRPr="0019406C">
        <w:rPr>
          <w:rFonts w:asciiTheme="majorHAnsi" w:hAnsiTheme="majorHAnsi"/>
          <w:lang w:val="lv-LV"/>
        </w:rPr>
        <w:t xml:space="preserve">izmaiņas </w:t>
      </w:r>
      <w:proofErr w:type="spellStart"/>
      <w:r w:rsidR="00E11E5B" w:rsidRPr="0019406C">
        <w:rPr>
          <w:rFonts w:asciiTheme="majorHAnsi" w:hAnsiTheme="majorHAnsi"/>
          <w:lang w:val="lv-LV"/>
        </w:rPr>
        <w:t>utt</w:t>
      </w:r>
      <w:proofErr w:type="spellEnd"/>
      <w:r w:rsidR="00E11E5B" w:rsidRPr="0019406C">
        <w:rPr>
          <w:rFonts w:asciiTheme="majorHAnsi" w:hAnsiTheme="majorHAnsi"/>
          <w:lang w:val="lv-LV"/>
        </w:rPr>
        <w:t>.) – attiecīgi šādos gadījumos būtu jānosaka normatīvajos aktos konkrētas prasības uz pamatkapitāla palielināšanu</w:t>
      </w:r>
      <w:r w:rsidRPr="0019406C">
        <w:rPr>
          <w:rFonts w:asciiTheme="majorHAnsi" w:hAnsiTheme="majorHAnsi"/>
          <w:lang w:val="lv-LV"/>
        </w:rPr>
        <w:t>.</w:t>
      </w:r>
      <w:r w:rsidR="00B37DA6" w:rsidRPr="0019406C">
        <w:rPr>
          <w:rFonts w:asciiTheme="majorHAnsi" w:hAnsiTheme="majorHAnsi"/>
          <w:lang w:val="lv-LV"/>
        </w:rPr>
        <w:t xml:space="preserve"> </w:t>
      </w:r>
      <w:r w:rsidRPr="0019406C">
        <w:rPr>
          <w:rFonts w:asciiTheme="majorHAnsi" w:hAnsiTheme="majorHAnsi"/>
          <w:lang w:val="lv-LV"/>
        </w:rPr>
        <w:t>Detalizētu priekšlikumu skatīt 2</w:t>
      </w:r>
      <w:r w:rsidR="00B37DA6" w:rsidRPr="0019406C">
        <w:rPr>
          <w:rFonts w:asciiTheme="majorHAnsi" w:hAnsiTheme="majorHAnsi"/>
          <w:lang w:val="lv-LV"/>
        </w:rPr>
        <w:t>. pielikuma 1.1. punktā.</w:t>
      </w:r>
    </w:p>
    <w:p w:rsidR="00A6697C" w:rsidRPr="0019406C" w:rsidRDefault="00A6697C" w:rsidP="00E521EE">
      <w:pPr>
        <w:pStyle w:val="BodyText"/>
        <w:numPr>
          <w:ilvl w:val="0"/>
          <w:numId w:val="74"/>
        </w:numPr>
        <w:jc w:val="both"/>
        <w:rPr>
          <w:rFonts w:asciiTheme="majorHAnsi" w:hAnsiTheme="majorHAnsi"/>
          <w:lang w:val="lv-LV"/>
        </w:rPr>
      </w:pPr>
      <w:r w:rsidRPr="0019406C">
        <w:rPr>
          <w:rFonts w:asciiTheme="majorHAnsi" w:hAnsiTheme="majorHAnsi"/>
          <w:lang w:val="lv-LV"/>
        </w:rPr>
        <w:t>Uzņēmēju izpratnes par uzņēmējdarbības veidiem un</w:t>
      </w:r>
      <w:r w:rsidR="00084ADB" w:rsidRPr="0019406C">
        <w:rPr>
          <w:rFonts w:asciiTheme="majorHAnsi" w:hAnsiTheme="majorHAnsi"/>
          <w:lang w:val="lv-LV"/>
        </w:rPr>
        <w:t xml:space="preserve"> ar to saistītajiem pienākumiem</w:t>
      </w:r>
      <w:r w:rsidRPr="0019406C">
        <w:rPr>
          <w:rFonts w:asciiTheme="majorHAnsi" w:hAnsiTheme="majorHAnsi"/>
          <w:lang w:val="lv-LV"/>
        </w:rPr>
        <w:t xml:space="preserve"> veicināšana. </w:t>
      </w:r>
      <w:r w:rsidR="00420131" w:rsidRPr="0019406C">
        <w:rPr>
          <w:rFonts w:asciiTheme="majorHAnsi" w:hAnsiTheme="majorHAnsi"/>
          <w:lang w:val="lv-LV"/>
        </w:rPr>
        <w:t xml:space="preserve">Veicināt </w:t>
      </w:r>
      <w:r w:rsidR="001C3FE7" w:rsidRPr="0019406C">
        <w:rPr>
          <w:rFonts w:asciiTheme="majorHAnsi" w:hAnsiTheme="majorHAnsi"/>
          <w:lang w:val="lv-LV"/>
        </w:rPr>
        <w:t xml:space="preserve">esošo un topošo </w:t>
      </w:r>
      <w:r w:rsidR="00420131" w:rsidRPr="0019406C">
        <w:rPr>
          <w:rFonts w:asciiTheme="majorHAnsi" w:hAnsiTheme="majorHAnsi"/>
          <w:lang w:val="lv-LV"/>
        </w:rPr>
        <w:t xml:space="preserve">uzņēmēju izpratni par uzņēmējdarbības veidiem nu ar to saistītajiem pienākumiem, veidojot ērti izmantojamus e-pakalpojumus. </w:t>
      </w:r>
      <w:r w:rsidR="00B37DA6" w:rsidRPr="0019406C">
        <w:rPr>
          <w:rFonts w:asciiTheme="majorHAnsi" w:hAnsiTheme="majorHAnsi"/>
          <w:lang w:val="lv-LV"/>
        </w:rPr>
        <w:t>Detalizētu priekšlikumu skatīt 1. pielikuma 1.</w:t>
      </w:r>
      <w:r w:rsidR="00C61416" w:rsidRPr="0019406C">
        <w:rPr>
          <w:rFonts w:asciiTheme="majorHAnsi" w:hAnsiTheme="majorHAnsi"/>
          <w:lang w:val="lv-LV"/>
        </w:rPr>
        <w:t>1</w:t>
      </w:r>
      <w:r w:rsidR="00B37DA6" w:rsidRPr="0019406C">
        <w:rPr>
          <w:rFonts w:asciiTheme="majorHAnsi" w:hAnsiTheme="majorHAnsi"/>
          <w:lang w:val="lv-LV"/>
        </w:rPr>
        <w:t>.</w:t>
      </w:r>
      <w:r w:rsidRPr="0019406C">
        <w:rPr>
          <w:rFonts w:asciiTheme="majorHAnsi" w:hAnsiTheme="majorHAnsi"/>
          <w:lang w:val="lv-LV"/>
        </w:rPr>
        <w:t> </w:t>
      </w:r>
      <w:r w:rsidR="00B37DA6" w:rsidRPr="0019406C">
        <w:rPr>
          <w:rFonts w:asciiTheme="majorHAnsi" w:hAnsiTheme="majorHAnsi"/>
          <w:lang w:val="lv-LV"/>
        </w:rPr>
        <w:t>punktā.</w:t>
      </w:r>
      <w:r w:rsidRPr="0019406C">
        <w:rPr>
          <w:rFonts w:asciiTheme="majorHAnsi" w:eastAsia="Calibri" w:hAnsiTheme="majorHAnsi" w:cs="Calibri"/>
          <w:color w:val="000000"/>
          <w:lang w:val="lv-LV" w:eastAsia="lv-LV"/>
        </w:rPr>
        <w:t xml:space="preserve"> </w:t>
      </w:r>
    </w:p>
    <w:p w:rsidR="00C52B56" w:rsidRPr="0019406C" w:rsidRDefault="00A6697C" w:rsidP="00E521EE">
      <w:pPr>
        <w:pStyle w:val="BodyText"/>
        <w:numPr>
          <w:ilvl w:val="0"/>
          <w:numId w:val="74"/>
        </w:numPr>
        <w:spacing w:line="276" w:lineRule="auto"/>
        <w:jc w:val="both"/>
        <w:rPr>
          <w:rFonts w:asciiTheme="majorHAnsi" w:hAnsiTheme="majorHAnsi"/>
          <w:lang w:val="lv-LV"/>
        </w:rPr>
      </w:pPr>
      <w:r w:rsidRPr="0019406C">
        <w:rPr>
          <w:rFonts w:asciiTheme="majorHAnsi" w:eastAsia="Calibri" w:hAnsiTheme="majorHAnsi" w:cs="Calibri"/>
          <w:color w:val="000000"/>
          <w:lang w:val="lv-LV"/>
        </w:rPr>
        <w:t>Sadarbības veicināšana informācijas apmaiņā starp valsts iestādēm.</w:t>
      </w:r>
      <w:r w:rsidRPr="0019406C">
        <w:rPr>
          <w:rFonts w:asciiTheme="majorHAnsi" w:eastAsia="Calibri" w:hAnsiTheme="majorHAnsi" w:cs="Calibri"/>
          <w:b/>
          <w:color w:val="000000"/>
          <w:lang w:val="lv-LV"/>
        </w:rPr>
        <w:t xml:space="preserve"> </w:t>
      </w:r>
      <w:r w:rsidR="00420131" w:rsidRPr="0019406C">
        <w:rPr>
          <w:rFonts w:asciiTheme="majorHAnsi" w:hAnsiTheme="majorHAnsi"/>
          <w:lang w:val="lv-LV"/>
        </w:rPr>
        <w:t>Veicināt sadarbību starp valsts iestādēm informācijas apmaiņā, paredzot informācijas apmaiņu starp dažādu valsts in</w:t>
      </w:r>
      <w:r w:rsidR="00084ADB" w:rsidRPr="0019406C">
        <w:rPr>
          <w:rFonts w:asciiTheme="majorHAnsi" w:hAnsiTheme="majorHAnsi"/>
          <w:lang w:val="lv-LV"/>
        </w:rPr>
        <w:t>stitūciju datu bāzēm (piemēram,</w:t>
      </w:r>
      <w:r w:rsidR="00E11E5B" w:rsidRPr="0019406C">
        <w:rPr>
          <w:rFonts w:asciiTheme="majorHAnsi" w:hAnsiTheme="majorHAnsi"/>
          <w:lang w:val="lv-LV"/>
        </w:rPr>
        <w:t xml:space="preserve"> dažādu informācijas sistēmas integrācijas</w:t>
      </w:r>
      <w:r w:rsidR="00420131" w:rsidRPr="0019406C">
        <w:rPr>
          <w:rFonts w:asciiTheme="majorHAnsi" w:hAnsiTheme="majorHAnsi"/>
          <w:lang w:val="lv-LV"/>
        </w:rPr>
        <w:t xml:space="preserve"> uzlabošana).</w:t>
      </w:r>
      <w:r w:rsidR="00B37DA6" w:rsidRPr="0019406C">
        <w:rPr>
          <w:rFonts w:asciiTheme="majorHAnsi" w:hAnsiTheme="majorHAnsi"/>
          <w:lang w:val="lv-LV"/>
        </w:rPr>
        <w:t xml:space="preserve"> Detalizētu priekšlikumu skatīt </w:t>
      </w:r>
      <w:r w:rsidRPr="0019406C">
        <w:rPr>
          <w:rFonts w:asciiTheme="majorHAnsi" w:hAnsiTheme="majorHAnsi"/>
          <w:lang w:val="lv-LV"/>
        </w:rPr>
        <w:t>2</w:t>
      </w:r>
      <w:r w:rsidR="00B37DA6" w:rsidRPr="0019406C">
        <w:rPr>
          <w:rFonts w:asciiTheme="majorHAnsi" w:hAnsiTheme="majorHAnsi"/>
          <w:lang w:val="lv-LV"/>
        </w:rPr>
        <w:t>. pielikuma 1</w:t>
      </w:r>
      <w:r w:rsidR="00C61416" w:rsidRPr="0019406C">
        <w:rPr>
          <w:rFonts w:asciiTheme="majorHAnsi" w:hAnsiTheme="majorHAnsi"/>
          <w:lang w:val="lv-LV"/>
        </w:rPr>
        <w:t>.2</w:t>
      </w:r>
      <w:r w:rsidR="00B37DA6" w:rsidRPr="0019406C">
        <w:rPr>
          <w:rFonts w:asciiTheme="majorHAnsi" w:hAnsiTheme="majorHAnsi"/>
          <w:lang w:val="lv-LV"/>
        </w:rPr>
        <w:t>. punktā.</w:t>
      </w:r>
    </w:p>
    <w:p w:rsidR="00DA4975" w:rsidRPr="0019406C" w:rsidRDefault="00C52B56" w:rsidP="008F37AC">
      <w:pPr>
        <w:pStyle w:val="BodyText"/>
        <w:jc w:val="both"/>
        <w:rPr>
          <w:rFonts w:asciiTheme="majorHAnsi" w:hAnsiTheme="majorHAnsi"/>
          <w:b/>
          <w:sz w:val="22"/>
          <w:lang w:val="lv-LV"/>
        </w:rPr>
      </w:pPr>
      <w:r w:rsidRPr="0019406C">
        <w:rPr>
          <w:rFonts w:asciiTheme="majorHAnsi" w:hAnsiTheme="majorHAnsi"/>
          <w:b/>
          <w:sz w:val="22"/>
          <w:lang w:val="lv-LV"/>
        </w:rPr>
        <w:t>Ekspertu diskusija</w:t>
      </w:r>
    </w:p>
    <w:p w:rsidR="00134992" w:rsidRPr="0019406C" w:rsidRDefault="00064C92" w:rsidP="00134992">
      <w:pPr>
        <w:pStyle w:val="BodyText"/>
        <w:spacing w:line="276" w:lineRule="auto"/>
        <w:ind w:left="360"/>
        <w:jc w:val="both"/>
        <w:rPr>
          <w:rFonts w:asciiTheme="majorHAnsi" w:hAnsiTheme="majorHAnsi"/>
          <w:lang w:val="lv-LV"/>
        </w:rPr>
      </w:pPr>
      <w:r w:rsidRPr="0019406C">
        <w:rPr>
          <w:rFonts w:asciiTheme="majorHAnsi" w:hAnsiTheme="majorHAnsi"/>
          <w:szCs w:val="22"/>
          <w:lang w:val="lv-LV"/>
        </w:rPr>
        <w:t xml:space="preserve">Ekspertu diskusiju rezultātā tika pārrunāti </w:t>
      </w:r>
      <w:r w:rsidR="00455B3E" w:rsidRPr="0019406C">
        <w:rPr>
          <w:rFonts w:asciiTheme="majorHAnsi" w:hAnsiTheme="majorHAnsi"/>
          <w:szCs w:val="22"/>
          <w:lang w:val="lv-LV"/>
        </w:rPr>
        <w:t xml:space="preserve">gan </w:t>
      </w:r>
      <w:r w:rsidRPr="0019406C">
        <w:rPr>
          <w:rFonts w:asciiTheme="majorHAnsi" w:hAnsiTheme="majorHAnsi"/>
          <w:szCs w:val="22"/>
          <w:lang w:val="lv-LV"/>
        </w:rPr>
        <w:t xml:space="preserve">aptaujas rezultāti, </w:t>
      </w:r>
      <w:r w:rsidR="00455B3E" w:rsidRPr="0019406C">
        <w:rPr>
          <w:rFonts w:asciiTheme="majorHAnsi" w:hAnsiTheme="majorHAnsi"/>
          <w:szCs w:val="22"/>
          <w:lang w:val="lv-LV"/>
        </w:rPr>
        <w:t xml:space="preserve">gan </w:t>
      </w:r>
      <w:r w:rsidRPr="0019406C">
        <w:rPr>
          <w:rFonts w:asciiTheme="majorHAnsi" w:hAnsiTheme="majorHAnsi"/>
          <w:szCs w:val="22"/>
          <w:lang w:val="lv-LV"/>
        </w:rPr>
        <w:t>izvirzītie priekšlikumi. Diskusiju rezultātā</w:t>
      </w:r>
      <w:r w:rsidR="000E14B2" w:rsidRPr="0019406C">
        <w:rPr>
          <w:rFonts w:asciiTheme="majorHAnsi" w:hAnsiTheme="majorHAnsi"/>
          <w:szCs w:val="22"/>
          <w:lang w:val="lv-LV"/>
        </w:rPr>
        <w:t xml:space="preserve"> eksperti ierosināja:</w:t>
      </w:r>
    </w:p>
    <w:p w:rsidR="00134992" w:rsidRPr="0019406C" w:rsidRDefault="00C042D5" w:rsidP="00E521EE">
      <w:pPr>
        <w:pStyle w:val="BodyText"/>
        <w:numPr>
          <w:ilvl w:val="0"/>
          <w:numId w:val="75"/>
        </w:numPr>
        <w:spacing w:line="276" w:lineRule="auto"/>
        <w:jc w:val="both"/>
        <w:rPr>
          <w:rFonts w:asciiTheme="majorHAnsi" w:hAnsiTheme="majorHAnsi"/>
          <w:lang w:val="lv-LV"/>
        </w:rPr>
      </w:pPr>
      <w:r w:rsidRPr="0019406C">
        <w:rPr>
          <w:rFonts w:asciiTheme="majorHAnsi" w:hAnsiTheme="majorHAnsi"/>
          <w:lang w:val="lv-LV"/>
        </w:rPr>
        <w:t xml:space="preserve">Izvirzīto priekšlikumu par pamatkapitāla iemaksāšanu (nodrošināšanu) reģistrācijas brīdī likvidēšanu tika nolemts </w:t>
      </w:r>
      <w:r w:rsidR="00B916FF" w:rsidRPr="0019406C">
        <w:rPr>
          <w:rFonts w:asciiTheme="majorHAnsi" w:hAnsiTheme="majorHAnsi"/>
          <w:lang w:val="lv-LV"/>
        </w:rPr>
        <w:t>tālāk nevirzīt</w:t>
      </w:r>
      <w:r w:rsidRPr="0019406C">
        <w:rPr>
          <w:rFonts w:asciiTheme="majorHAnsi" w:hAnsiTheme="majorHAnsi"/>
          <w:lang w:val="lv-LV"/>
        </w:rPr>
        <w:t>, jo T</w:t>
      </w:r>
      <w:r w:rsidR="00455B3E" w:rsidRPr="0019406C">
        <w:rPr>
          <w:rFonts w:asciiTheme="majorHAnsi" w:hAnsiTheme="majorHAnsi"/>
          <w:lang w:val="lv-LV"/>
        </w:rPr>
        <w:t xml:space="preserve">ieslietu ministrija </w:t>
      </w:r>
      <w:r w:rsidRPr="0019406C">
        <w:rPr>
          <w:rFonts w:asciiTheme="majorHAnsi" w:hAnsiTheme="majorHAnsi"/>
          <w:lang w:val="lv-LV"/>
        </w:rPr>
        <w:t>uzsā</w:t>
      </w:r>
      <w:r w:rsidR="00455B3E" w:rsidRPr="0019406C">
        <w:rPr>
          <w:rFonts w:asciiTheme="majorHAnsi" w:hAnsiTheme="majorHAnsi"/>
          <w:lang w:val="lv-LV"/>
        </w:rPr>
        <w:t xml:space="preserve">kusi </w:t>
      </w:r>
      <w:r w:rsidRPr="0019406C">
        <w:rPr>
          <w:rFonts w:asciiTheme="majorHAnsi" w:hAnsiTheme="majorHAnsi"/>
          <w:lang w:val="lv-LV"/>
        </w:rPr>
        <w:t xml:space="preserve">darbu pie jaunas uzņēmējdarbības formas </w:t>
      </w:r>
      <w:r w:rsidRPr="0019406C">
        <w:rPr>
          <w:rFonts w:asciiTheme="majorHAnsi" w:hAnsiTheme="majorHAnsi"/>
          <w:lang w:val="lv-LV"/>
        </w:rPr>
        <w:lastRenderedPageBreak/>
        <w:t>izveides (viena dibinātāja SIA), kas varētu būtiski atvieglot uzņēmējdarbību</w:t>
      </w:r>
      <w:r w:rsidR="002E13CB" w:rsidRPr="0019406C">
        <w:rPr>
          <w:rFonts w:asciiTheme="majorHAnsi" w:hAnsiTheme="majorHAnsi"/>
          <w:lang w:val="lv-LV"/>
        </w:rPr>
        <w:t xml:space="preserve">, taču </w:t>
      </w:r>
      <w:r w:rsidR="00134992" w:rsidRPr="0019406C">
        <w:rPr>
          <w:rFonts w:asciiTheme="majorHAnsi" w:hAnsiTheme="majorHAnsi"/>
          <w:lang w:val="lv-LV"/>
        </w:rPr>
        <w:t xml:space="preserve">tika secināts, </w:t>
      </w:r>
      <w:r w:rsidR="0072729F">
        <w:rPr>
          <w:rFonts w:asciiTheme="majorHAnsi" w:hAnsiTheme="majorHAnsi"/>
          <w:lang w:val="lv-LV"/>
        </w:rPr>
        <w:t>ka šo ieteikumu ir vērts sagla</w:t>
      </w:r>
      <w:r w:rsidR="00134992" w:rsidRPr="0019406C">
        <w:rPr>
          <w:rFonts w:asciiTheme="majorHAnsi" w:hAnsiTheme="majorHAnsi"/>
          <w:lang w:val="lv-LV"/>
        </w:rPr>
        <w:t xml:space="preserve">bāt tālākām diskusijām </w:t>
      </w:r>
      <w:r w:rsidR="00DA1519" w:rsidRPr="0019406C">
        <w:rPr>
          <w:rFonts w:asciiTheme="majorHAnsi" w:hAnsiTheme="majorHAnsi"/>
          <w:lang w:val="lv-LV"/>
        </w:rPr>
        <w:t xml:space="preserve">darba grupā par uzņēmējdarbības vides uzlabošanas </w:t>
      </w:r>
      <w:r w:rsidR="00B916FF" w:rsidRPr="0019406C">
        <w:rPr>
          <w:rFonts w:asciiTheme="majorHAnsi" w:hAnsiTheme="majorHAnsi"/>
          <w:lang w:val="lv-LV"/>
        </w:rPr>
        <w:t>pasākumu</w:t>
      </w:r>
      <w:r w:rsidR="00DA1519" w:rsidRPr="0019406C">
        <w:rPr>
          <w:rFonts w:asciiTheme="majorHAnsi" w:hAnsiTheme="majorHAnsi"/>
          <w:lang w:val="lv-LV"/>
        </w:rPr>
        <w:t xml:space="preserve"> ieviešanu</w:t>
      </w:r>
      <w:r w:rsidRPr="0019406C">
        <w:rPr>
          <w:rFonts w:asciiTheme="majorHAnsi" w:hAnsiTheme="majorHAnsi"/>
          <w:lang w:val="lv-LV"/>
        </w:rPr>
        <w:t>.</w:t>
      </w:r>
    </w:p>
    <w:p w:rsidR="00134992" w:rsidRPr="0019406C" w:rsidRDefault="00C042D5" w:rsidP="00E521EE">
      <w:pPr>
        <w:pStyle w:val="BodyText"/>
        <w:numPr>
          <w:ilvl w:val="0"/>
          <w:numId w:val="75"/>
        </w:numPr>
        <w:spacing w:line="276" w:lineRule="auto"/>
        <w:jc w:val="both"/>
        <w:rPr>
          <w:rFonts w:asciiTheme="majorHAnsi" w:hAnsiTheme="majorHAnsi"/>
          <w:lang w:val="lv-LV"/>
        </w:rPr>
      </w:pPr>
      <w:r w:rsidRPr="0019406C">
        <w:rPr>
          <w:rFonts w:asciiTheme="majorHAnsi" w:hAnsiTheme="majorHAnsi"/>
          <w:lang w:val="lv-LV"/>
        </w:rPr>
        <w:t xml:space="preserve">Izvirzīto priekšlikumu par uzņēmēju izpratnes par uzņēmējdarbības veidiem un ar tiem saistītajiem pienākumiem vecināšanu iekļaut </w:t>
      </w:r>
      <w:r w:rsidR="00B916FF" w:rsidRPr="0019406C">
        <w:rPr>
          <w:rFonts w:asciiTheme="majorHAnsi" w:hAnsiTheme="majorHAnsi"/>
          <w:lang w:val="lv-LV"/>
        </w:rPr>
        <w:t>U</w:t>
      </w:r>
      <w:r w:rsidRPr="0019406C">
        <w:rPr>
          <w:rFonts w:asciiTheme="majorHAnsi" w:hAnsiTheme="majorHAnsi"/>
          <w:lang w:val="lv-LV"/>
        </w:rPr>
        <w:t xml:space="preserve">zņēmējdarbības vides </w:t>
      </w:r>
      <w:r w:rsidR="00B916FF" w:rsidRPr="0019406C">
        <w:rPr>
          <w:rFonts w:asciiTheme="majorHAnsi" w:hAnsiTheme="majorHAnsi"/>
          <w:lang w:val="lv-LV"/>
        </w:rPr>
        <w:t xml:space="preserve">uzlabošanas pasākumu </w:t>
      </w:r>
      <w:r w:rsidRPr="0019406C">
        <w:rPr>
          <w:rFonts w:asciiTheme="majorHAnsi" w:hAnsiTheme="majorHAnsi"/>
          <w:lang w:val="lv-LV"/>
        </w:rPr>
        <w:t>plānā.</w:t>
      </w:r>
    </w:p>
    <w:p w:rsidR="00321572" w:rsidRPr="0019406C" w:rsidRDefault="00B543DA" w:rsidP="00E521EE">
      <w:pPr>
        <w:pStyle w:val="BodyText"/>
        <w:numPr>
          <w:ilvl w:val="0"/>
          <w:numId w:val="75"/>
        </w:numPr>
        <w:spacing w:line="276" w:lineRule="auto"/>
        <w:jc w:val="both"/>
        <w:rPr>
          <w:rFonts w:asciiTheme="majorHAnsi" w:hAnsiTheme="majorHAnsi"/>
          <w:lang w:val="lv-LV"/>
        </w:rPr>
      </w:pPr>
      <w:r w:rsidRPr="0019406C">
        <w:rPr>
          <w:rFonts w:asciiTheme="majorHAnsi" w:hAnsiTheme="majorHAnsi"/>
          <w:lang w:val="lv-LV"/>
        </w:rPr>
        <w:t xml:space="preserve">Izvirzīto </w:t>
      </w:r>
      <w:r w:rsidR="00C042D5" w:rsidRPr="0019406C">
        <w:rPr>
          <w:rFonts w:asciiTheme="majorHAnsi" w:hAnsiTheme="majorHAnsi"/>
          <w:lang w:val="lv-LV"/>
        </w:rPr>
        <w:t>priekšlikumu par sadarbības veicināšanu informācijas apmaiņā starp valsts iestādēm</w:t>
      </w:r>
      <w:r w:rsidRPr="0019406C">
        <w:rPr>
          <w:rFonts w:asciiTheme="majorHAnsi" w:hAnsiTheme="majorHAnsi"/>
          <w:lang w:val="lv-LV"/>
        </w:rPr>
        <w:t xml:space="preserve"> tika nolemts </w:t>
      </w:r>
      <w:r w:rsidR="00B916FF" w:rsidRPr="0019406C">
        <w:rPr>
          <w:rFonts w:asciiTheme="majorHAnsi" w:hAnsiTheme="majorHAnsi"/>
          <w:lang w:val="lv-LV"/>
        </w:rPr>
        <w:t xml:space="preserve">minētajā </w:t>
      </w:r>
      <w:r w:rsidRPr="0019406C">
        <w:rPr>
          <w:rFonts w:asciiTheme="majorHAnsi" w:hAnsiTheme="majorHAnsi"/>
          <w:lang w:val="lv-LV"/>
        </w:rPr>
        <w:t>plānā neiekļaut, jo VID un UR savstarpējo sadarbību novērtēja kā pietiekošu un strādā pie šīs sadarbības uzlabošanas.</w:t>
      </w:r>
    </w:p>
    <w:p w:rsidR="00134992" w:rsidRPr="0019406C" w:rsidRDefault="00134992" w:rsidP="00134992">
      <w:pPr>
        <w:pStyle w:val="BodyText"/>
        <w:spacing w:line="276" w:lineRule="auto"/>
        <w:jc w:val="both"/>
        <w:rPr>
          <w:rFonts w:asciiTheme="majorHAnsi" w:hAnsiTheme="majorHAnsi"/>
          <w:lang w:val="lv-LV"/>
        </w:rPr>
      </w:pPr>
    </w:p>
    <w:p w:rsidR="0029580E" w:rsidRPr="0019406C" w:rsidRDefault="0029580E" w:rsidP="0029580E">
      <w:pPr>
        <w:pStyle w:val="Heading2"/>
        <w:rPr>
          <w:lang w:val="lv-LV"/>
        </w:rPr>
      </w:pPr>
      <w:bookmarkStart w:id="58" w:name="_Toc381483892"/>
      <w:bookmarkStart w:id="59" w:name="_Toc389226079"/>
      <w:r w:rsidRPr="0019406C">
        <w:rPr>
          <w:lang w:val="lv-LV"/>
        </w:rPr>
        <w:t>Licences un atļaujas, un citas inspekciju izdotās apliecības/ standarti par atbilstību</w:t>
      </w:r>
      <w:bookmarkEnd w:id="58"/>
      <w:bookmarkEnd w:id="59"/>
    </w:p>
    <w:p w:rsidR="0029580E" w:rsidRPr="0019406C" w:rsidRDefault="0029580E" w:rsidP="0029580E">
      <w:pPr>
        <w:pStyle w:val="BodyText"/>
        <w:rPr>
          <w:rFonts w:asciiTheme="majorHAnsi" w:hAnsiTheme="majorHAnsi"/>
          <w:i/>
          <w:highlight w:val="yellow"/>
          <w:lang w:val="lv-LV"/>
        </w:rPr>
      </w:pPr>
    </w:p>
    <w:p w:rsidR="00163862" w:rsidRPr="0019406C" w:rsidRDefault="00163862" w:rsidP="00163862">
      <w:pPr>
        <w:pStyle w:val="BodyText"/>
        <w:rPr>
          <w:rFonts w:asciiTheme="majorHAnsi" w:hAnsiTheme="majorHAnsi"/>
          <w:b/>
          <w:sz w:val="22"/>
          <w:lang w:val="lv-LV"/>
        </w:rPr>
      </w:pPr>
      <w:r w:rsidRPr="0019406C">
        <w:rPr>
          <w:rFonts w:asciiTheme="majorHAnsi" w:hAnsiTheme="majorHAnsi"/>
          <w:b/>
          <w:sz w:val="22"/>
          <w:lang w:val="lv-LV"/>
        </w:rPr>
        <w:t>Uzņēmēju aptauja</w:t>
      </w:r>
    </w:p>
    <w:p w:rsidR="00163862" w:rsidRPr="0019406C" w:rsidRDefault="00163862" w:rsidP="00163862">
      <w:pPr>
        <w:pStyle w:val="BodyText"/>
        <w:spacing w:line="276" w:lineRule="auto"/>
        <w:jc w:val="both"/>
        <w:rPr>
          <w:rFonts w:asciiTheme="majorHAnsi" w:hAnsiTheme="majorHAnsi"/>
          <w:lang w:val="lv-LV"/>
        </w:rPr>
      </w:pPr>
      <w:r w:rsidRPr="0019406C">
        <w:rPr>
          <w:rFonts w:asciiTheme="majorHAnsi" w:hAnsiTheme="majorHAnsi"/>
          <w:lang w:val="lv-LV"/>
        </w:rPr>
        <w:t>Pēc Latvijas Faktu veiktās uzņēmēju aptaujas par licencēm un atļaujām var secināt, ka:</w:t>
      </w:r>
    </w:p>
    <w:p w:rsidR="00150FC7" w:rsidRPr="0019406C" w:rsidRDefault="00163862" w:rsidP="00E521EE">
      <w:pPr>
        <w:pStyle w:val="BodyText"/>
        <w:numPr>
          <w:ilvl w:val="0"/>
          <w:numId w:val="34"/>
        </w:numPr>
        <w:spacing w:line="276" w:lineRule="auto"/>
        <w:jc w:val="both"/>
        <w:rPr>
          <w:rFonts w:asciiTheme="majorHAnsi" w:hAnsiTheme="majorHAnsi"/>
          <w:lang w:val="lv-LV"/>
        </w:rPr>
      </w:pPr>
      <w:r w:rsidRPr="0019406C">
        <w:rPr>
          <w:rFonts w:asciiTheme="majorHAnsi" w:hAnsiTheme="majorHAnsi"/>
          <w:lang w:val="lv-LV"/>
        </w:rPr>
        <w:t>Arvien mazāk</w:t>
      </w:r>
      <w:r w:rsidR="00293B34" w:rsidRPr="0019406C">
        <w:rPr>
          <w:rFonts w:asciiTheme="majorHAnsi" w:hAnsiTheme="majorHAnsi"/>
          <w:lang w:val="lv-LV"/>
        </w:rPr>
        <w:t>am</w:t>
      </w:r>
      <w:r w:rsidRPr="0019406C">
        <w:rPr>
          <w:rFonts w:asciiTheme="majorHAnsi" w:hAnsiTheme="majorHAnsi"/>
          <w:lang w:val="lv-LV"/>
        </w:rPr>
        <w:t xml:space="preserve"> </w:t>
      </w:r>
      <w:r w:rsidR="00293B34" w:rsidRPr="0019406C">
        <w:rPr>
          <w:rFonts w:asciiTheme="majorHAnsi" w:hAnsiTheme="majorHAnsi"/>
          <w:lang w:val="lv-LV"/>
        </w:rPr>
        <w:t xml:space="preserve">uzņēmēju skaitam ir nepieciešamas </w:t>
      </w:r>
      <w:r w:rsidRPr="0019406C">
        <w:rPr>
          <w:rFonts w:asciiTheme="majorHAnsi" w:hAnsiTheme="majorHAnsi"/>
          <w:lang w:val="lv-LV"/>
        </w:rPr>
        <w:t xml:space="preserve">licences un atļaujas. Ja 2009. gadā licences un atļaujas bija nepieciešamas 53% uzņēmēju, tad 2011. gadā jau tikai 49% un 2014. gadā 46%. </w:t>
      </w:r>
    </w:p>
    <w:p w:rsidR="00163862" w:rsidRPr="0019406C" w:rsidRDefault="00150FC7" w:rsidP="00E521EE">
      <w:pPr>
        <w:pStyle w:val="BodyText"/>
        <w:numPr>
          <w:ilvl w:val="0"/>
          <w:numId w:val="34"/>
        </w:numPr>
        <w:spacing w:line="276" w:lineRule="auto"/>
        <w:jc w:val="both"/>
        <w:rPr>
          <w:rFonts w:asciiTheme="majorHAnsi" w:hAnsiTheme="majorHAnsi"/>
          <w:lang w:val="lv-LV"/>
        </w:rPr>
      </w:pPr>
      <w:r w:rsidRPr="0019406C">
        <w:rPr>
          <w:rFonts w:asciiTheme="majorHAnsi" w:hAnsiTheme="majorHAnsi"/>
          <w:lang w:val="lv-LV"/>
        </w:rPr>
        <w:t xml:space="preserve">Pētījuma rezultātu analīze dažādās uzņēmumu grupās atklāj, ka dažādas valsts vai pašvaldību licences/ atļaujas visbiežāk (78,3%) ir nepieciešamas lielajiem uzņēmumiem. </w:t>
      </w:r>
      <w:r w:rsidR="00163862" w:rsidRPr="0019406C">
        <w:rPr>
          <w:rFonts w:asciiTheme="majorHAnsi" w:hAnsiTheme="majorHAnsi"/>
          <w:lang w:val="lv-LV"/>
        </w:rPr>
        <w:t xml:space="preserve">Pie tam, jo lielāks uzņēmums, jo </w:t>
      </w:r>
      <w:r w:rsidRPr="0019406C">
        <w:rPr>
          <w:rFonts w:asciiTheme="majorHAnsi" w:hAnsiTheme="majorHAnsi"/>
          <w:lang w:val="lv-LV"/>
        </w:rPr>
        <w:t xml:space="preserve">vidēji </w:t>
      </w:r>
      <w:r w:rsidR="00163862" w:rsidRPr="0019406C">
        <w:rPr>
          <w:rFonts w:asciiTheme="majorHAnsi" w:hAnsiTheme="majorHAnsi"/>
          <w:lang w:val="lv-LV"/>
        </w:rPr>
        <w:t xml:space="preserve">vairāk atļaujas un licences tam būs vajadzīgas. </w:t>
      </w:r>
    </w:p>
    <w:p w:rsidR="00163862" w:rsidRPr="0019406C" w:rsidRDefault="00163862" w:rsidP="00E521EE">
      <w:pPr>
        <w:pStyle w:val="BodyText"/>
        <w:numPr>
          <w:ilvl w:val="0"/>
          <w:numId w:val="34"/>
        </w:numPr>
        <w:spacing w:line="276" w:lineRule="auto"/>
        <w:jc w:val="both"/>
        <w:rPr>
          <w:rFonts w:asciiTheme="majorHAnsi" w:hAnsiTheme="majorHAnsi"/>
          <w:lang w:val="lv-LV"/>
        </w:rPr>
      </w:pPr>
      <w:r w:rsidRPr="0019406C">
        <w:rPr>
          <w:rFonts w:asciiTheme="majorHAnsi" w:hAnsiTheme="majorHAnsi"/>
          <w:lang w:val="lv-LV"/>
        </w:rPr>
        <w:t>Uzņēmumiem, kuru darbībai nepieciešamas licences vai atļaujas</w:t>
      </w:r>
      <w:r w:rsidR="00150FC7" w:rsidRPr="0019406C">
        <w:rPr>
          <w:rFonts w:asciiTheme="majorHAnsi" w:hAnsiTheme="majorHAnsi"/>
          <w:lang w:val="lv-LV"/>
        </w:rPr>
        <w:t>,</w:t>
      </w:r>
      <w:r w:rsidRPr="0019406C">
        <w:rPr>
          <w:rFonts w:asciiTheme="majorHAnsi" w:hAnsiTheme="majorHAnsi"/>
          <w:lang w:val="lv-LV"/>
        </w:rPr>
        <w:t xml:space="preserve"> vidēji ir nepieciešamas 3,2 licences vai at</w:t>
      </w:r>
      <w:r w:rsidR="00293B34" w:rsidRPr="0019406C">
        <w:rPr>
          <w:rFonts w:asciiTheme="majorHAnsi" w:hAnsiTheme="majorHAnsi"/>
          <w:lang w:val="lv-LV"/>
        </w:rPr>
        <w:t>ļa</w:t>
      </w:r>
      <w:r w:rsidRPr="0019406C">
        <w:rPr>
          <w:rFonts w:asciiTheme="majorHAnsi" w:hAnsiTheme="majorHAnsi"/>
          <w:lang w:val="lv-LV"/>
        </w:rPr>
        <w:t>ujas (2001.</w:t>
      </w:r>
      <w:r w:rsidR="00C4771B" w:rsidRPr="0019406C">
        <w:rPr>
          <w:rFonts w:asciiTheme="majorHAnsi" w:hAnsiTheme="majorHAnsi"/>
          <w:lang w:val="lv-LV"/>
        </w:rPr>
        <w:t xml:space="preserve"> – </w:t>
      </w:r>
      <w:r w:rsidRPr="0019406C">
        <w:rPr>
          <w:rFonts w:asciiTheme="majorHAnsi" w:hAnsiTheme="majorHAnsi"/>
          <w:lang w:val="lv-LV"/>
        </w:rPr>
        <w:t>2011. gada pētījumos vidējais licenču un atļauju skaits nesasniedza 3). Uzņēmumiem, kuriem nepieciešamas valsts licences vai atļaujas, vidēji nepieciešamas 2,9 licences vai atļaujas, un 1,9 pašvaldību izsniegtās licences vai atļaujas. Minētie rādītāji ir augstāki nekā iepriekšējos pētījumos.</w:t>
      </w:r>
    </w:p>
    <w:p w:rsidR="00163862" w:rsidRPr="0019406C" w:rsidRDefault="00163862" w:rsidP="00E521EE">
      <w:pPr>
        <w:pStyle w:val="BodyText"/>
        <w:numPr>
          <w:ilvl w:val="0"/>
          <w:numId w:val="34"/>
        </w:numPr>
        <w:spacing w:line="276" w:lineRule="auto"/>
        <w:jc w:val="both"/>
        <w:rPr>
          <w:rFonts w:asciiTheme="majorHAnsi" w:hAnsiTheme="majorHAnsi"/>
          <w:lang w:val="lv-LV"/>
        </w:rPr>
      </w:pPr>
      <w:r w:rsidRPr="0019406C">
        <w:rPr>
          <w:rFonts w:asciiTheme="majorHAnsi" w:hAnsiTheme="majorHAnsi"/>
          <w:lang w:val="lv-LV"/>
        </w:rPr>
        <w:t>Visvairāk uzņēmumiem ir nepieciešamas sekojošas atļaujas un licences:</w:t>
      </w:r>
    </w:p>
    <w:p w:rsidR="00163862" w:rsidRPr="0019406C" w:rsidRDefault="00163862" w:rsidP="00E521EE">
      <w:pPr>
        <w:pStyle w:val="BodyText"/>
        <w:numPr>
          <w:ilvl w:val="1"/>
          <w:numId w:val="34"/>
        </w:numPr>
        <w:spacing w:line="276" w:lineRule="auto"/>
        <w:jc w:val="both"/>
        <w:rPr>
          <w:rFonts w:asciiTheme="majorHAnsi" w:hAnsiTheme="majorHAnsi"/>
          <w:lang w:val="lv-LV"/>
        </w:rPr>
      </w:pPr>
      <w:r w:rsidRPr="0019406C">
        <w:rPr>
          <w:rFonts w:asciiTheme="majorHAnsi" w:hAnsiTheme="majorHAnsi"/>
          <w:lang w:val="lv-LV"/>
        </w:rPr>
        <w:t>tirdzniecības atļaujas pašvaldībās (nepieciešamas 8</w:t>
      </w:r>
      <w:r w:rsidR="003D76FB" w:rsidRPr="0019406C">
        <w:rPr>
          <w:rFonts w:asciiTheme="majorHAnsi" w:hAnsiTheme="majorHAnsi"/>
          <w:lang w:val="lv-LV"/>
        </w:rPr>
        <w:t>,</w:t>
      </w:r>
      <w:r w:rsidRPr="0019406C">
        <w:rPr>
          <w:rFonts w:asciiTheme="majorHAnsi" w:hAnsiTheme="majorHAnsi"/>
          <w:lang w:val="lv-LV"/>
        </w:rPr>
        <w:t>9% no aptaujas dalībniekiem);</w:t>
      </w:r>
    </w:p>
    <w:p w:rsidR="00163862" w:rsidRPr="0019406C" w:rsidRDefault="00163862" w:rsidP="00E521EE">
      <w:pPr>
        <w:pStyle w:val="BodyText"/>
        <w:numPr>
          <w:ilvl w:val="1"/>
          <w:numId w:val="34"/>
        </w:numPr>
        <w:spacing w:line="276" w:lineRule="auto"/>
        <w:jc w:val="both"/>
        <w:rPr>
          <w:rFonts w:asciiTheme="majorHAnsi" w:hAnsiTheme="majorHAnsi"/>
          <w:lang w:val="lv-LV"/>
        </w:rPr>
      </w:pPr>
      <w:r w:rsidRPr="0019406C">
        <w:rPr>
          <w:rFonts w:asciiTheme="majorHAnsi" w:hAnsiTheme="majorHAnsi"/>
          <w:lang w:val="lv-LV"/>
        </w:rPr>
        <w:t>pārtikas un veterinārā dienesta izsniegtas atzīšanas vai reģistrācijas numurs (nepieciešamas 6% no aptaujas dalībniekiem);</w:t>
      </w:r>
    </w:p>
    <w:p w:rsidR="00163862" w:rsidRPr="0019406C" w:rsidRDefault="00163862" w:rsidP="00E521EE">
      <w:pPr>
        <w:pStyle w:val="BodyText"/>
        <w:numPr>
          <w:ilvl w:val="1"/>
          <w:numId w:val="34"/>
        </w:numPr>
        <w:spacing w:line="276" w:lineRule="auto"/>
        <w:jc w:val="both"/>
        <w:rPr>
          <w:rFonts w:asciiTheme="majorHAnsi" w:hAnsiTheme="majorHAnsi"/>
          <w:lang w:val="lv-LV"/>
        </w:rPr>
      </w:pPr>
      <w:r w:rsidRPr="0019406C">
        <w:rPr>
          <w:rFonts w:asciiTheme="majorHAnsi" w:hAnsiTheme="majorHAnsi"/>
          <w:lang w:val="lv-LV"/>
        </w:rPr>
        <w:t>reģistrācija būvkomersantu reģistrā (nepieciešamas 5</w:t>
      </w:r>
      <w:r w:rsidR="003D76FB" w:rsidRPr="0019406C">
        <w:rPr>
          <w:rFonts w:asciiTheme="majorHAnsi" w:hAnsiTheme="majorHAnsi"/>
          <w:lang w:val="lv-LV"/>
        </w:rPr>
        <w:t>,</w:t>
      </w:r>
      <w:r w:rsidRPr="0019406C">
        <w:rPr>
          <w:rFonts w:asciiTheme="majorHAnsi" w:hAnsiTheme="majorHAnsi"/>
          <w:lang w:val="lv-LV"/>
        </w:rPr>
        <w:t>1% no aptaujas dalībniekiem).</w:t>
      </w:r>
    </w:p>
    <w:p w:rsidR="00163862" w:rsidRPr="0019406C" w:rsidRDefault="00163862" w:rsidP="00E521EE">
      <w:pPr>
        <w:pStyle w:val="BodyText"/>
        <w:numPr>
          <w:ilvl w:val="0"/>
          <w:numId w:val="34"/>
        </w:numPr>
        <w:spacing w:line="276" w:lineRule="auto"/>
        <w:jc w:val="both"/>
        <w:rPr>
          <w:rFonts w:asciiTheme="majorHAnsi" w:hAnsiTheme="majorHAnsi"/>
          <w:lang w:val="lv-LV"/>
        </w:rPr>
      </w:pPr>
      <w:r w:rsidRPr="0019406C">
        <w:rPr>
          <w:rFonts w:asciiTheme="majorHAnsi" w:hAnsiTheme="majorHAnsi"/>
          <w:lang w:val="lv-LV"/>
        </w:rPr>
        <w:t>Licenču un atļauju saņemšanai nepieciešamais laiks 2014. gadā (vidēji 9</w:t>
      </w:r>
      <w:r w:rsidR="003D76FB" w:rsidRPr="0019406C">
        <w:rPr>
          <w:rFonts w:asciiTheme="majorHAnsi" w:hAnsiTheme="majorHAnsi"/>
          <w:lang w:val="lv-LV"/>
        </w:rPr>
        <w:t>,</w:t>
      </w:r>
      <w:r w:rsidRPr="0019406C">
        <w:rPr>
          <w:rFonts w:asciiTheme="majorHAnsi" w:hAnsiTheme="majorHAnsi"/>
          <w:lang w:val="lv-LV"/>
        </w:rPr>
        <w:t xml:space="preserve">2 dienas) ir vienāds ar laiku, kas nepieciešams, lai reģistrētu uzņēmumu UR un VID (pēc aptaujas rezultātiem vidēji 9 dienas), tādējādi licenču un atļauju saņemšana var kavēt uzņēmējdarbības uzsākšanu vai attīstību. </w:t>
      </w:r>
      <w:r w:rsidR="0089384F" w:rsidRPr="0019406C">
        <w:rPr>
          <w:rFonts w:asciiTheme="majorHAnsi" w:hAnsiTheme="majorHAnsi"/>
          <w:lang w:val="lv-LV"/>
        </w:rPr>
        <w:t xml:space="preserve">Pēc aptaujas datiem, kur rezultāti uzskatāmi par reprezentabliem, var secināt, ka visilgāko laiku aizņem </w:t>
      </w:r>
      <w:r w:rsidRPr="0019406C">
        <w:rPr>
          <w:rFonts w:asciiTheme="majorHAnsi" w:hAnsiTheme="majorHAnsi"/>
          <w:lang w:val="lv-LV"/>
        </w:rPr>
        <w:t>valsts licence</w:t>
      </w:r>
      <w:r w:rsidR="0089384F" w:rsidRPr="0019406C">
        <w:rPr>
          <w:rFonts w:asciiTheme="majorHAnsi" w:hAnsiTheme="majorHAnsi"/>
          <w:lang w:val="lv-LV"/>
        </w:rPr>
        <w:t>s saņemšana</w:t>
      </w:r>
      <w:r w:rsidR="0072729F">
        <w:rPr>
          <w:rFonts w:asciiTheme="majorHAnsi" w:hAnsiTheme="majorHAnsi"/>
          <w:lang w:val="lv-LV"/>
        </w:rPr>
        <w:t xml:space="preserve"> kravu komercpārvadāju</w:t>
      </w:r>
      <w:r w:rsidRPr="0019406C">
        <w:rPr>
          <w:rFonts w:asciiTheme="majorHAnsi" w:hAnsiTheme="majorHAnsi"/>
          <w:lang w:val="lv-LV"/>
        </w:rPr>
        <w:t>miem Latvijas teritorijā un/ vai starptautiskajiem kravu komercpārvadājumiem ar kr</w:t>
      </w:r>
      <w:r w:rsidR="00164F02" w:rsidRPr="0019406C">
        <w:rPr>
          <w:rFonts w:asciiTheme="majorHAnsi" w:hAnsiTheme="majorHAnsi"/>
          <w:lang w:val="lv-LV"/>
        </w:rPr>
        <w:t>avas auto</w:t>
      </w:r>
      <w:r w:rsidR="0089384F" w:rsidRPr="0019406C">
        <w:rPr>
          <w:rFonts w:asciiTheme="majorHAnsi" w:hAnsiTheme="majorHAnsi"/>
          <w:lang w:val="lv-LV"/>
        </w:rPr>
        <w:t>, kā arī tirdzniecības atļauju saņemšana</w:t>
      </w:r>
      <w:r w:rsidR="00164F02" w:rsidRPr="0019406C">
        <w:rPr>
          <w:rFonts w:asciiTheme="majorHAnsi" w:hAnsiTheme="majorHAnsi"/>
          <w:lang w:val="lv-LV"/>
        </w:rPr>
        <w:t>, kas aizņem 11 dienas.</w:t>
      </w:r>
    </w:p>
    <w:p w:rsidR="00163862" w:rsidRPr="0019406C" w:rsidRDefault="00163862" w:rsidP="00134992">
      <w:pPr>
        <w:pStyle w:val="BodyText"/>
        <w:keepNext/>
        <w:spacing w:line="276" w:lineRule="auto"/>
        <w:jc w:val="center"/>
        <w:rPr>
          <w:lang w:val="lv-LV"/>
        </w:rPr>
      </w:pPr>
      <w:r w:rsidRPr="0019406C">
        <w:rPr>
          <w:noProof/>
          <w:lang w:eastAsia="en-GB"/>
        </w:rPr>
        <w:lastRenderedPageBreak/>
        <w:drawing>
          <wp:inline distT="0" distB="0" distL="0" distR="0" wp14:anchorId="050611E1" wp14:editId="54E89D15">
            <wp:extent cx="5486400" cy="4108450"/>
            <wp:effectExtent l="0" t="0" r="0" b="635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63862" w:rsidRPr="0019406C" w:rsidRDefault="00163862" w:rsidP="00163862">
      <w:pPr>
        <w:pStyle w:val="Caption"/>
        <w:rPr>
          <w:rFonts w:asciiTheme="majorHAnsi" w:hAnsiTheme="majorHAnsi"/>
          <w:lang w:val="lv-LV"/>
        </w:rPr>
      </w:pPr>
      <w:r w:rsidRPr="0019406C">
        <w:rPr>
          <w:sz w:val="16"/>
          <w:lang w:val="lv-LV"/>
        </w:rPr>
        <w:t xml:space="preserve">Ilustrācija </w:t>
      </w:r>
      <w:r w:rsidRPr="0019406C">
        <w:rPr>
          <w:sz w:val="16"/>
          <w:lang w:val="lv-LV"/>
        </w:rPr>
        <w:fldChar w:fldCharType="begin"/>
      </w:r>
      <w:r w:rsidRPr="0019406C">
        <w:rPr>
          <w:sz w:val="16"/>
          <w:lang w:val="lv-LV"/>
        </w:rPr>
        <w:instrText xml:space="preserve"> SEQ Ilustrācija \* ARABIC </w:instrText>
      </w:r>
      <w:r w:rsidRPr="0019406C">
        <w:rPr>
          <w:sz w:val="16"/>
          <w:lang w:val="lv-LV"/>
        </w:rPr>
        <w:fldChar w:fldCharType="separate"/>
      </w:r>
      <w:r w:rsidR="00410806" w:rsidRPr="0019406C">
        <w:rPr>
          <w:noProof/>
          <w:sz w:val="16"/>
          <w:lang w:val="lv-LV"/>
        </w:rPr>
        <w:t>3</w:t>
      </w:r>
      <w:r w:rsidRPr="0019406C">
        <w:rPr>
          <w:sz w:val="16"/>
          <w:lang w:val="lv-LV"/>
        </w:rPr>
        <w:fldChar w:fldCharType="end"/>
      </w:r>
      <w:r w:rsidRPr="0019406C">
        <w:rPr>
          <w:sz w:val="16"/>
          <w:lang w:val="lv-LV"/>
        </w:rPr>
        <w:t xml:space="preserve"> Vidējais licenču un atļauju saņemšanai patērēto kalendāro dienu skaits</w:t>
      </w:r>
    </w:p>
    <w:p w:rsidR="00420131" w:rsidRPr="0019406C" w:rsidRDefault="00420131" w:rsidP="00420131">
      <w:pPr>
        <w:pStyle w:val="BodyText"/>
        <w:rPr>
          <w:rFonts w:asciiTheme="majorHAnsi" w:hAnsiTheme="majorHAnsi"/>
          <w:b/>
          <w:sz w:val="22"/>
          <w:lang w:val="lv-LV"/>
        </w:rPr>
      </w:pPr>
      <w:r w:rsidRPr="0019406C">
        <w:rPr>
          <w:rFonts w:asciiTheme="majorHAnsi" w:hAnsiTheme="majorHAnsi"/>
          <w:b/>
          <w:sz w:val="22"/>
          <w:lang w:val="lv-LV"/>
        </w:rPr>
        <w:t>Doing Business pētījums un Globālās konkurētspējas indekss</w:t>
      </w:r>
    </w:p>
    <w:p w:rsidR="00420131" w:rsidRPr="0019406C" w:rsidRDefault="00420131" w:rsidP="00420131">
      <w:pPr>
        <w:pStyle w:val="BodyText"/>
        <w:spacing w:line="276" w:lineRule="auto"/>
        <w:jc w:val="both"/>
        <w:rPr>
          <w:rFonts w:asciiTheme="majorHAnsi" w:hAnsiTheme="majorHAnsi"/>
          <w:lang w:val="lv-LV"/>
        </w:rPr>
      </w:pPr>
      <w:r w:rsidRPr="0019406C">
        <w:rPr>
          <w:rFonts w:asciiTheme="majorHAnsi" w:hAnsiTheme="majorHAnsi"/>
          <w:lang w:val="lv-LV"/>
        </w:rPr>
        <w:t>Tēma - Licences un atļaujas, un citas inspekciju izdotās apliecības/ standarti par atbilstību  - nav apskatīta atsevišķi DB un GKI pētījumos.</w:t>
      </w:r>
    </w:p>
    <w:p w:rsidR="00D81478" w:rsidRPr="0019406C" w:rsidRDefault="00D81478" w:rsidP="00420131">
      <w:pPr>
        <w:pStyle w:val="BodyText"/>
        <w:spacing w:line="276" w:lineRule="auto"/>
        <w:jc w:val="both"/>
        <w:rPr>
          <w:rFonts w:asciiTheme="majorHAnsi" w:hAnsiTheme="majorHAnsi"/>
          <w:b/>
          <w:sz w:val="22"/>
          <w:lang w:val="lv-LV"/>
        </w:rPr>
      </w:pPr>
      <w:r w:rsidRPr="0019406C">
        <w:rPr>
          <w:rFonts w:asciiTheme="majorHAnsi" w:hAnsiTheme="majorHAnsi"/>
          <w:b/>
          <w:sz w:val="22"/>
          <w:lang w:val="lv-LV"/>
        </w:rPr>
        <w:t>Secinājumi un priekšlikumi</w:t>
      </w:r>
    </w:p>
    <w:p w:rsidR="00164F02" w:rsidRPr="0019406C" w:rsidRDefault="00164F02" w:rsidP="00420131">
      <w:pPr>
        <w:pStyle w:val="BodyText"/>
        <w:spacing w:line="276" w:lineRule="auto"/>
        <w:jc w:val="both"/>
        <w:rPr>
          <w:rFonts w:asciiTheme="majorHAnsi" w:hAnsiTheme="majorHAnsi"/>
          <w:lang w:val="lv-LV"/>
        </w:rPr>
      </w:pPr>
      <w:r w:rsidRPr="0019406C">
        <w:rPr>
          <w:rFonts w:asciiTheme="majorHAnsi" w:hAnsiTheme="majorHAnsi"/>
          <w:lang w:val="lv-LV"/>
        </w:rPr>
        <w:t>Licenču un atļauju, un citu inspekciju izdoto apliecību izsniegšanas procesa analīze tika balstīta uz uzņēmēju aptaujas rezultātiem un esošās situācijas izpēti.</w:t>
      </w:r>
    </w:p>
    <w:p w:rsidR="000B5634" w:rsidRPr="0019406C" w:rsidRDefault="000B5634" w:rsidP="00420131">
      <w:pPr>
        <w:pStyle w:val="BodyText"/>
        <w:spacing w:line="276" w:lineRule="auto"/>
        <w:jc w:val="both"/>
        <w:rPr>
          <w:rFonts w:asciiTheme="majorHAnsi" w:hAnsiTheme="majorHAnsi"/>
          <w:lang w:val="lv-LV"/>
        </w:rPr>
      </w:pPr>
      <w:r w:rsidRPr="0019406C">
        <w:rPr>
          <w:rFonts w:asciiTheme="majorHAnsi" w:hAnsiTheme="majorHAnsi"/>
          <w:lang w:val="lv-LV"/>
        </w:rPr>
        <w:t xml:space="preserve">Pašlaik informācija par uzņēmējdarbībai nepieciešamajām atļaujām un licencēm ir apkopota portālā </w:t>
      </w:r>
      <w:proofErr w:type="spellStart"/>
      <w:r w:rsidRPr="0019406C">
        <w:rPr>
          <w:rFonts w:asciiTheme="majorHAnsi" w:hAnsiTheme="majorHAnsi"/>
          <w:lang w:val="lv-LV"/>
        </w:rPr>
        <w:t>www.latvija.lv</w:t>
      </w:r>
      <w:proofErr w:type="spellEnd"/>
      <w:r w:rsidRPr="0019406C">
        <w:rPr>
          <w:rFonts w:asciiTheme="majorHAnsi" w:hAnsiTheme="majorHAnsi"/>
          <w:lang w:val="lv-LV"/>
        </w:rPr>
        <w:t xml:space="preserve">, kurā ir sniegta arī sīkāka informācija par katru no tām – pieteikšanās procedūru un nepieciešamajiem dokumentiem. Licences un atļaujas izsniedz dažādas atbildīgās institūcijas, tādēļ to apvienošana un </w:t>
      </w:r>
      <w:proofErr w:type="spellStart"/>
      <w:r w:rsidRPr="0019406C">
        <w:rPr>
          <w:rFonts w:asciiTheme="majorHAnsi" w:hAnsiTheme="majorHAnsi"/>
          <w:lang w:val="lv-LV"/>
        </w:rPr>
        <w:t>digitalizēšana</w:t>
      </w:r>
      <w:proofErr w:type="spellEnd"/>
      <w:r w:rsidRPr="0019406C">
        <w:rPr>
          <w:rFonts w:asciiTheme="majorHAnsi" w:hAnsiTheme="majorHAnsi"/>
          <w:lang w:val="lv-LV"/>
        </w:rPr>
        <w:t xml:space="preserve"> ir ierobežota, tomēr atbildīgajām iestādēm ir jātiecas uz šo procesu pieejamību tiešsaistē vai portālā </w:t>
      </w:r>
      <w:hyperlink r:id="rId13" w:history="1">
        <w:r w:rsidRPr="0019406C">
          <w:rPr>
            <w:rStyle w:val="Hyperlink"/>
            <w:rFonts w:asciiTheme="majorHAnsi" w:hAnsiTheme="majorHAnsi"/>
            <w:lang w:val="lv-LV"/>
          </w:rPr>
          <w:t>www.latvija.lv</w:t>
        </w:r>
      </w:hyperlink>
      <w:r w:rsidRPr="0019406C">
        <w:rPr>
          <w:rFonts w:asciiTheme="majorHAnsi" w:hAnsiTheme="majorHAnsi"/>
          <w:lang w:val="lv-LV"/>
        </w:rPr>
        <w:t>.</w:t>
      </w:r>
    </w:p>
    <w:p w:rsidR="00420131" w:rsidRPr="0019406C" w:rsidRDefault="00420131" w:rsidP="00420131">
      <w:pPr>
        <w:pStyle w:val="BodyText"/>
        <w:spacing w:line="276" w:lineRule="auto"/>
        <w:jc w:val="both"/>
        <w:rPr>
          <w:rFonts w:asciiTheme="majorHAnsi" w:hAnsiTheme="majorHAnsi"/>
          <w:b/>
          <w:sz w:val="22"/>
          <w:lang w:val="lv-LV"/>
        </w:rPr>
      </w:pPr>
      <w:r w:rsidRPr="0019406C">
        <w:rPr>
          <w:rFonts w:asciiTheme="majorHAnsi" w:hAnsiTheme="majorHAnsi"/>
          <w:lang w:val="lv-LV"/>
        </w:rPr>
        <w:t>No apkopotajiem aptaujas rezultātiem</w:t>
      </w:r>
      <w:r w:rsidR="000B5634" w:rsidRPr="0019406C">
        <w:rPr>
          <w:rFonts w:asciiTheme="majorHAnsi" w:hAnsiTheme="majorHAnsi"/>
          <w:lang w:val="lv-LV"/>
        </w:rPr>
        <w:t xml:space="preserve"> </w:t>
      </w:r>
      <w:r w:rsidR="0072729F" w:rsidRPr="0019406C">
        <w:rPr>
          <w:rFonts w:asciiTheme="majorHAnsi" w:hAnsiTheme="majorHAnsi"/>
          <w:lang w:val="lv-LV"/>
        </w:rPr>
        <w:t>un ekspertu</w:t>
      </w:r>
      <w:r w:rsidR="00F8692B" w:rsidRPr="0019406C">
        <w:rPr>
          <w:rFonts w:asciiTheme="majorHAnsi" w:hAnsiTheme="majorHAnsi"/>
          <w:lang w:val="lv-LV"/>
        </w:rPr>
        <w:t xml:space="preserve"> diskusijām tika </w:t>
      </w:r>
      <w:r w:rsidRPr="0019406C">
        <w:rPr>
          <w:rFonts w:asciiTheme="majorHAnsi" w:hAnsiTheme="majorHAnsi"/>
          <w:lang w:val="lv-LV"/>
        </w:rPr>
        <w:t>izvirz</w:t>
      </w:r>
      <w:r w:rsidR="00F8692B" w:rsidRPr="0019406C">
        <w:rPr>
          <w:rFonts w:asciiTheme="majorHAnsi" w:hAnsiTheme="majorHAnsi"/>
          <w:lang w:val="lv-LV"/>
        </w:rPr>
        <w:t>īti</w:t>
      </w:r>
      <w:r w:rsidRPr="0019406C">
        <w:rPr>
          <w:rFonts w:asciiTheme="majorHAnsi" w:hAnsiTheme="majorHAnsi"/>
          <w:lang w:val="lv-LV"/>
        </w:rPr>
        <w:t xml:space="preserve"> sekojoš</w:t>
      </w:r>
      <w:r w:rsidR="00F8692B" w:rsidRPr="0019406C">
        <w:rPr>
          <w:rFonts w:asciiTheme="majorHAnsi" w:hAnsiTheme="majorHAnsi"/>
          <w:lang w:val="lv-LV"/>
        </w:rPr>
        <w:t>i</w:t>
      </w:r>
      <w:r w:rsidRPr="0019406C">
        <w:rPr>
          <w:rFonts w:asciiTheme="majorHAnsi" w:hAnsiTheme="majorHAnsi"/>
          <w:lang w:val="lv-LV"/>
        </w:rPr>
        <w:t xml:space="preserve"> ieteikum</w:t>
      </w:r>
      <w:r w:rsidR="00F8692B" w:rsidRPr="0019406C">
        <w:rPr>
          <w:rFonts w:asciiTheme="majorHAnsi" w:hAnsiTheme="majorHAnsi"/>
          <w:lang w:val="lv-LV"/>
        </w:rPr>
        <w:t>i</w:t>
      </w:r>
      <w:r w:rsidRPr="0019406C">
        <w:rPr>
          <w:rFonts w:asciiTheme="majorHAnsi" w:hAnsiTheme="majorHAnsi"/>
          <w:lang w:val="lv-LV"/>
        </w:rPr>
        <w:t>:</w:t>
      </w:r>
    </w:p>
    <w:p w:rsidR="00420131" w:rsidRPr="0019406C" w:rsidRDefault="00420131" w:rsidP="00E521EE">
      <w:pPr>
        <w:pStyle w:val="BodyText"/>
        <w:numPr>
          <w:ilvl w:val="0"/>
          <w:numId w:val="34"/>
        </w:numPr>
        <w:spacing w:line="276" w:lineRule="auto"/>
        <w:jc w:val="both"/>
        <w:rPr>
          <w:rFonts w:asciiTheme="majorHAnsi" w:hAnsiTheme="majorHAnsi"/>
          <w:lang w:val="lv-LV"/>
        </w:rPr>
      </w:pPr>
      <w:r w:rsidRPr="0019406C">
        <w:rPr>
          <w:rFonts w:asciiTheme="majorHAnsi" w:hAnsiTheme="majorHAnsi"/>
          <w:lang w:val="lv-LV"/>
        </w:rPr>
        <w:t xml:space="preserve">Iesakām uzlabot </w:t>
      </w:r>
      <w:r w:rsidR="00873126" w:rsidRPr="0019406C">
        <w:rPr>
          <w:rFonts w:asciiTheme="majorHAnsi" w:hAnsiTheme="majorHAnsi"/>
          <w:lang w:val="lv-LV"/>
        </w:rPr>
        <w:t>atļauju un licenču saņemšanu</w:t>
      </w:r>
      <w:r w:rsidRPr="0019406C">
        <w:rPr>
          <w:rFonts w:asciiTheme="majorHAnsi" w:hAnsiTheme="majorHAnsi"/>
          <w:lang w:val="lv-LV"/>
        </w:rPr>
        <w:t xml:space="preserve"> internetā, </w:t>
      </w:r>
      <w:r w:rsidR="00873126" w:rsidRPr="0019406C">
        <w:rPr>
          <w:rFonts w:asciiTheme="majorHAnsi" w:hAnsiTheme="majorHAnsi"/>
          <w:lang w:val="lv-LV"/>
        </w:rPr>
        <w:t xml:space="preserve">apkopojot visas valsts un pašvaldību izsniegtās licences un atļaujas portālā </w:t>
      </w:r>
      <w:hyperlink r:id="rId14" w:history="1">
        <w:r w:rsidR="00873126" w:rsidRPr="0019406C">
          <w:rPr>
            <w:rStyle w:val="Hyperlink"/>
            <w:rFonts w:asciiTheme="majorHAnsi" w:hAnsiTheme="majorHAnsi"/>
            <w:lang w:val="lv-LV"/>
          </w:rPr>
          <w:t>www.latvija.lv</w:t>
        </w:r>
      </w:hyperlink>
      <w:r w:rsidR="00873126" w:rsidRPr="0019406C">
        <w:rPr>
          <w:rFonts w:asciiTheme="majorHAnsi" w:hAnsiTheme="majorHAnsi"/>
          <w:lang w:val="lv-LV"/>
        </w:rPr>
        <w:t xml:space="preserve"> loģiskā secībā</w:t>
      </w:r>
      <w:r w:rsidRPr="0019406C">
        <w:rPr>
          <w:rFonts w:asciiTheme="majorHAnsi" w:hAnsiTheme="majorHAnsi"/>
          <w:lang w:val="lv-LV"/>
        </w:rPr>
        <w:t>, kad</w:t>
      </w:r>
      <w:r w:rsidR="000B5634" w:rsidRPr="0019406C">
        <w:rPr>
          <w:rFonts w:asciiTheme="majorHAnsi" w:hAnsiTheme="majorHAnsi"/>
          <w:lang w:val="lv-LV"/>
        </w:rPr>
        <w:t>,</w:t>
      </w:r>
      <w:r w:rsidRPr="0019406C">
        <w:rPr>
          <w:rFonts w:asciiTheme="majorHAnsi" w:hAnsiTheme="majorHAnsi"/>
          <w:lang w:val="lv-LV"/>
        </w:rPr>
        <w:t xml:space="preserve"> izvēloties uzņēmējdarbības nozari pēc NACE koda, uzņēmējs uzreiz redzētu kādas atļaujas ir atbilstīgas konkrētai nozarei un attiecīgi pēc nepieciešamības arī izvēlēties tām pieteikties. Tas samazinātu laiku, kas nepieciešams, lai uzņēmējs izprastu kādas atļaujas tā uzņēmējdarbībai ir nepieciešamas, kā arī samazinātu laiku, lai iniciētu to izsniegšanas procesu</w:t>
      </w:r>
      <w:r w:rsidR="00B37DA6" w:rsidRPr="0019406C">
        <w:rPr>
          <w:rFonts w:asciiTheme="majorHAnsi" w:hAnsiTheme="majorHAnsi"/>
          <w:lang w:val="lv-LV"/>
        </w:rPr>
        <w:t>. Detalizētu priekšlikumu skatīt 1. pielikuma 2.1. punktā.</w:t>
      </w:r>
    </w:p>
    <w:p w:rsidR="00420131" w:rsidRPr="0019406C" w:rsidRDefault="00C4771B" w:rsidP="00E521EE">
      <w:pPr>
        <w:pStyle w:val="BodyText"/>
        <w:numPr>
          <w:ilvl w:val="0"/>
          <w:numId w:val="34"/>
        </w:numPr>
        <w:spacing w:line="276" w:lineRule="auto"/>
        <w:jc w:val="both"/>
        <w:rPr>
          <w:rFonts w:asciiTheme="majorHAnsi" w:hAnsiTheme="majorHAnsi"/>
          <w:lang w:val="lv-LV"/>
        </w:rPr>
      </w:pPr>
      <w:r w:rsidRPr="0019406C">
        <w:rPr>
          <w:rFonts w:asciiTheme="majorHAnsi" w:hAnsiTheme="majorHAnsi"/>
          <w:lang w:val="lv-LV"/>
        </w:rPr>
        <w:lastRenderedPageBreak/>
        <w:t>Lai arī aptaujas kopa bija nepietiekama un aptaujas rezultāti nav reprezentatīvi, konstatējām, ka būtu nepieciešams apsvērt iespēju v</w:t>
      </w:r>
      <w:r w:rsidR="00420131" w:rsidRPr="0019406C">
        <w:rPr>
          <w:rFonts w:asciiTheme="majorHAnsi" w:hAnsiTheme="majorHAnsi"/>
          <w:lang w:val="lv-LV"/>
        </w:rPr>
        <w:t xml:space="preserve">eidot pilnvērtīgus e-pakalpojumus </w:t>
      </w:r>
      <w:r w:rsidR="006F3E59" w:rsidRPr="0019406C">
        <w:rPr>
          <w:rFonts w:asciiTheme="majorHAnsi" w:hAnsiTheme="majorHAnsi"/>
          <w:lang w:val="lv-LV"/>
        </w:rPr>
        <w:t xml:space="preserve">vismaz </w:t>
      </w:r>
      <w:r w:rsidR="00420131" w:rsidRPr="0019406C">
        <w:rPr>
          <w:rFonts w:asciiTheme="majorHAnsi" w:hAnsiTheme="majorHAnsi"/>
          <w:lang w:val="lv-LV"/>
        </w:rPr>
        <w:t xml:space="preserve">šādu licenču saņemšanā - valsts licence kravas komercpārvadājumiem un valsts licence pasažieru komercpārvadājumiem, kuras izsniedz VSIA Autotransporta direkcija. Pašlaik minētie pakalpojumi nav pieejami tiešsaistē, portālā </w:t>
      </w:r>
      <w:hyperlink r:id="rId15" w:history="1">
        <w:r w:rsidR="00420131" w:rsidRPr="0019406C">
          <w:rPr>
            <w:rStyle w:val="Hyperlink"/>
            <w:rFonts w:asciiTheme="majorHAnsi" w:hAnsiTheme="majorHAnsi"/>
            <w:lang w:val="lv-LV"/>
          </w:rPr>
          <w:t>www.latvija.lv</w:t>
        </w:r>
      </w:hyperlink>
      <w:r w:rsidR="00420131" w:rsidRPr="0019406C">
        <w:rPr>
          <w:rFonts w:asciiTheme="majorHAnsi" w:hAnsiTheme="majorHAnsi"/>
          <w:lang w:val="lv-LV"/>
        </w:rPr>
        <w:t xml:space="preserve"> ir pieejamas veidlapas formas, kuras ir jāaizpilda un jāiesniedz Autotransporta direkcijas nodaļā.</w:t>
      </w:r>
    </w:p>
    <w:p w:rsidR="00E601FB" w:rsidRPr="0019406C" w:rsidRDefault="00521D78" w:rsidP="00B12D80">
      <w:pPr>
        <w:pStyle w:val="BodyText"/>
        <w:rPr>
          <w:rFonts w:asciiTheme="majorHAnsi" w:hAnsiTheme="majorHAnsi"/>
          <w:b/>
          <w:sz w:val="22"/>
          <w:lang w:val="lv-LV"/>
        </w:rPr>
      </w:pPr>
      <w:r w:rsidRPr="0019406C">
        <w:rPr>
          <w:rFonts w:asciiTheme="majorHAnsi" w:hAnsiTheme="majorHAnsi"/>
          <w:b/>
          <w:sz w:val="22"/>
          <w:lang w:val="lv-LV"/>
        </w:rPr>
        <w:t>Ekspertu diskusijas</w:t>
      </w:r>
    </w:p>
    <w:p w:rsidR="00853ECE" w:rsidRPr="0019406C" w:rsidRDefault="00AA11A0" w:rsidP="009C6912">
      <w:pPr>
        <w:pStyle w:val="BodyText"/>
        <w:spacing w:after="0"/>
        <w:jc w:val="both"/>
        <w:rPr>
          <w:rFonts w:asciiTheme="majorHAnsi" w:hAnsiTheme="majorHAnsi"/>
          <w:lang w:val="lv-LV"/>
        </w:rPr>
      </w:pPr>
      <w:r w:rsidRPr="0019406C">
        <w:rPr>
          <w:rFonts w:asciiTheme="majorHAnsi" w:hAnsiTheme="majorHAnsi"/>
          <w:lang w:val="lv-LV"/>
        </w:rPr>
        <w:t xml:space="preserve">Ekspertu diskusijās </w:t>
      </w:r>
      <w:r w:rsidR="00F8692B" w:rsidRPr="0019406C">
        <w:rPr>
          <w:rFonts w:asciiTheme="majorHAnsi" w:hAnsiTheme="majorHAnsi"/>
          <w:lang w:val="lv-LV"/>
        </w:rPr>
        <w:t xml:space="preserve">tika pārrunāta minēto priekšlikumu būtība un saturs aptaujas rezultātu kontekstā. Tika nolemts pirmo ieteikumu iekļaut </w:t>
      </w:r>
      <w:r w:rsidR="00B916FF" w:rsidRPr="0019406C">
        <w:rPr>
          <w:rFonts w:asciiTheme="majorHAnsi" w:hAnsiTheme="majorHAnsi"/>
          <w:lang w:val="lv-LV"/>
        </w:rPr>
        <w:t>U</w:t>
      </w:r>
      <w:r w:rsidR="00F8692B" w:rsidRPr="0019406C">
        <w:rPr>
          <w:rFonts w:asciiTheme="majorHAnsi" w:hAnsiTheme="majorHAnsi"/>
          <w:lang w:val="lv-LV"/>
        </w:rPr>
        <w:t xml:space="preserve">zņēmējdarbības </w:t>
      </w:r>
      <w:r w:rsidR="00B916FF" w:rsidRPr="0019406C">
        <w:rPr>
          <w:rFonts w:asciiTheme="majorHAnsi" w:hAnsiTheme="majorHAnsi"/>
          <w:lang w:val="lv-LV"/>
        </w:rPr>
        <w:t xml:space="preserve">vides </w:t>
      </w:r>
      <w:r w:rsidR="00F8692B" w:rsidRPr="0019406C">
        <w:rPr>
          <w:rFonts w:asciiTheme="majorHAnsi" w:hAnsiTheme="majorHAnsi"/>
          <w:lang w:val="lv-LV"/>
        </w:rPr>
        <w:t>uzlabošanas pasākumu plān</w:t>
      </w:r>
      <w:r w:rsidR="007F4D19" w:rsidRPr="0019406C">
        <w:rPr>
          <w:rFonts w:asciiTheme="majorHAnsi" w:hAnsiTheme="majorHAnsi"/>
          <w:lang w:val="lv-LV"/>
        </w:rPr>
        <w:t>ā</w:t>
      </w:r>
      <w:r w:rsidR="000B5634" w:rsidRPr="0019406C">
        <w:rPr>
          <w:rFonts w:asciiTheme="majorHAnsi" w:hAnsiTheme="majorHAnsi"/>
          <w:lang w:val="lv-LV"/>
        </w:rPr>
        <w:t xml:space="preserve">. </w:t>
      </w:r>
    </w:p>
    <w:p w:rsidR="00853ECE" w:rsidRPr="0019406C" w:rsidRDefault="00853ECE" w:rsidP="009C6912">
      <w:pPr>
        <w:pStyle w:val="BodyText"/>
        <w:spacing w:after="0"/>
        <w:jc w:val="both"/>
        <w:rPr>
          <w:rFonts w:asciiTheme="majorHAnsi" w:hAnsiTheme="majorHAnsi"/>
          <w:lang w:val="lv-LV"/>
        </w:rPr>
      </w:pPr>
    </w:p>
    <w:p w:rsidR="00521D78" w:rsidRPr="0019406C" w:rsidRDefault="007F4D19" w:rsidP="009C6912">
      <w:pPr>
        <w:pStyle w:val="BodyText"/>
        <w:spacing w:after="0"/>
        <w:jc w:val="both"/>
        <w:rPr>
          <w:rFonts w:asciiTheme="majorHAnsi" w:hAnsiTheme="majorHAnsi"/>
          <w:lang w:val="lv-LV"/>
        </w:rPr>
      </w:pPr>
      <w:r w:rsidRPr="0019406C">
        <w:rPr>
          <w:rFonts w:asciiTheme="majorHAnsi" w:hAnsiTheme="majorHAnsi"/>
          <w:lang w:val="lv-LV"/>
        </w:rPr>
        <w:t>Diskusiju rezultātā eksperti vienojās o</w:t>
      </w:r>
      <w:r w:rsidR="00F8692B" w:rsidRPr="0019406C">
        <w:rPr>
          <w:rFonts w:asciiTheme="majorHAnsi" w:hAnsiTheme="majorHAnsi"/>
          <w:lang w:val="lv-LV"/>
        </w:rPr>
        <w:t>tro priekšlikumu neiekļaut</w:t>
      </w:r>
      <w:r w:rsidRPr="0019406C">
        <w:rPr>
          <w:rFonts w:asciiTheme="majorHAnsi" w:hAnsiTheme="majorHAnsi"/>
          <w:lang w:val="lv-LV"/>
        </w:rPr>
        <w:t xml:space="preserve"> </w:t>
      </w:r>
      <w:r w:rsidR="00B916FF" w:rsidRPr="0019406C">
        <w:rPr>
          <w:rFonts w:asciiTheme="majorHAnsi" w:hAnsiTheme="majorHAnsi"/>
          <w:lang w:val="lv-LV"/>
        </w:rPr>
        <w:t xml:space="preserve">minētajā </w:t>
      </w:r>
      <w:r w:rsidRPr="0019406C">
        <w:rPr>
          <w:rFonts w:asciiTheme="majorHAnsi" w:hAnsiTheme="majorHAnsi"/>
          <w:lang w:val="lv-LV"/>
        </w:rPr>
        <w:t>plānā</w:t>
      </w:r>
      <w:r w:rsidR="00F8692B" w:rsidRPr="0019406C">
        <w:rPr>
          <w:rFonts w:asciiTheme="majorHAnsi" w:hAnsiTheme="majorHAnsi"/>
          <w:lang w:val="lv-LV"/>
        </w:rPr>
        <w:t xml:space="preserve"> mazās aptaujas kopas dēļ</w:t>
      </w:r>
      <w:r w:rsidRPr="0019406C">
        <w:rPr>
          <w:rFonts w:asciiTheme="majorHAnsi" w:hAnsiTheme="majorHAnsi"/>
          <w:lang w:val="lv-LV"/>
        </w:rPr>
        <w:t>, uz kura ir ba</w:t>
      </w:r>
      <w:r w:rsidR="00557792" w:rsidRPr="0019406C">
        <w:rPr>
          <w:rFonts w:asciiTheme="majorHAnsi" w:hAnsiTheme="majorHAnsi"/>
          <w:lang w:val="lv-LV"/>
        </w:rPr>
        <w:t>lstīts izvirzītais priekšlikums, tādēļ šis priekšlikums dzēsts pilnībā.</w:t>
      </w:r>
    </w:p>
    <w:p w:rsidR="00521D78" w:rsidRPr="0019406C" w:rsidRDefault="00521D78" w:rsidP="009C6912">
      <w:pPr>
        <w:pStyle w:val="BodyText"/>
        <w:spacing w:after="0"/>
        <w:jc w:val="both"/>
        <w:rPr>
          <w:rFonts w:asciiTheme="majorHAnsi" w:hAnsiTheme="majorHAnsi"/>
          <w:b/>
          <w:sz w:val="22"/>
          <w:lang w:val="lv-LV"/>
        </w:rPr>
      </w:pPr>
    </w:p>
    <w:p w:rsidR="00521D78" w:rsidRPr="0019406C" w:rsidRDefault="00521D78" w:rsidP="009C6912">
      <w:pPr>
        <w:pStyle w:val="BodyText"/>
        <w:spacing w:after="0"/>
        <w:jc w:val="both"/>
        <w:rPr>
          <w:rFonts w:asciiTheme="majorHAnsi" w:hAnsiTheme="majorHAnsi"/>
          <w:highlight w:val="yellow"/>
          <w:lang w:val="lv-LV"/>
        </w:rPr>
      </w:pPr>
    </w:p>
    <w:p w:rsidR="0029580E" w:rsidRPr="0019406C" w:rsidRDefault="0029580E" w:rsidP="009C6912">
      <w:pPr>
        <w:pStyle w:val="Heading2"/>
        <w:spacing w:after="0"/>
        <w:rPr>
          <w:lang w:val="lv-LV"/>
        </w:rPr>
      </w:pPr>
      <w:bookmarkStart w:id="60" w:name="_Toc381483893"/>
      <w:bookmarkStart w:id="61" w:name="_Toc389226080"/>
      <w:r w:rsidRPr="0019406C">
        <w:rPr>
          <w:lang w:val="lv-LV"/>
        </w:rPr>
        <w:t>Būvniecības process</w:t>
      </w:r>
      <w:bookmarkEnd w:id="60"/>
      <w:bookmarkEnd w:id="61"/>
    </w:p>
    <w:p w:rsidR="0029580E" w:rsidRPr="0019406C" w:rsidRDefault="0029580E" w:rsidP="0029580E">
      <w:pPr>
        <w:pStyle w:val="BodyText"/>
        <w:rPr>
          <w:rFonts w:asciiTheme="majorHAnsi" w:hAnsiTheme="majorHAnsi"/>
          <w:lang w:val="lv-LV"/>
        </w:rPr>
      </w:pPr>
    </w:p>
    <w:p w:rsidR="005A643D" w:rsidRPr="0019406C" w:rsidRDefault="005A643D" w:rsidP="005A643D">
      <w:pPr>
        <w:pStyle w:val="BodyText"/>
        <w:rPr>
          <w:rFonts w:asciiTheme="majorHAnsi" w:hAnsiTheme="majorHAnsi"/>
          <w:b/>
          <w:sz w:val="22"/>
          <w:lang w:val="lv-LV"/>
        </w:rPr>
      </w:pPr>
      <w:bookmarkStart w:id="62" w:name="_Toc381483894"/>
      <w:r w:rsidRPr="0019406C">
        <w:rPr>
          <w:rFonts w:asciiTheme="majorHAnsi" w:hAnsiTheme="majorHAnsi"/>
          <w:b/>
          <w:sz w:val="22"/>
          <w:lang w:val="lv-LV"/>
        </w:rPr>
        <w:t>Uzņēmēju aptauja</w:t>
      </w:r>
    </w:p>
    <w:p w:rsidR="005A643D" w:rsidRPr="0019406C" w:rsidRDefault="005A643D" w:rsidP="005A643D">
      <w:pPr>
        <w:pStyle w:val="BodyText"/>
        <w:spacing w:line="276" w:lineRule="auto"/>
        <w:jc w:val="both"/>
        <w:rPr>
          <w:rFonts w:asciiTheme="majorHAnsi" w:hAnsiTheme="majorHAnsi"/>
          <w:lang w:val="lv-LV"/>
        </w:rPr>
      </w:pPr>
      <w:r w:rsidRPr="0019406C">
        <w:rPr>
          <w:rFonts w:asciiTheme="majorHAnsi" w:hAnsiTheme="majorHAnsi"/>
          <w:lang w:val="lv-LV"/>
        </w:rPr>
        <w:t>Latvijas Faktu veiktās uzņēmēju aptaujas rezultāti norāda uz dažādām tendencēm būvniecības procesā. Kopumā visas būvniecības saskaņošanas procedūras 2014. gadā ir veiktas retāk nekā iepriekšējos gados. Ir pieaudzis sabiedriskās apspriešanas veikšanai vajadzīgo kalendāro dienu skaits: 2014. gadā uzņēmēji šim procesam patērēja 139 dienas, salīdzinot ar 47 dienām 2011. gadā</w:t>
      </w:r>
      <w:r w:rsidR="00CB6A9C" w:rsidRPr="0019406C">
        <w:rPr>
          <w:rFonts w:asciiTheme="majorHAnsi" w:hAnsiTheme="majorHAnsi"/>
          <w:lang w:val="lv-LV"/>
        </w:rPr>
        <w:t>,</w:t>
      </w:r>
      <w:r w:rsidRPr="0019406C">
        <w:rPr>
          <w:rFonts w:asciiTheme="majorHAnsi" w:hAnsiTheme="majorHAnsi"/>
          <w:lang w:val="lv-LV"/>
        </w:rPr>
        <w:t xml:space="preserve"> </w:t>
      </w:r>
      <w:r w:rsidR="00CB6A9C" w:rsidRPr="0019406C">
        <w:rPr>
          <w:rFonts w:asciiTheme="majorHAnsi" w:hAnsiTheme="majorHAnsi"/>
          <w:lang w:val="lv-LV"/>
        </w:rPr>
        <w:t>t</w:t>
      </w:r>
      <w:r w:rsidRPr="0019406C">
        <w:rPr>
          <w:rFonts w:asciiTheme="majorHAnsi" w:hAnsiTheme="majorHAnsi"/>
          <w:lang w:val="lv-LV"/>
        </w:rPr>
        <w:t xml:space="preserve">omēr visu būvniecības saskaņošanai patērēto kalendāro dienu skaits ir samazinājies no 81 dienas 2011. gadā uz 68 dienām 2014. gadā. </w:t>
      </w:r>
    </w:p>
    <w:p w:rsidR="005A643D" w:rsidRPr="0019406C" w:rsidRDefault="005A643D" w:rsidP="005A643D">
      <w:pPr>
        <w:pStyle w:val="Caption"/>
        <w:rPr>
          <w:rFonts w:asciiTheme="majorHAnsi" w:hAnsiTheme="majorHAnsi"/>
          <w:sz w:val="16"/>
          <w:lang w:val="lv-LV"/>
        </w:rPr>
      </w:pPr>
      <w:r w:rsidRPr="0019406C">
        <w:rPr>
          <w:noProof/>
          <w:lang w:eastAsia="en-GB"/>
        </w:rPr>
        <w:drawing>
          <wp:inline distT="0" distB="0" distL="0" distR="0" wp14:anchorId="3A26A0D0" wp14:editId="76F41B6F">
            <wp:extent cx="4572000" cy="2743200"/>
            <wp:effectExtent l="0" t="0" r="0" b="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5A643D" w:rsidRPr="0019406C" w:rsidRDefault="005A643D" w:rsidP="005A643D">
      <w:pPr>
        <w:pStyle w:val="Caption"/>
        <w:rPr>
          <w:rFonts w:asciiTheme="majorHAnsi" w:hAnsiTheme="majorHAnsi"/>
          <w:sz w:val="16"/>
          <w:lang w:val="lv-LV"/>
        </w:rPr>
      </w:pPr>
      <w:r w:rsidRPr="0019406C">
        <w:rPr>
          <w:rFonts w:asciiTheme="majorHAnsi" w:hAnsiTheme="majorHAnsi"/>
          <w:sz w:val="16"/>
          <w:lang w:val="lv-LV"/>
        </w:rPr>
        <w:t xml:space="preserve">Ilustrācija </w:t>
      </w:r>
      <w:r w:rsidRPr="0019406C">
        <w:rPr>
          <w:rFonts w:asciiTheme="majorHAnsi" w:hAnsiTheme="majorHAnsi"/>
          <w:sz w:val="16"/>
          <w:lang w:val="lv-LV"/>
        </w:rPr>
        <w:fldChar w:fldCharType="begin"/>
      </w:r>
      <w:r w:rsidRPr="0019406C">
        <w:rPr>
          <w:rFonts w:asciiTheme="majorHAnsi" w:hAnsiTheme="majorHAnsi"/>
          <w:sz w:val="16"/>
          <w:lang w:val="lv-LV"/>
        </w:rPr>
        <w:instrText xml:space="preserve"> SEQ Ilustrācija \* ARABIC </w:instrText>
      </w:r>
      <w:r w:rsidRPr="0019406C">
        <w:rPr>
          <w:rFonts w:asciiTheme="majorHAnsi" w:hAnsiTheme="majorHAnsi"/>
          <w:sz w:val="16"/>
          <w:lang w:val="lv-LV"/>
        </w:rPr>
        <w:fldChar w:fldCharType="separate"/>
      </w:r>
      <w:r w:rsidR="00410806" w:rsidRPr="0019406C">
        <w:rPr>
          <w:rFonts w:asciiTheme="majorHAnsi" w:hAnsiTheme="majorHAnsi"/>
          <w:noProof/>
          <w:sz w:val="16"/>
          <w:lang w:val="lv-LV"/>
        </w:rPr>
        <w:t>4</w:t>
      </w:r>
      <w:r w:rsidRPr="0019406C">
        <w:rPr>
          <w:rFonts w:asciiTheme="majorHAnsi" w:hAnsiTheme="majorHAnsi"/>
          <w:sz w:val="16"/>
          <w:lang w:val="lv-LV"/>
        </w:rPr>
        <w:fldChar w:fldCharType="end"/>
      </w:r>
      <w:r w:rsidRPr="0019406C">
        <w:rPr>
          <w:rFonts w:asciiTheme="majorHAnsi" w:hAnsiTheme="majorHAnsi"/>
          <w:sz w:val="16"/>
          <w:lang w:val="lv-LV"/>
        </w:rPr>
        <w:t xml:space="preserve"> </w:t>
      </w:r>
      <w:r w:rsidRPr="0019406C">
        <w:rPr>
          <w:sz w:val="16"/>
          <w:lang w:val="lv-LV"/>
        </w:rPr>
        <w:t>Visu būvniecības saskaņošanai nepieciešamo procedūru nokārtošanai patērētais vidējais kalendāro dienu skaits</w:t>
      </w:r>
    </w:p>
    <w:p w:rsidR="00811CA0" w:rsidRPr="0019406C" w:rsidRDefault="00811CA0" w:rsidP="005A643D">
      <w:pPr>
        <w:pStyle w:val="BodyText"/>
        <w:spacing w:line="276" w:lineRule="auto"/>
        <w:jc w:val="both"/>
        <w:rPr>
          <w:rFonts w:asciiTheme="majorHAnsi" w:hAnsiTheme="majorHAnsi"/>
          <w:lang w:val="lv-LV"/>
        </w:rPr>
      </w:pPr>
    </w:p>
    <w:p w:rsidR="00811CA0" w:rsidRPr="0019406C" w:rsidRDefault="00811CA0" w:rsidP="005A643D">
      <w:pPr>
        <w:pStyle w:val="BodyText"/>
        <w:spacing w:line="276" w:lineRule="auto"/>
        <w:jc w:val="both"/>
        <w:rPr>
          <w:rFonts w:asciiTheme="majorHAnsi" w:hAnsiTheme="majorHAnsi"/>
          <w:lang w:val="lv-LV"/>
        </w:rPr>
      </w:pPr>
    </w:p>
    <w:p w:rsidR="005A643D" w:rsidRPr="0019406C" w:rsidRDefault="005A643D" w:rsidP="005A643D">
      <w:pPr>
        <w:pStyle w:val="BodyText"/>
        <w:spacing w:line="276" w:lineRule="auto"/>
        <w:jc w:val="both"/>
        <w:rPr>
          <w:rFonts w:asciiTheme="majorHAnsi" w:hAnsiTheme="majorHAnsi"/>
          <w:lang w:val="lv-LV"/>
        </w:rPr>
      </w:pPr>
      <w:r w:rsidRPr="0019406C">
        <w:rPr>
          <w:rFonts w:asciiTheme="majorHAnsi" w:hAnsiTheme="majorHAnsi"/>
          <w:lang w:val="lv-LV"/>
        </w:rPr>
        <w:t>Galvenie secinājumi no anketas rezultātiem:</w:t>
      </w:r>
    </w:p>
    <w:p w:rsidR="002175E8" w:rsidRPr="0019406C" w:rsidRDefault="002175E8" w:rsidP="002175E8">
      <w:pPr>
        <w:pStyle w:val="BodyText"/>
        <w:numPr>
          <w:ilvl w:val="0"/>
          <w:numId w:val="42"/>
        </w:numPr>
        <w:spacing w:line="276" w:lineRule="auto"/>
        <w:jc w:val="both"/>
        <w:rPr>
          <w:rFonts w:asciiTheme="majorHAnsi" w:hAnsiTheme="majorHAnsi"/>
          <w:lang w:val="lv-LV"/>
        </w:rPr>
      </w:pPr>
      <w:r w:rsidRPr="0019406C">
        <w:rPr>
          <w:rFonts w:asciiTheme="majorHAnsi" w:hAnsiTheme="majorHAnsi"/>
          <w:lang w:val="lv-LV"/>
        </w:rPr>
        <w:lastRenderedPageBreak/>
        <w:t>Vidēji visu būvniecības saskaņošanai nepieciešamo procedūru nokārtošanai patērētais kalendāro dienu skaits 2014. gadā ir 68 dienas, kas ir ievērojami mazāk nekā 2011. gadā, kad bija nepieciešama 81 diena, taču jāņem vērā, ka būvniecībai nepieciešamo dienu skaita samazinājumam ne vienmēr ir tieša korelācija ar procedūru skaita samazinājumu;</w:t>
      </w:r>
    </w:p>
    <w:p w:rsidR="005A643D" w:rsidRPr="0019406C" w:rsidRDefault="002002D4" w:rsidP="00E521EE">
      <w:pPr>
        <w:pStyle w:val="BodyText"/>
        <w:numPr>
          <w:ilvl w:val="0"/>
          <w:numId w:val="42"/>
        </w:numPr>
        <w:spacing w:line="276" w:lineRule="auto"/>
        <w:jc w:val="both"/>
        <w:rPr>
          <w:rFonts w:asciiTheme="majorHAnsi" w:hAnsiTheme="majorHAnsi"/>
          <w:lang w:val="lv-LV"/>
        </w:rPr>
      </w:pPr>
      <w:r w:rsidRPr="0019406C">
        <w:rPr>
          <w:rFonts w:asciiTheme="majorHAnsi" w:hAnsiTheme="majorHAnsi"/>
          <w:lang w:val="lv-LV"/>
        </w:rPr>
        <w:t xml:space="preserve">Lielākais dienu skaits nepieciešams </w:t>
      </w:r>
      <w:r w:rsidR="005A643D" w:rsidRPr="0019406C">
        <w:rPr>
          <w:rFonts w:asciiTheme="majorHAnsi" w:hAnsiTheme="majorHAnsi"/>
          <w:lang w:val="lv-LV"/>
        </w:rPr>
        <w:t>sabiedriskās apspriešanas veikšanai</w:t>
      </w:r>
      <w:r w:rsidRPr="0019406C">
        <w:rPr>
          <w:rFonts w:asciiTheme="majorHAnsi" w:hAnsiTheme="majorHAnsi"/>
          <w:lang w:val="lv-LV"/>
        </w:rPr>
        <w:t>. U</w:t>
      </w:r>
      <w:r w:rsidR="005A643D" w:rsidRPr="0019406C">
        <w:rPr>
          <w:rFonts w:asciiTheme="majorHAnsi" w:hAnsiTheme="majorHAnsi"/>
          <w:lang w:val="lv-LV"/>
        </w:rPr>
        <w:t xml:space="preserve">zņēmumiem </w:t>
      </w:r>
      <w:r w:rsidRPr="0019406C">
        <w:rPr>
          <w:rFonts w:asciiTheme="majorHAnsi" w:hAnsiTheme="majorHAnsi"/>
          <w:lang w:val="lv-LV"/>
        </w:rPr>
        <w:t xml:space="preserve">tam </w:t>
      </w:r>
      <w:r w:rsidR="005A643D" w:rsidRPr="0019406C">
        <w:rPr>
          <w:rFonts w:asciiTheme="majorHAnsi" w:hAnsiTheme="majorHAnsi"/>
          <w:lang w:val="lv-LV"/>
        </w:rPr>
        <w:t xml:space="preserve">nācās tērēt 139 dienas, </w:t>
      </w:r>
      <w:r w:rsidRPr="0019406C">
        <w:rPr>
          <w:rFonts w:asciiTheme="majorHAnsi" w:hAnsiTheme="majorHAnsi"/>
          <w:lang w:val="lv-LV"/>
        </w:rPr>
        <w:t xml:space="preserve">tomēr jāmin, ka respondentu skaits lielākajā daļā no atbildēm par saskaņojumiem patērēto laiku bija zem 30 respondentiem, kas ir </w:t>
      </w:r>
      <w:r w:rsidR="0072729F" w:rsidRPr="00847B29">
        <w:rPr>
          <w:rFonts w:asciiTheme="majorHAnsi" w:hAnsiTheme="majorHAnsi"/>
          <w:u w:val="single"/>
          <w:lang w:val="lv-LV"/>
        </w:rPr>
        <w:t>nepietiekams</w:t>
      </w:r>
      <w:r w:rsidRPr="00847B29">
        <w:rPr>
          <w:rFonts w:asciiTheme="majorHAnsi" w:hAnsiTheme="majorHAnsi"/>
          <w:u w:val="single"/>
          <w:lang w:val="lv-LV"/>
        </w:rPr>
        <w:t>, lai rezultātus varētu vispārināt</w:t>
      </w:r>
      <w:r w:rsidR="005A643D" w:rsidRPr="0019406C">
        <w:rPr>
          <w:rFonts w:asciiTheme="majorHAnsi" w:hAnsiTheme="majorHAnsi"/>
          <w:lang w:val="lv-LV"/>
        </w:rPr>
        <w:t>;</w:t>
      </w:r>
    </w:p>
    <w:p w:rsidR="005A643D" w:rsidRPr="0019406C" w:rsidRDefault="005A643D" w:rsidP="00E521EE">
      <w:pPr>
        <w:pStyle w:val="BodyText"/>
        <w:numPr>
          <w:ilvl w:val="0"/>
          <w:numId w:val="42"/>
        </w:numPr>
        <w:spacing w:line="276" w:lineRule="auto"/>
        <w:jc w:val="both"/>
        <w:rPr>
          <w:rFonts w:asciiTheme="majorHAnsi" w:hAnsiTheme="majorHAnsi"/>
          <w:lang w:val="lv-LV"/>
        </w:rPr>
      </w:pPr>
      <w:r w:rsidRPr="0019406C">
        <w:rPr>
          <w:rFonts w:asciiTheme="majorHAnsi" w:hAnsiTheme="majorHAnsi"/>
          <w:lang w:val="lv-LV"/>
        </w:rPr>
        <w:t>Būvprojekta saskaņošanai vidēji uzņēmumi patērēja 28 dienas (24 dienas 2011. gadā), bet būvatļaujas saņemšanai 23 dienas (12 dienas 2011. gadā), ietekmes uz vidi novērtēšanai bija vajadzīgas 15 dienas (28 dienas 2011. gadā);</w:t>
      </w:r>
    </w:p>
    <w:p w:rsidR="005A643D" w:rsidRPr="0019406C" w:rsidRDefault="005A643D" w:rsidP="00E521EE">
      <w:pPr>
        <w:pStyle w:val="BodyText"/>
        <w:numPr>
          <w:ilvl w:val="0"/>
          <w:numId w:val="42"/>
        </w:numPr>
        <w:spacing w:line="276" w:lineRule="auto"/>
        <w:jc w:val="both"/>
        <w:rPr>
          <w:rFonts w:asciiTheme="majorHAnsi" w:hAnsiTheme="majorHAnsi"/>
          <w:lang w:val="lv-LV"/>
        </w:rPr>
      </w:pPr>
      <w:r w:rsidRPr="0019406C">
        <w:rPr>
          <w:rFonts w:asciiTheme="majorHAnsi" w:hAnsiTheme="majorHAnsi"/>
          <w:lang w:val="lv-LV"/>
        </w:rPr>
        <w:t>Pieaugusi konsultantu piesaiste būvniecības procedūru veikšanai, kur tieši sabiedriskās apspriešanas veikšanai 68% gadījumos tiek piesaistīti konsultanti, salīdzinājumā ar 52% 2011. gadā un 9% 2009. gadā. Tādējādi tas var norādīt uz procesu sarežģītības pieaugumu;</w:t>
      </w:r>
    </w:p>
    <w:p w:rsidR="005A643D" w:rsidRPr="0019406C" w:rsidRDefault="005A643D" w:rsidP="00E521EE">
      <w:pPr>
        <w:pStyle w:val="BodyText"/>
        <w:numPr>
          <w:ilvl w:val="0"/>
          <w:numId w:val="42"/>
        </w:numPr>
        <w:spacing w:line="276" w:lineRule="auto"/>
        <w:jc w:val="both"/>
        <w:rPr>
          <w:rFonts w:asciiTheme="majorHAnsi" w:hAnsiTheme="majorHAnsi"/>
          <w:lang w:val="lv-LV"/>
        </w:rPr>
      </w:pPr>
      <w:r w:rsidRPr="0019406C">
        <w:rPr>
          <w:rFonts w:asciiTheme="majorHAnsi" w:hAnsiTheme="majorHAnsi"/>
          <w:lang w:val="lv-LV"/>
        </w:rPr>
        <w:t>Lielākais kāpums saistībā ar būvniecības saskaņošanas kvalitāti salīdzinājumā ar 2011. gadu ir novērojams sabiedriskās apspriešanas veikšanā, kur vērtējums ir pieaudzis no 2,2 līdz 4,0 (skalā no 1 (ļoti slikti) līdz 6 (ļoti labi). Vērtējot visu būvniecības procesa kvalitāti, tā ir nedaudz augusi, salīdzinot ar 2011. gada pētījuma rezultātiem.</w:t>
      </w:r>
    </w:p>
    <w:p w:rsidR="005A643D" w:rsidRPr="0019406C" w:rsidRDefault="005A643D" w:rsidP="005A643D">
      <w:pPr>
        <w:pStyle w:val="BodyText"/>
        <w:spacing w:line="276" w:lineRule="auto"/>
        <w:jc w:val="both"/>
        <w:rPr>
          <w:rFonts w:asciiTheme="majorHAnsi" w:hAnsiTheme="majorHAnsi"/>
          <w:lang w:val="lv-LV"/>
        </w:rPr>
      </w:pPr>
      <w:r w:rsidRPr="0019406C">
        <w:rPr>
          <w:rFonts w:asciiTheme="majorHAnsi" w:hAnsiTheme="majorHAnsi"/>
          <w:lang w:val="lv-LV"/>
        </w:rPr>
        <w:t xml:space="preserve">No aptaujas rezultātiem var secināt, ka būvniecības process Latvijā pēc uzņēmēju viedokļa uzlabojas, par ko liecina tas, ka samazinās saskaņošanas laiks, visām procedūrām patērētais laiks, pieaugusi pakalpojumu </w:t>
      </w:r>
      <w:proofErr w:type="spellStart"/>
      <w:r w:rsidRPr="0019406C">
        <w:rPr>
          <w:rFonts w:asciiTheme="majorHAnsi" w:hAnsiTheme="majorHAnsi"/>
          <w:lang w:val="lv-LV"/>
        </w:rPr>
        <w:t>kvalitāteun</w:t>
      </w:r>
      <w:proofErr w:type="spellEnd"/>
      <w:r w:rsidRPr="0019406C">
        <w:rPr>
          <w:rFonts w:asciiTheme="majorHAnsi" w:hAnsiTheme="majorHAnsi"/>
          <w:lang w:val="lv-LV"/>
        </w:rPr>
        <w:t xml:space="preserve"> izmaksas nav pieaugušas. Negatīvu ietekmi ir atstājušas sabiedriskajai apspriešanai nepieciešamo dienu skaits, kas pēc uzņēmēju viedokļa ir krasi pieaudzis, kā arī arvien vairāk piesaistīto ārējo konsultantu skaits, kas var norādīt uz procedūru sarežģītību, </w:t>
      </w:r>
      <w:r w:rsidR="002002D4" w:rsidRPr="0019406C">
        <w:rPr>
          <w:rFonts w:asciiTheme="majorHAnsi" w:hAnsiTheme="majorHAnsi"/>
          <w:lang w:val="lv-LV"/>
        </w:rPr>
        <w:t xml:space="preserve">- </w:t>
      </w:r>
      <w:r w:rsidRPr="0019406C">
        <w:rPr>
          <w:rFonts w:asciiTheme="majorHAnsi" w:hAnsiTheme="majorHAnsi"/>
          <w:lang w:val="lv-LV"/>
        </w:rPr>
        <w:t>to ka uzņēmumi nespēj tās veikt pašu spēkiem</w:t>
      </w:r>
      <w:r w:rsidR="002002D4" w:rsidRPr="0019406C">
        <w:rPr>
          <w:rFonts w:asciiTheme="majorHAnsi" w:hAnsiTheme="majorHAnsi"/>
          <w:lang w:val="lv-LV"/>
        </w:rPr>
        <w:t>, t</w:t>
      </w:r>
      <w:r w:rsidR="00E75397" w:rsidRPr="0019406C">
        <w:rPr>
          <w:rFonts w:asciiTheme="majorHAnsi" w:hAnsiTheme="majorHAnsi"/>
          <w:lang w:val="lv-LV"/>
        </w:rPr>
        <w:t xml:space="preserve">aču </w:t>
      </w:r>
      <w:r w:rsidR="002002D4" w:rsidRPr="0019406C">
        <w:rPr>
          <w:rFonts w:asciiTheme="majorHAnsi" w:hAnsiTheme="majorHAnsi"/>
          <w:lang w:val="lv-LV"/>
        </w:rPr>
        <w:t xml:space="preserve">jāņem vērā arī zemais </w:t>
      </w:r>
      <w:r w:rsidR="00E75397" w:rsidRPr="0019406C">
        <w:rPr>
          <w:rFonts w:asciiTheme="majorHAnsi" w:hAnsiTheme="majorHAnsi"/>
          <w:lang w:val="lv-LV"/>
        </w:rPr>
        <w:t>respondentu skaits (piemēram, par sabiedriskās apspriešanas veikšanu izteikušies bija tikai 9 respondenti)</w:t>
      </w:r>
      <w:r w:rsidR="002002D4" w:rsidRPr="0019406C">
        <w:rPr>
          <w:rFonts w:asciiTheme="majorHAnsi" w:hAnsiTheme="majorHAnsi"/>
          <w:lang w:val="lv-LV"/>
        </w:rPr>
        <w:t>, kas</w:t>
      </w:r>
      <w:r w:rsidR="00E75397" w:rsidRPr="0019406C">
        <w:rPr>
          <w:rFonts w:asciiTheme="majorHAnsi" w:hAnsiTheme="majorHAnsi"/>
          <w:lang w:val="lv-LV"/>
        </w:rPr>
        <w:t xml:space="preserve"> neļauj šos rezultātus vispārināt, un tādējādi nav iespējams izdarīt konkrētus secinājumus. </w:t>
      </w:r>
      <w:r w:rsidR="002002D4" w:rsidRPr="0019406C">
        <w:rPr>
          <w:rFonts w:asciiTheme="majorHAnsi" w:hAnsiTheme="majorHAnsi"/>
          <w:lang w:val="lv-LV"/>
        </w:rPr>
        <w:t xml:space="preserve">Tāpat </w:t>
      </w:r>
      <w:r w:rsidRPr="0019406C">
        <w:rPr>
          <w:rFonts w:asciiTheme="majorHAnsi" w:hAnsiTheme="majorHAnsi"/>
          <w:lang w:val="lv-LV"/>
        </w:rPr>
        <w:t>nav iespējams izvirzīt priekšlikumu samazināt dienu skaitu vai atvieglot procedūru sarežģītību attiecībā uz sabiedrisko apspriešanu</w:t>
      </w:r>
      <w:r w:rsidR="002002D4" w:rsidRPr="0019406C">
        <w:rPr>
          <w:rFonts w:asciiTheme="majorHAnsi" w:hAnsiTheme="majorHAnsi"/>
          <w:lang w:val="lv-LV"/>
        </w:rPr>
        <w:t xml:space="preserve"> (vidējais patērēto dienu skaits - 139 dienas)</w:t>
      </w:r>
      <w:r w:rsidRPr="0019406C">
        <w:rPr>
          <w:rFonts w:asciiTheme="majorHAnsi" w:hAnsiTheme="majorHAnsi"/>
          <w:lang w:val="lv-LV"/>
        </w:rPr>
        <w:t>, nevērtējot to ietekmi pret iespējamiem kvalitātes riskiem.</w:t>
      </w:r>
    </w:p>
    <w:p w:rsidR="008B0142" w:rsidRPr="0019406C" w:rsidRDefault="008B0142" w:rsidP="008B0142">
      <w:pPr>
        <w:pStyle w:val="BodyText"/>
        <w:rPr>
          <w:rFonts w:asciiTheme="majorHAnsi" w:hAnsiTheme="majorHAnsi"/>
          <w:b/>
          <w:sz w:val="22"/>
          <w:lang w:val="lv-LV"/>
        </w:rPr>
      </w:pPr>
      <w:r w:rsidRPr="0019406C">
        <w:rPr>
          <w:rFonts w:asciiTheme="majorHAnsi" w:hAnsiTheme="majorHAnsi"/>
          <w:b/>
          <w:sz w:val="22"/>
          <w:lang w:val="lv-LV"/>
        </w:rPr>
        <w:t>Doing Business</w:t>
      </w:r>
    </w:p>
    <w:p w:rsidR="008B0142" w:rsidRPr="0019406C" w:rsidRDefault="008B0142" w:rsidP="006B022F">
      <w:pPr>
        <w:pStyle w:val="BodyText"/>
        <w:spacing w:line="276" w:lineRule="auto"/>
        <w:jc w:val="both"/>
        <w:rPr>
          <w:rFonts w:asciiTheme="majorHAnsi" w:hAnsiTheme="majorHAnsi"/>
          <w:lang w:val="lv-LV"/>
        </w:rPr>
      </w:pPr>
      <w:r w:rsidRPr="0019406C">
        <w:rPr>
          <w:rFonts w:asciiTheme="majorHAnsi" w:hAnsiTheme="majorHAnsi"/>
          <w:lang w:val="lv-LV"/>
        </w:rPr>
        <w:t>No apskatītajām valstīm Latvija būvniecības jomā atbilstoši 2014.gada DB ziņojumam ir uzrādījusi vislielākās pozitīvās izmaiņas, pakāpjoties par 39 vietām no 118. uz 79. vietu. Situācija ļoti uzlabojusies ir arī Polijā, un tā reitingu tabulā ir pakāpusies par 16 pozīcijām uz 88. vietu. Tomēr Lietuvā, Igaunijā un citās Ziemeļeiropas valstīs šī joma novērtēta ievērojami augstāk, piemēram, Igaunija un Lietuva ir attiecīgi novērtēta 38. un 39.vietā.</w:t>
      </w:r>
    </w:p>
    <w:p w:rsidR="00811CA0" w:rsidRPr="0019406C" w:rsidRDefault="00811CA0" w:rsidP="006B022F">
      <w:pPr>
        <w:pStyle w:val="BodyText"/>
        <w:spacing w:line="276" w:lineRule="auto"/>
        <w:jc w:val="both"/>
        <w:rPr>
          <w:rFonts w:asciiTheme="majorHAnsi" w:hAnsiTheme="majorHAnsi"/>
          <w:lang w:val="lv-LV"/>
        </w:rPr>
      </w:pPr>
    </w:p>
    <w:p w:rsidR="00811CA0" w:rsidRPr="0019406C" w:rsidRDefault="00811CA0" w:rsidP="006B022F">
      <w:pPr>
        <w:pStyle w:val="BodyText"/>
        <w:spacing w:line="276" w:lineRule="auto"/>
        <w:jc w:val="both"/>
        <w:rPr>
          <w:rFonts w:asciiTheme="majorHAnsi" w:hAnsiTheme="majorHAnsi"/>
          <w:lang w:val="lv-LV"/>
        </w:rPr>
      </w:pPr>
    </w:p>
    <w:p w:rsidR="00811CA0" w:rsidRPr="0019406C" w:rsidRDefault="00811CA0" w:rsidP="006B022F">
      <w:pPr>
        <w:pStyle w:val="BodyText"/>
        <w:spacing w:line="276" w:lineRule="auto"/>
        <w:jc w:val="both"/>
        <w:rPr>
          <w:rFonts w:asciiTheme="majorHAnsi" w:hAnsiTheme="majorHAnsi"/>
          <w:lang w:val="lv-LV"/>
        </w:rPr>
      </w:pPr>
    </w:p>
    <w:p w:rsidR="008B0142" w:rsidRPr="0019406C" w:rsidRDefault="000C3914" w:rsidP="00235BE5">
      <w:pPr>
        <w:pStyle w:val="Caption"/>
        <w:keepNext/>
        <w:rPr>
          <w:rFonts w:asciiTheme="majorHAnsi" w:hAnsiTheme="majorHAnsi"/>
          <w:sz w:val="16"/>
          <w:lang w:val="lv-LV"/>
        </w:rPr>
      </w:pPr>
      <w:bookmarkStart w:id="63" w:name="_Toc389225081"/>
      <w:r w:rsidRPr="0019406C">
        <w:rPr>
          <w:rFonts w:asciiTheme="majorHAnsi" w:hAnsiTheme="majorHAnsi"/>
          <w:sz w:val="16"/>
          <w:lang w:val="lv-LV"/>
        </w:rPr>
        <w:t xml:space="preserve">Tabula </w:t>
      </w:r>
      <w:r w:rsidRPr="0019406C">
        <w:rPr>
          <w:rFonts w:asciiTheme="majorHAnsi" w:hAnsiTheme="majorHAnsi"/>
          <w:sz w:val="16"/>
          <w:lang w:val="lv-LV"/>
        </w:rPr>
        <w:fldChar w:fldCharType="begin"/>
      </w:r>
      <w:r w:rsidRPr="0019406C">
        <w:rPr>
          <w:rFonts w:asciiTheme="majorHAnsi" w:hAnsiTheme="majorHAnsi"/>
          <w:sz w:val="16"/>
          <w:lang w:val="lv-LV"/>
        </w:rPr>
        <w:instrText xml:space="preserve"> SEQ Tabula \* ARABIC </w:instrText>
      </w:r>
      <w:r w:rsidRPr="0019406C">
        <w:rPr>
          <w:rFonts w:asciiTheme="majorHAnsi" w:hAnsiTheme="majorHAnsi"/>
          <w:sz w:val="16"/>
          <w:lang w:val="lv-LV"/>
        </w:rPr>
        <w:fldChar w:fldCharType="separate"/>
      </w:r>
      <w:r w:rsidR="00410806" w:rsidRPr="0019406C">
        <w:rPr>
          <w:rFonts w:asciiTheme="majorHAnsi" w:hAnsiTheme="majorHAnsi"/>
          <w:noProof/>
          <w:sz w:val="16"/>
          <w:lang w:val="lv-LV"/>
        </w:rPr>
        <w:t>7</w:t>
      </w:r>
      <w:r w:rsidRPr="0019406C">
        <w:rPr>
          <w:rFonts w:asciiTheme="majorHAnsi" w:hAnsiTheme="majorHAnsi"/>
          <w:sz w:val="16"/>
          <w:lang w:val="lv-LV"/>
        </w:rPr>
        <w:fldChar w:fldCharType="end"/>
      </w:r>
      <w:r w:rsidRPr="0019406C">
        <w:rPr>
          <w:rFonts w:asciiTheme="majorHAnsi" w:hAnsiTheme="majorHAnsi"/>
          <w:sz w:val="16"/>
          <w:lang w:val="lv-LV"/>
        </w:rPr>
        <w:t xml:space="preserve"> „</w:t>
      </w:r>
      <w:proofErr w:type="spellStart"/>
      <w:r w:rsidRPr="0019406C">
        <w:rPr>
          <w:rFonts w:asciiTheme="majorHAnsi" w:hAnsiTheme="majorHAnsi"/>
          <w:sz w:val="16"/>
          <w:lang w:val="lv-LV"/>
        </w:rPr>
        <w:t>Dealing</w:t>
      </w:r>
      <w:proofErr w:type="spellEnd"/>
      <w:r w:rsidRPr="0019406C">
        <w:rPr>
          <w:rFonts w:asciiTheme="majorHAnsi" w:hAnsiTheme="majorHAnsi"/>
          <w:sz w:val="16"/>
          <w:lang w:val="lv-LV"/>
        </w:rPr>
        <w:t xml:space="preserve"> </w:t>
      </w:r>
      <w:proofErr w:type="spellStart"/>
      <w:r w:rsidRPr="0019406C">
        <w:rPr>
          <w:rFonts w:asciiTheme="majorHAnsi" w:hAnsiTheme="majorHAnsi"/>
          <w:sz w:val="16"/>
          <w:lang w:val="lv-LV"/>
        </w:rPr>
        <w:t>with</w:t>
      </w:r>
      <w:proofErr w:type="spellEnd"/>
      <w:r w:rsidRPr="0019406C">
        <w:rPr>
          <w:rFonts w:asciiTheme="majorHAnsi" w:hAnsiTheme="majorHAnsi"/>
          <w:sz w:val="16"/>
          <w:lang w:val="lv-LV"/>
        </w:rPr>
        <w:t xml:space="preserve"> </w:t>
      </w:r>
      <w:proofErr w:type="spellStart"/>
      <w:r w:rsidRPr="0019406C">
        <w:rPr>
          <w:rFonts w:asciiTheme="majorHAnsi" w:hAnsiTheme="majorHAnsi"/>
          <w:sz w:val="16"/>
          <w:lang w:val="lv-LV"/>
        </w:rPr>
        <w:t>construction</w:t>
      </w:r>
      <w:proofErr w:type="spellEnd"/>
      <w:r w:rsidRPr="0019406C">
        <w:rPr>
          <w:rFonts w:asciiTheme="majorHAnsi" w:hAnsiTheme="majorHAnsi"/>
          <w:sz w:val="16"/>
          <w:lang w:val="lv-LV"/>
        </w:rPr>
        <w:t xml:space="preserve"> </w:t>
      </w:r>
      <w:proofErr w:type="spellStart"/>
      <w:r w:rsidRPr="0019406C">
        <w:rPr>
          <w:rFonts w:asciiTheme="majorHAnsi" w:hAnsiTheme="majorHAnsi"/>
          <w:sz w:val="16"/>
          <w:lang w:val="lv-LV"/>
        </w:rPr>
        <w:t>permits</w:t>
      </w:r>
      <w:proofErr w:type="spellEnd"/>
      <w:r w:rsidRPr="0019406C">
        <w:rPr>
          <w:rFonts w:asciiTheme="majorHAnsi" w:hAnsiTheme="majorHAnsi"/>
          <w:sz w:val="16"/>
          <w:lang w:val="lv-LV"/>
        </w:rPr>
        <w:t>”, būvniecības procesa uzsākšanas indekss</w:t>
      </w:r>
      <w:bookmarkEnd w:id="63"/>
    </w:p>
    <w:tbl>
      <w:tblPr>
        <w:tblStyle w:val="LightList-Accent11"/>
        <w:tblW w:w="5000" w:type="pct"/>
        <w:tblLook w:val="00A0" w:firstRow="1" w:lastRow="0" w:firstColumn="1" w:lastColumn="0" w:noHBand="0" w:noVBand="0"/>
      </w:tblPr>
      <w:tblGrid>
        <w:gridCol w:w="1314"/>
        <w:gridCol w:w="1115"/>
        <w:gridCol w:w="1115"/>
        <w:gridCol w:w="1169"/>
        <w:gridCol w:w="5367"/>
      </w:tblGrid>
      <w:tr w:rsidR="008B0142" w:rsidRPr="0019406C" w:rsidTr="008B0142">
        <w:trPr>
          <w:cnfStyle w:val="100000000000" w:firstRow="1" w:lastRow="0" w:firstColumn="0" w:lastColumn="0" w:oddVBand="0" w:evenVBand="0" w:oddHBand="0" w:evenHBand="0" w:firstRowFirstColumn="0" w:firstRowLastColumn="0" w:lastRowFirstColumn="0" w:lastRowLastColumn="0"/>
          <w:trHeight w:val="190"/>
        </w:trPr>
        <w:tc>
          <w:tcPr>
            <w:cnfStyle w:val="001000000000" w:firstRow="0" w:lastRow="0" w:firstColumn="1" w:lastColumn="0" w:oddVBand="0" w:evenVBand="0" w:oddHBand="0" w:evenHBand="0" w:firstRowFirstColumn="0" w:firstRowLastColumn="0" w:lastRowFirstColumn="0" w:lastRowLastColumn="0"/>
            <w:tcW w:w="652" w:type="pct"/>
            <w:vAlign w:val="center"/>
          </w:tcPr>
          <w:p w:rsidR="008B0142" w:rsidRPr="0019406C" w:rsidRDefault="008B0142" w:rsidP="008B0142">
            <w:pPr>
              <w:rPr>
                <w:rFonts w:asciiTheme="majorHAnsi" w:eastAsia="Cambria" w:hAnsiTheme="majorHAnsi" w:cs="Times New Roman"/>
                <w:lang w:val="lv-LV"/>
              </w:rPr>
            </w:pPr>
            <w:r w:rsidRPr="0019406C">
              <w:rPr>
                <w:rFonts w:asciiTheme="majorHAnsi" w:eastAsia="Cambria" w:hAnsiTheme="majorHAnsi" w:cs="Times New Roman"/>
                <w:lang w:val="lv-LV"/>
              </w:rPr>
              <w:t>Valsts</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8B0142" w:rsidRPr="0019406C" w:rsidRDefault="008B0142" w:rsidP="008B0142">
            <w:pPr>
              <w:jc w:val="center"/>
              <w:rPr>
                <w:rFonts w:asciiTheme="majorHAnsi" w:eastAsia="Cambria" w:hAnsiTheme="majorHAnsi" w:cs="Times New Roman"/>
                <w:lang w:val="lv-LV"/>
              </w:rPr>
            </w:pPr>
            <w:r w:rsidRPr="0019406C">
              <w:rPr>
                <w:rFonts w:asciiTheme="majorHAnsi" w:eastAsia="Cambria" w:hAnsiTheme="majorHAnsi" w:cs="Times New Roman"/>
                <w:lang w:val="lv-LV"/>
              </w:rPr>
              <w:t>2013</w:t>
            </w:r>
          </w:p>
        </w:tc>
        <w:tc>
          <w:tcPr>
            <w:tcW w:w="553" w:type="pct"/>
            <w:vAlign w:val="center"/>
          </w:tcPr>
          <w:p w:rsidR="008B0142" w:rsidRPr="0019406C" w:rsidRDefault="008B0142" w:rsidP="008B0142">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2014</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8B0142" w:rsidRPr="0019406C" w:rsidRDefault="008B0142" w:rsidP="008B0142">
            <w:pPr>
              <w:jc w:val="center"/>
              <w:rPr>
                <w:rFonts w:asciiTheme="majorHAnsi" w:eastAsia="Cambria" w:hAnsiTheme="majorHAnsi" w:cs="Times New Roman"/>
                <w:lang w:val="lv-LV"/>
              </w:rPr>
            </w:pPr>
            <w:r w:rsidRPr="0019406C">
              <w:rPr>
                <w:rFonts w:asciiTheme="majorHAnsi" w:eastAsia="Cambria" w:hAnsiTheme="majorHAnsi" w:cs="Times New Roman"/>
                <w:lang w:val="lv-LV"/>
              </w:rPr>
              <w:t>Izmaiņas</w:t>
            </w:r>
          </w:p>
        </w:tc>
        <w:tc>
          <w:tcPr>
            <w:tcW w:w="2662" w:type="pct"/>
          </w:tcPr>
          <w:p w:rsidR="008B0142" w:rsidRPr="0019406C" w:rsidRDefault="00A4401C" w:rsidP="00A4401C">
            <w:pPr>
              <w:tabs>
                <w:tab w:val="left" w:pos="1993"/>
                <w:tab w:val="center" w:pos="2455"/>
              </w:tabs>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Veiktās reformas</w:t>
            </w:r>
            <w:r w:rsidRPr="0019406C">
              <w:rPr>
                <w:rFonts w:asciiTheme="majorHAnsi" w:eastAsia="Cambria" w:hAnsiTheme="majorHAnsi" w:cs="Times New Roman"/>
                <w:lang w:val="lv-LV"/>
              </w:rPr>
              <w:tab/>
            </w:r>
          </w:p>
        </w:tc>
      </w:tr>
      <w:tr w:rsidR="008B0142" w:rsidRPr="00BB0049" w:rsidTr="008B0142">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8B0142" w:rsidRPr="0019406C" w:rsidRDefault="008B0142" w:rsidP="008B0142">
            <w:pPr>
              <w:rPr>
                <w:rFonts w:asciiTheme="majorHAnsi" w:hAnsiTheme="majorHAnsi"/>
                <w:b w:val="0"/>
                <w:lang w:val="lv-LV"/>
              </w:rPr>
            </w:pPr>
            <w:r w:rsidRPr="0019406C">
              <w:rPr>
                <w:rFonts w:asciiTheme="majorHAnsi" w:hAnsiTheme="majorHAnsi"/>
                <w:b w:val="0"/>
                <w:lang w:val="lv-LV"/>
              </w:rPr>
              <w:t>Dānija</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8B0142" w:rsidRPr="0019406C" w:rsidRDefault="008B0142" w:rsidP="008B0142">
            <w:pPr>
              <w:jc w:val="center"/>
              <w:rPr>
                <w:rFonts w:asciiTheme="majorHAnsi" w:eastAsia="Cambria" w:hAnsiTheme="majorHAnsi" w:cs="Times New Roman"/>
                <w:lang w:val="lv-LV"/>
              </w:rPr>
            </w:pPr>
            <w:r w:rsidRPr="0019406C">
              <w:rPr>
                <w:rFonts w:asciiTheme="majorHAnsi" w:eastAsia="Cambria" w:hAnsiTheme="majorHAnsi" w:cs="Times New Roman"/>
                <w:lang w:val="lv-LV"/>
              </w:rPr>
              <w:t>7</w:t>
            </w:r>
          </w:p>
        </w:tc>
        <w:tc>
          <w:tcPr>
            <w:tcW w:w="553" w:type="pct"/>
            <w:vAlign w:val="center"/>
          </w:tcPr>
          <w:p w:rsidR="008B0142" w:rsidRPr="0019406C" w:rsidRDefault="008B0142" w:rsidP="008B0142">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8</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8B0142" w:rsidRPr="0019406C" w:rsidRDefault="008B0142" w:rsidP="008B0142">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-1</w:t>
            </w:r>
          </w:p>
        </w:tc>
        <w:tc>
          <w:tcPr>
            <w:tcW w:w="2662" w:type="pct"/>
          </w:tcPr>
          <w:p w:rsidR="008B0142" w:rsidRPr="0019406C" w:rsidRDefault="008B0142" w:rsidP="008B0142">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Paaugstināta samaksa par būvatļauju iegūšanu.</w:t>
            </w:r>
          </w:p>
        </w:tc>
      </w:tr>
      <w:tr w:rsidR="008B0142" w:rsidRPr="0019406C" w:rsidTr="008B0142">
        <w:trPr>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8B0142" w:rsidRPr="0019406C" w:rsidRDefault="008B0142" w:rsidP="008B0142">
            <w:pPr>
              <w:rPr>
                <w:rFonts w:asciiTheme="majorHAnsi" w:hAnsiTheme="majorHAnsi"/>
                <w:b w:val="0"/>
                <w:lang w:val="lv-LV"/>
              </w:rPr>
            </w:pPr>
            <w:r w:rsidRPr="0019406C">
              <w:rPr>
                <w:rFonts w:asciiTheme="majorHAnsi" w:hAnsiTheme="majorHAnsi"/>
                <w:b w:val="0"/>
                <w:lang w:val="lv-LV"/>
              </w:rPr>
              <w:t>Zviedrija</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8B0142" w:rsidRPr="0019406C" w:rsidRDefault="008B0142" w:rsidP="008B0142">
            <w:pPr>
              <w:jc w:val="center"/>
              <w:rPr>
                <w:rFonts w:asciiTheme="majorHAnsi" w:eastAsia="Cambria" w:hAnsiTheme="majorHAnsi" w:cs="Times New Roman"/>
                <w:lang w:val="lv-LV"/>
              </w:rPr>
            </w:pPr>
            <w:r w:rsidRPr="0019406C">
              <w:rPr>
                <w:rFonts w:asciiTheme="majorHAnsi" w:eastAsia="Cambria" w:hAnsiTheme="majorHAnsi" w:cs="Times New Roman"/>
                <w:lang w:val="lv-LV"/>
              </w:rPr>
              <w:t>24</w:t>
            </w:r>
          </w:p>
        </w:tc>
        <w:tc>
          <w:tcPr>
            <w:tcW w:w="553" w:type="pct"/>
            <w:vAlign w:val="center"/>
          </w:tcPr>
          <w:p w:rsidR="008B0142" w:rsidRPr="0019406C" w:rsidRDefault="008B0142" w:rsidP="008B0142">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24</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8B0142" w:rsidRPr="0019406C" w:rsidRDefault="008B0142" w:rsidP="008B0142">
            <w:pPr>
              <w:jc w:val="center"/>
              <w:rPr>
                <w:rFonts w:asciiTheme="majorHAnsi" w:eastAsia="Cambria" w:hAnsiTheme="majorHAnsi" w:cs="Times New Roman"/>
                <w:b/>
                <w:lang w:val="lv-LV"/>
              </w:rPr>
            </w:pPr>
            <w:r w:rsidRPr="0019406C">
              <w:rPr>
                <w:rFonts w:asciiTheme="majorHAnsi" w:eastAsia="Cambria" w:hAnsiTheme="majorHAnsi" w:cs="Times New Roman"/>
                <w:b/>
                <w:lang w:val="lv-LV"/>
              </w:rPr>
              <w:t>-</w:t>
            </w:r>
          </w:p>
        </w:tc>
        <w:tc>
          <w:tcPr>
            <w:tcW w:w="2662" w:type="pct"/>
          </w:tcPr>
          <w:p w:rsidR="008B0142" w:rsidRPr="0019406C" w:rsidRDefault="008B0142" w:rsidP="008B0142">
            <w:pPr>
              <w:tabs>
                <w:tab w:val="left" w:pos="1815"/>
              </w:tabs>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8B0142" w:rsidRPr="00BB0049" w:rsidTr="008B0142">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8B0142" w:rsidRPr="0019406C" w:rsidRDefault="008B0142" w:rsidP="008B0142">
            <w:pPr>
              <w:rPr>
                <w:rFonts w:asciiTheme="majorHAnsi" w:hAnsiTheme="majorHAnsi"/>
                <w:b w:val="0"/>
                <w:lang w:val="lv-LV"/>
              </w:rPr>
            </w:pPr>
            <w:r w:rsidRPr="0019406C">
              <w:rPr>
                <w:rFonts w:asciiTheme="majorHAnsi" w:hAnsiTheme="majorHAnsi"/>
                <w:b w:val="0"/>
                <w:lang w:val="lv-LV"/>
              </w:rPr>
              <w:t>Lielbritānija</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8B0142" w:rsidRPr="0019406C" w:rsidRDefault="008B0142" w:rsidP="008B0142">
            <w:pPr>
              <w:jc w:val="center"/>
              <w:rPr>
                <w:rFonts w:asciiTheme="majorHAnsi" w:eastAsia="Cambria" w:hAnsiTheme="majorHAnsi" w:cs="Times New Roman"/>
                <w:lang w:val="lv-LV"/>
              </w:rPr>
            </w:pPr>
            <w:r w:rsidRPr="0019406C">
              <w:rPr>
                <w:rFonts w:asciiTheme="majorHAnsi" w:eastAsia="Cambria" w:hAnsiTheme="majorHAnsi" w:cs="Times New Roman"/>
                <w:lang w:val="lv-LV"/>
              </w:rPr>
              <w:t>26</w:t>
            </w:r>
          </w:p>
        </w:tc>
        <w:tc>
          <w:tcPr>
            <w:tcW w:w="553" w:type="pct"/>
            <w:vAlign w:val="center"/>
          </w:tcPr>
          <w:p w:rsidR="008B0142" w:rsidRPr="0019406C" w:rsidRDefault="008B0142" w:rsidP="008B0142">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27</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8B0142" w:rsidRPr="0019406C" w:rsidRDefault="008B0142" w:rsidP="008B0142">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w:t>
            </w:r>
          </w:p>
        </w:tc>
        <w:tc>
          <w:tcPr>
            <w:tcW w:w="2662" w:type="pct"/>
          </w:tcPr>
          <w:p w:rsidR="008B0142" w:rsidRPr="0019406C" w:rsidRDefault="008B0142" w:rsidP="008B0142">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 xml:space="preserve">Uzlabota efektivitāte plānošanas atļauju izsniegšanā. </w:t>
            </w:r>
          </w:p>
        </w:tc>
      </w:tr>
      <w:tr w:rsidR="008B0142" w:rsidRPr="0019406C" w:rsidTr="008B0142">
        <w:trPr>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8B0142" w:rsidRPr="0019406C" w:rsidRDefault="008B0142" w:rsidP="008B0142">
            <w:pPr>
              <w:rPr>
                <w:rFonts w:asciiTheme="majorHAnsi" w:hAnsiTheme="majorHAnsi"/>
                <w:b w:val="0"/>
                <w:lang w:val="lv-LV"/>
              </w:rPr>
            </w:pPr>
            <w:r w:rsidRPr="0019406C">
              <w:rPr>
                <w:rFonts w:asciiTheme="majorHAnsi" w:hAnsiTheme="majorHAnsi"/>
                <w:b w:val="0"/>
                <w:lang w:val="lv-LV"/>
              </w:rPr>
              <w:lastRenderedPageBreak/>
              <w:t>Somija</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8B0142" w:rsidRPr="0019406C" w:rsidRDefault="008B0142" w:rsidP="008B0142">
            <w:pPr>
              <w:jc w:val="center"/>
              <w:rPr>
                <w:rFonts w:asciiTheme="majorHAnsi" w:eastAsia="Cambria" w:hAnsiTheme="majorHAnsi" w:cs="Times New Roman"/>
                <w:lang w:val="lv-LV"/>
              </w:rPr>
            </w:pPr>
            <w:r w:rsidRPr="0019406C">
              <w:rPr>
                <w:rFonts w:asciiTheme="majorHAnsi" w:eastAsia="Cambria" w:hAnsiTheme="majorHAnsi" w:cs="Times New Roman"/>
                <w:lang w:val="lv-LV"/>
              </w:rPr>
              <w:t>34</w:t>
            </w:r>
          </w:p>
        </w:tc>
        <w:tc>
          <w:tcPr>
            <w:tcW w:w="553" w:type="pct"/>
            <w:vAlign w:val="center"/>
          </w:tcPr>
          <w:p w:rsidR="008B0142" w:rsidRPr="0019406C" w:rsidRDefault="008B0142" w:rsidP="008B0142">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36</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8B0142" w:rsidRPr="0019406C" w:rsidRDefault="008B0142" w:rsidP="008B0142">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-2</w:t>
            </w:r>
          </w:p>
        </w:tc>
        <w:tc>
          <w:tcPr>
            <w:tcW w:w="2662" w:type="pct"/>
          </w:tcPr>
          <w:p w:rsidR="008B0142" w:rsidRPr="0019406C" w:rsidRDefault="008B0142" w:rsidP="008B0142">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8B0142" w:rsidRPr="0019406C" w:rsidTr="008B0142">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652" w:type="pct"/>
            <w:vAlign w:val="center"/>
          </w:tcPr>
          <w:p w:rsidR="008B0142" w:rsidRPr="0019406C" w:rsidRDefault="008B0142" w:rsidP="008B0142">
            <w:pPr>
              <w:rPr>
                <w:rFonts w:asciiTheme="majorHAnsi" w:eastAsia="Cambria" w:hAnsiTheme="majorHAnsi" w:cs="Times New Roman"/>
                <w:b w:val="0"/>
                <w:lang w:val="lv-LV"/>
              </w:rPr>
            </w:pPr>
            <w:r w:rsidRPr="0019406C">
              <w:rPr>
                <w:rFonts w:asciiTheme="majorHAnsi" w:hAnsiTheme="majorHAnsi"/>
                <w:b w:val="0"/>
                <w:lang w:val="lv-LV"/>
              </w:rPr>
              <w:t>Igaunija</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8B0142" w:rsidRPr="0019406C" w:rsidRDefault="008B0142" w:rsidP="008B0142">
            <w:pPr>
              <w:jc w:val="center"/>
              <w:rPr>
                <w:rFonts w:asciiTheme="majorHAnsi" w:eastAsia="Cambria" w:hAnsiTheme="majorHAnsi" w:cs="Times New Roman"/>
                <w:lang w:val="lv-LV"/>
              </w:rPr>
            </w:pPr>
            <w:r w:rsidRPr="0019406C">
              <w:rPr>
                <w:rFonts w:asciiTheme="majorHAnsi" w:eastAsia="Cambria" w:hAnsiTheme="majorHAnsi" w:cs="Times New Roman"/>
                <w:lang w:val="lv-LV"/>
              </w:rPr>
              <w:t>38</w:t>
            </w:r>
          </w:p>
        </w:tc>
        <w:tc>
          <w:tcPr>
            <w:tcW w:w="553" w:type="pct"/>
            <w:vAlign w:val="center"/>
          </w:tcPr>
          <w:p w:rsidR="008B0142" w:rsidRPr="0019406C" w:rsidRDefault="008B0142" w:rsidP="008B0142">
            <w:pPr>
              <w:ind w:left="360"/>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lang w:val="lv-LV"/>
              </w:rPr>
            </w:pPr>
            <w:r w:rsidRPr="0019406C">
              <w:rPr>
                <w:rFonts w:asciiTheme="majorHAnsi" w:eastAsia="Cambria" w:hAnsiTheme="majorHAnsi"/>
                <w:lang w:val="lv-LV"/>
              </w:rPr>
              <w:t>38</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8B0142" w:rsidRPr="0019406C" w:rsidRDefault="008B0142" w:rsidP="008B0142">
            <w:pPr>
              <w:jc w:val="center"/>
              <w:rPr>
                <w:rFonts w:asciiTheme="majorHAnsi" w:eastAsia="Cambria" w:hAnsiTheme="majorHAnsi" w:cs="Times New Roman"/>
                <w:b/>
                <w:lang w:val="lv-LV"/>
              </w:rPr>
            </w:pPr>
            <w:r w:rsidRPr="0019406C">
              <w:rPr>
                <w:rFonts w:asciiTheme="majorHAnsi" w:eastAsia="Cambria" w:hAnsiTheme="majorHAnsi" w:cs="Times New Roman"/>
                <w:b/>
                <w:lang w:val="lv-LV"/>
              </w:rPr>
              <w:t>-</w:t>
            </w:r>
          </w:p>
        </w:tc>
        <w:tc>
          <w:tcPr>
            <w:tcW w:w="2662" w:type="pct"/>
          </w:tcPr>
          <w:p w:rsidR="008B0142" w:rsidRPr="0019406C" w:rsidRDefault="008B0142" w:rsidP="008B0142">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8B0142" w:rsidRPr="0019406C" w:rsidTr="008B0142">
        <w:trPr>
          <w:trHeight w:val="270"/>
        </w:trPr>
        <w:tc>
          <w:tcPr>
            <w:cnfStyle w:val="001000000000" w:firstRow="0" w:lastRow="0" w:firstColumn="1" w:lastColumn="0" w:oddVBand="0" w:evenVBand="0" w:oddHBand="0" w:evenHBand="0" w:firstRowFirstColumn="0" w:firstRowLastColumn="0" w:lastRowFirstColumn="0" w:lastRowLastColumn="0"/>
            <w:tcW w:w="652" w:type="pct"/>
            <w:vAlign w:val="center"/>
          </w:tcPr>
          <w:p w:rsidR="008B0142" w:rsidRPr="0019406C" w:rsidRDefault="008B0142" w:rsidP="008B0142">
            <w:pPr>
              <w:rPr>
                <w:rFonts w:asciiTheme="majorHAnsi" w:eastAsia="Cambria" w:hAnsiTheme="majorHAnsi" w:cs="Times New Roman"/>
                <w:b w:val="0"/>
                <w:lang w:val="lv-LV"/>
              </w:rPr>
            </w:pPr>
            <w:r w:rsidRPr="0019406C">
              <w:rPr>
                <w:rFonts w:asciiTheme="majorHAnsi" w:hAnsiTheme="majorHAnsi"/>
                <w:b w:val="0"/>
                <w:lang w:val="lv-LV"/>
              </w:rPr>
              <w:t xml:space="preserve">Lietuva </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8B0142" w:rsidRPr="0019406C" w:rsidRDefault="008B0142" w:rsidP="008B0142">
            <w:pPr>
              <w:jc w:val="center"/>
              <w:rPr>
                <w:rFonts w:asciiTheme="majorHAnsi" w:eastAsia="Cambria" w:hAnsiTheme="majorHAnsi" w:cs="Times New Roman"/>
                <w:lang w:val="lv-LV"/>
              </w:rPr>
            </w:pPr>
            <w:r w:rsidRPr="0019406C">
              <w:rPr>
                <w:rFonts w:asciiTheme="majorHAnsi" w:eastAsia="Cambria" w:hAnsiTheme="majorHAnsi" w:cs="Times New Roman"/>
                <w:lang w:val="lv-LV"/>
              </w:rPr>
              <w:t>39</w:t>
            </w:r>
          </w:p>
        </w:tc>
        <w:tc>
          <w:tcPr>
            <w:tcW w:w="553" w:type="pct"/>
            <w:vAlign w:val="center"/>
          </w:tcPr>
          <w:p w:rsidR="008B0142" w:rsidRPr="0019406C" w:rsidRDefault="008B0142" w:rsidP="008B0142">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39</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8B0142" w:rsidRPr="0019406C" w:rsidRDefault="008B0142" w:rsidP="008B0142">
            <w:pPr>
              <w:jc w:val="center"/>
              <w:rPr>
                <w:rFonts w:asciiTheme="majorHAnsi" w:eastAsia="Cambria" w:hAnsiTheme="majorHAnsi" w:cs="Times New Roman"/>
                <w:b/>
                <w:lang w:val="lv-LV"/>
              </w:rPr>
            </w:pPr>
            <w:r w:rsidRPr="0019406C">
              <w:rPr>
                <w:rFonts w:asciiTheme="majorHAnsi" w:eastAsia="Cambria" w:hAnsiTheme="majorHAnsi" w:cs="Times New Roman"/>
                <w:b/>
                <w:lang w:val="lv-LV"/>
              </w:rPr>
              <w:t>-</w:t>
            </w:r>
          </w:p>
        </w:tc>
        <w:tc>
          <w:tcPr>
            <w:tcW w:w="2662" w:type="pct"/>
          </w:tcPr>
          <w:p w:rsidR="008B0142" w:rsidRPr="0019406C" w:rsidRDefault="008B0142" w:rsidP="008B0142">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8B0142" w:rsidRPr="00BB0049" w:rsidTr="008B0142">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652" w:type="pct"/>
            <w:shd w:val="clear" w:color="auto" w:fill="FFE199" w:themeFill="accent2" w:themeFillTint="66"/>
            <w:vAlign w:val="center"/>
          </w:tcPr>
          <w:p w:rsidR="008B0142" w:rsidRPr="0019406C" w:rsidRDefault="008B0142" w:rsidP="008B0142">
            <w:pPr>
              <w:rPr>
                <w:rFonts w:asciiTheme="majorHAnsi" w:eastAsia="Cambria" w:hAnsiTheme="majorHAnsi" w:cs="Times New Roman"/>
                <w:b w:val="0"/>
                <w:lang w:val="lv-LV"/>
              </w:rPr>
            </w:pPr>
            <w:r w:rsidRPr="0019406C">
              <w:rPr>
                <w:rFonts w:asciiTheme="majorHAnsi" w:eastAsia="Cambria" w:hAnsiTheme="majorHAnsi" w:cs="Times New Roman"/>
                <w:b w:val="0"/>
                <w:lang w:val="lv-LV"/>
              </w:rPr>
              <w:t>Latvija</w:t>
            </w:r>
          </w:p>
        </w:tc>
        <w:tc>
          <w:tcPr>
            <w:cnfStyle w:val="000010000000" w:firstRow="0" w:lastRow="0" w:firstColumn="0" w:lastColumn="0" w:oddVBand="1" w:evenVBand="0" w:oddHBand="0" w:evenHBand="0" w:firstRowFirstColumn="0" w:firstRowLastColumn="0" w:lastRowFirstColumn="0" w:lastRowLastColumn="0"/>
            <w:tcW w:w="553" w:type="pct"/>
            <w:shd w:val="clear" w:color="auto" w:fill="FFE199" w:themeFill="accent2" w:themeFillTint="66"/>
            <w:vAlign w:val="center"/>
          </w:tcPr>
          <w:p w:rsidR="008B0142" w:rsidRPr="0019406C" w:rsidRDefault="008B0142" w:rsidP="008B0142">
            <w:pPr>
              <w:jc w:val="center"/>
              <w:rPr>
                <w:rFonts w:asciiTheme="majorHAnsi" w:eastAsia="Cambria" w:hAnsiTheme="majorHAnsi" w:cs="Times New Roman"/>
                <w:lang w:val="lv-LV"/>
              </w:rPr>
            </w:pPr>
            <w:r w:rsidRPr="0019406C">
              <w:rPr>
                <w:rFonts w:asciiTheme="majorHAnsi" w:eastAsia="Cambria" w:hAnsiTheme="majorHAnsi" w:cs="Times New Roman"/>
                <w:lang w:val="lv-LV"/>
              </w:rPr>
              <w:t>118</w:t>
            </w:r>
          </w:p>
        </w:tc>
        <w:tc>
          <w:tcPr>
            <w:tcW w:w="553" w:type="pct"/>
            <w:shd w:val="clear" w:color="auto" w:fill="FFE199" w:themeFill="accent2" w:themeFillTint="66"/>
            <w:vAlign w:val="center"/>
          </w:tcPr>
          <w:p w:rsidR="008B0142" w:rsidRPr="0019406C" w:rsidRDefault="008B0142" w:rsidP="008B0142">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79</w:t>
            </w:r>
          </w:p>
        </w:tc>
        <w:tc>
          <w:tcPr>
            <w:cnfStyle w:val="000010000000" w:firstRow="0" w:lastRow="0" w:firstColumn="0" w:lastColumn="0" w:oddVBand="1" w:evenVBand="0" w:oddHBand="0" w:evenHBand="0" w:firstRowFirstColumn="0" w:firstRowLastColumn="0" w:lastRowFirstColumn="0" w:lastRowLastColumn="0"/>
            <w:tcW w:w="580" w:type="pct"/>
            <w:shd w:val="clear" w:color="auto" w:fill="FFE199" w:themeFill="accent2" w:themeFillTint="66"/>
            <w:vAlign w:val="center"/>
          </w:tcPr>
          <w:p w:rsidR="008B0142" w:rsidRPr="0019406C" w:rsidRDefault="008B0142" w:rsidP="008B0142">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39</w:t>
            </w:r>
          </w:p>
        </w:tc>
        <w:tc>
          <w:tcPr>
            <w:tcW w:w="2662" w:type="pct"/>
            <w:shd w:val="clear" w:color="auto" w:fill="FFE199" w:themeFill="accent2" w:themeFillTint="66"/>
          </w:tcPr>
          <w:p w:rsidR="008B0142" w:rsidRPr="0019406C" w:rsidRDefault="008B0142" w:rsidP="008B0142">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Jauni termiņi būvatļauju izsniegšanai. Likvidēta Sabiedrības veselības aģentūras loma būvatļauju apstiprināšanā un pārbaužu veikšanā.</w:t>
            </w:r>
          </w:p>
        </w:tc>
      </w:tr>
      <w:tr w:rsidR="008B0142" w:rsidRPr="0019406C" w:rsidTr="008B0142">
        <w:trPr>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8B0142" w:rsidRPr="0019406C" w:rsidRDefault="008B0142" w:rsidP="008B0142">
            <w:pPr>
              <w:rPr>
                <w:rFonts w:asciiTheme="majorHAnsi" w:hAnsiTheme="majorHAnsi"/>
                <w:b w:val="0"/>
                <w:lang w:val="lv-LV"/>
              </w:rPr>
            </w:pPr>
            <w:r w:rsidRPr="0019406C">
              <w:rPr>
                <w:rFonts w:asciiTheme="majorHAnsi" w:hAnsiTheme="majorHAnsi"/>
                <w:b w:val="0"/>
                <w:lang w:val="lv-LV"/>
              </w:rPr>
              <w:t>Čehija</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8B0142" w:rsidRPr="0019406C" w:rsidRDefault="008B0142" w:rsidP="008B0142">
            <w:pPr>
              <w:jc w:val="center"/>
              <w:rPr>
                <w:rFonts w:asciiTheme="majorHAnsi" w:eastAsia="Cambria" w:hAnsiTheme="majorHAnsi" w:cs="Times New Roman"/>
                <w:lang w:val="lv-LV"/>
              </w:rPr>
            </w:pPr>
            <w:r w:rsidRPr="0019406C">
              <w:rPr>
                <w:rFonts w:asciiTheme="majorHAnsi" w:eastAsia="Cambria" w:hAnsiTheme="majorHAnsi" w:cs="Times New Roman"/>
                <w:lang w:val="lv-LV"/>
              </w:rPr>
              <w:t>82</w:t>
            </w:r>
          </w:p>
        </w:tc>
        <w:tc>
          <w:tcPr>
            <w:tcW w:w="553" w:type="pct"/>
            <w:vAlign w:val="center"/>
          </w:tcPr>
          <w:p w:rsidR="008B0142" w:rsidRPr="0019406C" w:rsidRDefault="008B0142" w:rsidP="008B0142">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86</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8B0142" w:rsidRPr="0019406C" w:rsidRDefault="008B0142" w:rsidP="008B0142">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-4</w:t>
            </w:r>
          </w:p>
        </w:tc>
        <w:tc>
          <w:tcPr>
            <w:tcW w:w="2662" w:type="pct"/>
          </w:tcPr>
          <w:p w:rsidR="008B0142" w:rsidRPr="0019406C" w:rsidRDefault="008B0142" w:rsidP="008B0142">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8B0142" w:rsidRPr="0019406C" w:rsidTr="008B0142">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8B0142" w:rsidRPr="0019406C" w:rsidRDefault="008B0142" w:rsidP="008B0142">
            <w:pPr>
              <w:rPr>
                <w:rFonts w:asciiTheme="majorHAnsi" w:eastAsia="Cambria" w:hAnsiTheme="majorHAnsi" w:cs="Times New Roman"/>
                <w:b w:val="0"/>
                <w:lang w:val="lv-LV"/>
              </w:rPr>
            </w:pPr>
            <w:r w:rsidRPr="0019406C">
              <w:rPr>
                <w:rFonts w:asciiTheme="majorHAnsi" w:hAnsiTheme="majorHAnsi"/>
                <w:b w:val="0"/>
                <w:lang w:val="lv-LV"/>
              </w:rPr>
              <w:t>Polija</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8B0142" w:rsidRPr="0019406C" w:rsidRDefault="008B0142" w:rsidP="008B0142">
            <w:pPr>
              <w:jc w:val="center"/>
              <w:rPr>
                <w:rFonts w:asciiTheme="majorHAnsi" w:eastAsia="Cambria" w:hAnsiTheme="majorHAnsi" w:cs="Times New Roman"/>
                <w:lang w:val="lv-LV"/>
              </w:rPr>
            </w:pPr>
            <w:r w:rsidRPr="0019406C">
              <w:rPr>
                <w:rFonts w:asciiTheme="majorHAnsi" w:eastAsia="Cambria" w:hAnsiTheme="majorHAnsi" w:cs="Times New Roman"/>
                <w:lang w:val="lv-LV"/>
              </w:rPr>
              <w:t>104</w:t>
            </w:r>
          </w:p>
        </w:tc>
        <w:tc>
          <w:tcPr>
            <w:tcW w:w="553" w:type="pct"/>
            <w:vAlign w:val="center"/>
          </w:tcPr>
          <w:p w:rsidR="008B0142" w:rsidRPr="0019406C" w:rsidRDefault="008B0142" w:rsidP="008B0142">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88</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8B0142" w:rsidRPr="0019406C" w:rsidRDefault="008B0142" w:rsidP="008B0142">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16</w:t>
            </w:r>
          </w:p>
        </w:tc>
        <w:tc>
          <w:tcPr>
            <w:tcW w:w="2662" w:type="pct"/>
          </w:tcPr>
          <w:p w:rsidR="008B0142" w:rsidRPr="0019406C" w:rsidRDefault="008B0142" w:rsidP="008B0142">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 xml:space="preserve">Atcelta prasība par zemes </w:t>
            </w:r>
            <w:proofErr w:type="spellStart"/>
            <w:r w:rsidRPr="0019406C">
              <w:rPr>
                <w:rFonts w:asciiTheme="majorHAnsi" w:eastAsia="Cambria" w:hAnsiTheme="majorHAnsi" w:cs="Times New Roman"/>
                <w:lang w:val="lv-LV"/>
              </w:rPr>
              <w:t>ģeotehnisko</w:t>
            </w:r>
            <w:proofErr w:type="spellEnd"/>
            <w:r w:rsidRPr="0019406C">
              <w:rPr>
                <w:rFonts w:asciiTheme="majorHAnsi" w:eastAsia="Cambria" w:hAnsiTheme="majorHAnsi" w:cs="Times New Roman"/>
                <w:lang w:val="lv-LV"/>
              </w:rPr>
              <w:t xml:space="preserve"> dokumentāciju.</w:t>
            </w:r>
          </w:p>
        </w:tc>
      </w:tr>
    </w:tbl>
    <w:p w:rsidR="008B0142" w:rsidRPr="0019406C" w:rsidRDefault="008B0142" w:rsidP="008B0142">
      <w:pPr>
        <w:pStyle w:val="BodyText"/>
        <w:rPr>
          <w:rFonts w:asciiTheme="majorHAnsi" w:hAnsiTheme="majorHAnsi"/>
          <w:lang w:val="lv-LV"/>
        </w:rPr>
      </w:pPr>
    </w:p>
    <w:p w:rsidR="00127A59" w:rsidRPr="0019406C" w:rsidRDefault="008B0142" w:rsidP="006B022F">
      <w:pPr>
        <w:pStyle w:val="BodyText"/>
        <w:spacing w:line="276" w:lineRule="auto"/>
        <w:jc w:val="both"/>
        <w:rPr>
          <w:rFonts w:asciiTheme="majorHAnsi" w:hAnsiTheme="majorHAnsi"/>
          <w:lang w:val="lv-LV"/>
        </w:rPr>
      </w:pPr>
      <w:r w:rsidRPr="0019406C">
        <w:rPr>
          <w:rFonts w:asciiTheme="majorHAnsi" w:hAnsiTheme="majorHAnsi"/>
          <w:lang w:val="lv-LV"/>
        </w:rPr>
        <w:t>Atsaucoties uz DB pētījumu, tiek vērtēti trīs faktori šajā jomā – procedūru skaits, laiks (die</w:t>
      </w:r>
      <w:r w:rsidR="0072729F">
        <w:rPr>
          <w:rFonts w:asciiTheme="majorHAnsi" w:hAnsiTheme="majorHAnsi"/>
          <w:lang w:val="lv-LV"/>
        </w:rPr>
        <w:t xml:space="preserve">nās) un izmaksas (skatīt </w:t>
      </w:r>
      <w:r w:rsidRPr="0019406C">
        <w:rPr>
          <w:rFonts w:asciiTheme="majorHAnsi" w:hAnsiTheme="majorHAnsi"/>
          <w:lang w:val="lv-LV"/>
        </w:rPr>
        <w:t xml:space="preserve">zemāk). </w:t>
      </w:r>
    </w:p>
    <w:p w:rsidR="008B0142" w:rsidRPr="0019406C" w:rsidRDefault="008B0142" w:rsidP="008B0142">
      <w:pPr>
        <w:pStyle w:val="Caption"/>
        <w:keepNext/>
        <w:rPr>
          <w:rFonts w:asciiTheme="majorHAnsi" w:hAnsiTheme="majorHAnsi"/>
          <w:sz w:val="16"/>
          <w:lang w:val="lv-LV"/>
        </w:rPr>
      </w:pPr>
      <w:bookmarkStart w:id="64" w:name="_Toc381609304"/>
      <w:bookmarkStart w:id="65" w:name="_Toc389225082"/>
      <w:r w:rsidRPr="0019406C">
        <w:rPr>
          <w:rFonts w:asciiTheme="majorHAnsi" w:hAnsiTheme="majorHAnsi"/>
          <w:sz w:val="16"/>
          <w:lang w:val="lv-LV"/>
        </w:rPr>
        <w:t xml:space="preserve">Tabula </w:t>
      </w:r>
      <w:r w:rsidRPr="0019406C">
        <w:rPr>
          <w:rFonts w:asciiTheme="majorHAnsi" w:hAnsiTheme="majorHAnsi"/>
          <w:sz w:val="16"/>
          <w:lang w:val="lv-LV"/>
        </w:rPr>
        <w:fldChar w:fldCharType="begin"/>
      </w:r>
      <w:r w:rsidRPr="0019406C">
        <w:rPr>
          <w:rFonts w:asciiTheme="majorHAnsi" w:hAnsiTheme="majorHAnsi"/>
          <w:sz w:val="16"/>
          <w:lang w:val="lv-LV"/>
        </w:rPr>
        <w:instrText xml:space="preserve"> SEQ Tabula \* ARABIC </w:instrText>
      </w:r>
      <w:r w:rsidRPr="0019406C">
        <w:rPr>
          <w:rFonts w:asciiTheme="majorHAnsi" w:hAnsiTheme="majorHAnsi"/>
          <w:sz w:val="16"/>
          <w:lang w:val="lv-LV"/>
        </w:rPr>
        <w:fldChar w:fldCharType="separate"/>
      </w:r>
      <w:r w:rsidR="00410806" w:rsidRPr="0019406C">
        <w:rPr>
          <w:rFonts w:asciiTheme="majorHAnsi" w:hAnsiTheme="majorHAnsi"/>
          <w:noProof/>
          <w:sz w:val="16"/>
          <w:lang w:val="lv-LV"/>
        </w:rPr>
        <w:t>8</w:t>
      </w:r>
      <w:r w:rsidRPr="0019406C">
        <w:rPr>
          <w:rFonts w:asciiTheme="majorHAnsi" w:hAnsiTheme="majorHAnsi"/>
          <w:sz w:val="16"/>
          <w:lang w:val="lv-LV"/>
        </w:rPr>
        <w:fldChar w:fldCharType="end"/>
      </w:r>
      <w:r w:rsidRPr="0019406C">
        <w:rPr>
          <w:rFonts w:asciiTheme="majorHAnsi" w:hAnsiTheme="majorHAnsi"/>
          <w:sz w:val="16"/>
          <w:lang w:val="lv-LV"/>
        </w:rPr>
        <w:t xml:space="preserve"> DB būvniecības procesa rādītāju salīdzinājums</w:t>
      </w:r>
      <w:bookmarkEnd w:id="64"/>
      <w:bookmarkEnd w:id="65"/>
    </w:p>
    <w:tbl>
      <w:tblPr>
        <w:tblStyle w:val="LightList-Accent11"/>
        <w:tblW w:w="5000" w:type="pct"/>
        <w:tblLook w:val="00A0" w:firstRow="1" w:lastRow="0" w:firstColumn="1" w:lastColumn="0" w:noHBand="0" w:noVBand="0"/>
      </w:tblPr>
      <w:tblGrid>
        <w:gridCol w:w="1314"/>
        <w:gridCol w:w="2214"/>
        <w:gridCol w:w="1853"/>
        <w:gridCol w:w="4699"/>
      </w:tblGrid>
      <w:tr w:rsidR="008B0142" w:rsidRPr="0019406C" w:rsidTr="008B0142">
        <w:trPr>
          <w:cnfStyle w:val="100000000000" w:firstRow="1" w:lastRow="0" w:firstColumn="0" w:lastColumn="0" w:oddVBand="0" w:evenVBand="0" w:oddHBand="0" w:evenHBand="0" w:firstRowFirstColumn="0" w:firstRowLastColumn="0" w:lastRowFirstColumn="0" w:lastRowLastColumn="0"/>
          <w:trHeight w:val="190"/>
        </w:trPr>
        <w:tc>
          <w:tcPr>
            <w:cnfStyle w:val="001000000000" w:firstRow="0" w:lastRow="0" w:firstColumn="1" w:lastColumn="0" w:oddVBand="0" w:evenVBand="0" w:oddHBand="0" w:evenHBand="0" w:firstRowFirstColumn="0" w:firstRowLastColumn="0" w:lastRowFirstColumn="0" w:lastRowLastColumn="0"/>
            <w:tcW w:w="652" w:type="pct"/>
            <w:vAlign w:val="center"/>
          </w:tcPr>
          <w:p w:rsidR="008B0142" w:rsidRPr="0019406C" w:rsidRDefault="008B0142" w:rsidP="008B0142">
            <w:pPr>
              <w:rPr>
                <w:rFonts w:asciiTheme="majorHAnsi" w:eastAsia="Cambria" w:hAnsiTheme="majorHAnsi" w:cs="Times New Roman"/>
                <w:lang w:val="lv-LV"/>
              </w:rPr>
            </w:pPr>
            <w:r w:rsidRPr="0019406C">
              <w:rPr>
                <w:rFonts w:asciiTheme="majorHAnsi" w:eastAsia="Cambria" w:hAnsiTheme="majorHAnsi" w:cs="Times New Roman"/>
                <w:lang w:val="lv-LV"/>
              </w:rPr>
              <w:t>Valsts</w:t>
            </w:r>
          </w:p>
        </w:tc>
        <w:tc>
          <w:tcPr>
            <w:cnfStyle w:val="000010000000" w:firstRow="0" w:lastRow="0" w:firstColumn="0" w:lastColumn="0" w:oddVBand="1" w:evenVBand="0" w:oddHBand="0" w:evenHBand="0" w:firstRowFirstColumn="0" w:firstRowLastColumn="0" w:lastRowFirstColumn="0" w:lastRowLastColumn="0"/>
            <w:tcW w:w="1098" w:type="pct"/>
            <w:vAlign w:val="center"/>
          </w:tcPr>
          <w:p w:rsidR="008B0142" w:rsidRPr="0019406C" w:rsidRDefault="008B0142" w:rsidP="008B0142">
            <w:pPr>
              <w:jc w:val="center"/>
              <w:rPr>
                <w:rFonts w:asciiTheme="majorHAnsi" w:eastAsia="Cambria" w:hAnsiTheme="majorHAnsi" w:cs="Times New Roman"/>
                <w:lang w:val="lv-LV"/>
              </w:rPr>
            </w:pPr>
            <w:r w:rsidRPr="0019406C">
              <w:rPr>
                <w:rFonts w:asciiTheme="majorHAnsi" w:eastAsia="Cambria" w:hAnsiTheme="majorHAnsi" w:cs="Times New Roman"/>
                <w:lang w:val="lv-LV"/>
              </w:rPr>
              <w:t>Procedūru skaits</w:t>
            </w:r>
          </w:p>
        </w:tc>
        <w:tc>
          <w:tcPr>
            <w:tcW w:w="919" w:type="pct"/>
            <w:vAlign w:val="center"/>
          </w:tcPr>
          <w:p w:rsidR="008B0142" w:rsidRPr="0019406C" w:rsidRDefault="008B0142" w:rsidP="008B0142">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Laiks (dienas)</w:t>
            </w:r>
          </w:p>
        </w:tc>
        <w:tc>
          <w:tcPr>
            <w:cnfStyle w:val="000010000000" w:firstRow="0" w:lastRow="0" w:firstColumn="0" w:lastColumn="0" w:oddVBand="1" w:evenVBand="0" w:oddHBand="0" w:evenHBand="0" w:firstRowFirstColumn="0" w:firstRowLastColumn="0" w:lastRowFirstColumn="0" w:lastRowLastColumn="0"/>
            <w:tcW w:w="2332" w:type="pct"/>
            <w:vAlign w:val="center"/>
          </w:tcPr>
          <w:p w:rsidR="008B0142" w:rsidRPr="0019406C" w:rsidRDefault="008B0142" w:rsidP="008B0142">
            <w:pPr>
              <w:jc w:val="center"/>
              <w:rPr>
                <w:rFonts w:asciiTheme="majorHAnsi" w:eastAsia="Cambria" w:hAnsiTheme="majorHAnsi" w:cs="Times New Roman"/>
                <w:lang w:val="lv-LV"/>
              </w:rPr>
            </w:pPr>
            <w:r w:rsidRPr="0019406C">
              <w:rPr>
                <w:rFonts w:asciiTheme="majorHAnsi" w:eastAsia="Cambria" w:hAnsiTheme="majorHAnsi" w:cs="Times New Roman"/>
                <w:lang w:val="lv-LV"/>
              </w:rPr>
              <w:t>Izmaksas (% no ienāk./</w:t>
            </w:r>
            <w:proofErr w:type="spellStart"/>
            <w:r w:rsidRPr="0019406C">
              <w:rPr>
                <w:rFonts w:asciiTheme="majorHAnsi" w:eastAsia="Cambria" w:hAnsiTheme="majorHAnsi" w:cs="Times New Roman"/>
                <w:lang w:val="lv-LV"/>
              </w:rPr>
              <w:t>iedz</w:t>
            </w:r>
            <w:proofErr w:type="spellEnd"/>
            <w:r w:rsidRPr="0019406C">
              <w:rPr>
                <w:rFonts w:asciiTheme="majorHAnsi" w:eastAsia="Cambria" w:hAnsiTheme="majorHAnsi" w:cs="Times New Roman"/>
                <w:lang w:val="lv-LV"/>
              </w:rPr>
              <w:t>.)</w:t>
            </w:r>
          </w:p>
        </w:tc>
      </w:tr>
      <w:tr w:rsidR="008B0142" w:rsidRPr="0019406C" w:rsidTr="008B0142">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8B0142" w:rsidRPr="0019406C" w:rsidRDefault="008B0142" w:rsidP="008B0142">
            <w:pPr>
              <w:rPr>
                <w:rFonts w:asciiTheme="majorHAnsi" w:hAnsiTheme="majorHAnsi"/>
                <w:b w:val="0"/>
                <w:lang w:val="lv-LV"/>
              </w:rPr>
            </w:pPr>
            <w:r w:rsidRPr="0019406C">
              <w:rPr>
                <w:rFonts w:asciiTheme="majorHAnsi" w:hAnsiTheme="majorHAnsi"/>
                <w:b w:val="0"/>
                <w:lang w:val="lv-LV"/>
              </w:rPr>
              <w:t>Dānija</w:t>
            </w:r>
          </w:p>
        </w:tc>
        <w:tc>
          <w:tcPr>
            <w:cnfStyle w:val="000010000000" w:firstRow="0" w:lastRow="0" w:firstColumn="0" w:lastColumn="0" w:oddVBand="1" w:evenVBand="0" w:oddHBand="0" w:evenHBand="0" w:firstRowFirstColumn="0" w:firstRowLastColumn="0" w:lastRowFirstColumn="0" w:lastRowLastColumn="0"/>
            <w:tcW w:w="1098" w:type="pct"/>
            <w:vAlign w:val="center"/>
          </w:tcPr>
          <w:p w:rsidR="008B0142" w:rsidRPr="0019406C" w:rsidRDefault="008B0142" w:rsidP="008B0142">
            <w:pPr>
              <w:jc w:val="center"/>
              <w:rPr>
                <w:rFonts w:asciiTheme="majorHAnsi" w:eastAsia="Cambria" w:hAnsiTheme="majorHAnsi" w:cs="Times New Roman"/>
                <w:lang w:val="lv-LV"/>
              </w:rPr>
            </w:pPr>
            <w:r w:rsidRPr="0019406C">
              <w:rPr>
                <w:rFonts w:asciiTheme="majorHAnsi" w:eastAsia="Cambria" w:hAnsiTheme="majorHAnsi" w:cs="Times New Roman"/>
                <w:lang w:val="lv-LV"/>
              </w:rPr>
              <w:t>8</w:t>
            </w:r>
          </w:p>
        </w:tc>
        <w:tc>
          <w:tcPr>
            <w:tcW w:w="919" w:type="pct"/>
            <w:vAlign w:val="center"/>
          </w:tcPr>
          <w:p w:rsidR="008B0142" w:rsidRPr="0019406C" w:rsidRDefault="008B0142" w:rsidP="008B0142">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67</w:t>
            </w:r>
          </w:p>
        </w:tc>
        <w:tc>
          <w:tcPr>
            <w:cnfStyle w:val="000010000000" w:firstRow="0" w:lastRow="0" w:firstColumn="0" w:lastColumn="0" w:oddVBand="1" w:evenVBand="0" w:oddHBand="0" w:evenHBand="0" w:firstRowFirstColumn="0" w:firstRowLastColumn="0" w:lastRowFirstColumn="0" w:lastRowLastColumn="0"/>
            <w:tcW w:w="2332" w:type="pct"/>
            <w:vAlign w:val="center"/>
          </w:tcPr>
          <w:p w:rsidR="008B0142" w:rsidRPr="0019406C" w:rsidRDefault="008B0142" w:rsidP="008B0142">
            <w:pPr>
              <w:jc w:val="center"/>
              <w:rPr>
                <w:rFonts w:asciiTheme="majorHAnsi" w:eastAsia="Cambria" w:hAnsiTheme="majorHAnsi" w:cs="Times New Roman"/>
                <w:lang w:val="lv-LV"/>
              </w:rPr>
            </w:pPr>
            <w:r w:rsidRPr="0019406C">
              <w:rPr>
                <w:rFonts w:asciiTheme="majorHAnsi" w:eastAsia="Cambria" w:hAnsiTheme="majorHAnsi" w:cs="Times New Roman"/>
                <w:lang w:val="lv-LV"/>
              </w:rPr>
              <w:t>87.2</w:t>
            </w:r>
          </w:p>
        </w:tc>
      </w:tr>
      <w:tr w:rsidR="008B0142" w:rsidRPr="0019406C" w:rsidTr="008B0142">
        <w:trPr>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8B0142" w:rsidRPr="0019406C" w:rsidRDefault="008B0142" w:rsidP="008B0142">
            <w:pPr>
              <w:rPr>
                <w:rFonts w:asciiTheme="majorHAnsi" w:hAnsiTheme="majorHAnsi"/>
                <w:b w:val="0"/>
                <w:lang w:val="lv-LV"/>
              </w:rPr>
            </w:pPr>
            <w:r w:rsidRPr="0019406C">
              <w:rPr>
                <w:rFonts w:asciiTheme="majorHAnsi" w:hAnsiTheme="majorHAnsi"/>
                <w:b w:val="0"/>
                <w:lang w:val="lv-LV"/>
              </w:rPr>
              <w:t>Zviedrija</w:t>
            </w:r>
          </w:p>
        </w:tc>
        <w:tc>
          <w:tcPr>
            <w:cnfStyle w:val="000010000000" w:firstRow="0" w:lastRow="0" w:firstColumn="0" w:lastColumn="0" w:oddVBand="1" w:evenVBand="0" w:oddHBand="0" w:evenHBand="0" w:firstRowFirstColumn="0" w:firstRowLastColumn="0" w:lastRowFirstColumn="0" w:lastRowLastColumn="0"/>
            <w:tcW w:w="1098" w:type="pct"/>
            <w:vAlign w:val="center"/>
          </w:tcPr>
          <w:p w:rsidR="008B0142" w:rsidRPr="0019406C" w:rsidRDefault="008B0142" w:rsidP="008B0142">
            <w:pPr>
              <w:jc w:val="center"/>
              <w:rPr>
                <w:rFonts w:asciiTheme="majorHAnsi" w:hAnsiTheme="majorHAnsi"/>
                <w:color w:val="000000"/>
                <w:lang w:val="lv-LV"/>
              </w:rPr>
            </w:pPr>
            <w:r w:rsidRPr="0019406C">
              <w:rPr>
                <w:rFonts w:asciiTheme="majorHAnsi" w:hAnsiTheme="majorHAnsi"/>
                <w:color w:val="000000"/>
                <w:lang w:val="lv-LV"/>
              </w:rPr>
              <w:t>7</w:t>
            </w:r>
          </w:p>
        </w:tc>
        <w:tc>
          <w:tcPr>
            <w:tcW w:w="919" w:type="pct"/>
            <w:vAlign w:val="center"/>
          </w:tcPr>
          <w:p w:rsidR="008B0142" w:rsidRPr="0019406C" w:rsidRDefault="008B0142" w:rsidP="008B0142">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olor w:val="000000"/>
                <w:lang w:val="lv-LV"/>
              </w:rPr>
            </w:pPr>
            <w:r w:rsidRPr="0019406C">
              <w:rPr>
                <w:rFonts w:asciiTheme="majorHAnsi" w:hAnsiTheme="majorHAnsi"/>
                <w:color w:val="000000"/>
                <w:lang w:val="lv-LV"/>
              </w:rPr>
              <w:t>116</w:t>
            </w:r>
          </w:p>
        </w:tc>
        <w:tc>
          <w:tcPr>
            <w:cnfStyle w:val="000010000000" w:firstRow="0" w:lastRow="0" w:firstColumn="0" w:lastColumn="0" w:oddVBand="1" w:evenVBand="0" w:oddHBand="0" w:evenHBand="0" w:firstRowFirstColumn="0" w:firstRowLastColumn="0" w:lastRowFirstColumn="0" w:lastRowLastColumn="0"/>
            <w:tcW w:w="2332" w:type="pct"/>
            <w:vAlign w:val="center"/>
          </w:tcPr>
          <w:p w:rsidR="008B0142" w:rsidRPr="0019406C" w:rsidRDefault="008B0142" w:rsidP="008B0142">
            <w:pPr>
              <w:jc w:val="center"/>
              <w:rPr>
                <w:rFonts w:asciiTheme="majorHAnsi" w:hAnsiTheme="majorHAnsi"/>
                <w:color w:val="000000"/>
                <w:lang w:val="lv-LV"/>
              </w:rPr>
            </w:pPr>
            <w:r w:rsidRPr="0019406C">
              <w:rPr>
                <w:rFonts w:asciiTheme="majorHAnsi" w:hAnsiTheme="majorHAnsi"/>
                <w:color w:val="000000"/>
                <w:lang w:val="lv-LV"/>
              </w:rPr>
              <w:t>76.3</w:t>
            </w:r>
          </w:p>
        </w:tc>
      </w:tr>
      <w:tr w:rsidR="008B0142" w:rsidRPr="0019406C" w:rsidTr="008B0142">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8B0142" w:rsidRPr="0019406C" w:rsidRDefault="008B0142" w:rsidP="008B0142">
            <w:pPr>
              <w:rPr>
                <w:rFonts w:asciiTheme="majorHAnsi" w:hAnsiTheme="majorHAnsi"/>
                <w:b w:val="0"/>
                <w:lang w:val="lv-LV"/>
              </w:rPr>
            </w:pPr>
            <w:r w:rsidRPr="0019406C">
              <w:rPr>
                <w:rFonts w:asciiTheme="majorHAnsi" w:hAnsiTheme="majorHAnsi"/>
                <w:b w:val="0"/>
                <w:lang w:val="lv-LV"/>
              </w:rPr>
              <w:t>Lielbritānija</w:t>
            </w:r>
          </w:p>
        </w:tc>
        <w:tc>
          <w:tcPr>
            <w:cnfStyle w:val="000010000000" w:firstRow="0" w:lastRow="0" w:firstColumn="0" w:lastColumn="0" w:oddVBand="1" w:evenVBand="0" w:oddHBand="0" w:evenHBand="0" w:firstRowFirstColumn="0" w:firstRowLastColumn="0" w:lastRowFirstColumn="0" w:lastRowLastColumn="0"/>
            <w:tcW w:w="1098" w:type="pct"/>
            <w:vAlign w:val="center"/>
          </w:tcPr>
          <w:p w:rsidR="008B0142" w:rsidRPr="0019406C" w:rsidRDefault="008B0142" w:rsidP="008B0142">
            <w:pPr>
              <w:jc w:val="center"/>
              <w:rPr>
                <w:rFonts w:asciiTheme="majorHAnsi" w:hAnsiTheme="majorHAnsi"/>
                <w:color w:val="000000"/>
                <w:lang w:val="lv-LV"/>
              </w:rPr>
            </w:pPr>
            <w:r w:rsidRPr="0019406C">
              <w:rPr>
                <w:rFonts w:asciiTheme="majorHAnsi" w:hAnsiTheme="majorHAnsi"/>
                <w:color w:val="000000"/>
                <w:lang w:val="lv-LV"/>
              </w:rPr>
              <w:t>12</w:t>
            </w:r>
          </w:p>
        </w:tc>
        <w:tc>
          <w:tcPr>
            <w:tcW w:w="919" w:type="pct"/>
            <w:vAlign w:val="center"/>
          </w:tcPr>
          <w:p w:rsidR="008B0142" w:rsidRPr="0019406C" w:rsidRDefault="008B0142" w:rsidP="008B0142">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olor w:val="000000"/>
                <w:lang w:val="lv-LV"/>
              </w:rPr>
            </w:pPr>
            <w:r w:rsidRPr="0019406C">
              <w:rPr>
                <w:rFonts w:asciiTheme="majorHAnsi" w:hAnsiTheme="majorHAnsi"/>
                <w:color w:val="000000"/>
                <w:lang w:val="lv-LV"/>
              </w:rPr>
              <w:t>88</w:t>
            </w:r>
          </w:p>
        </w:tc>
        <w:tc>
          <w:tcPr>
            <w:cnfStyle w:val="000010000000" w:firstRow="0" w:lastRow="0" w:firstColumn="0" w:lastColumn="0" w:oddVBand="1" w:evenVBand="0" w:oddHBand="0" w:evenHBand="0" w:firstRowFirstColumn="0" w:firstRowLastColumn="0" w:lastRowFirstColumn="0" w:lastRowLastColumn="0"/>
            <w:tcW w:w="2332" w:type="pct"/>
            <w:vAlign w:val="center"/>
          </w:tcPr>
          <w:p w:rsidR="008B0142" w:rsidRPr="0019406C" w:rsidRDefault="008B0142" w:rsidP="008B0142">
            <w:pPr>
              <w:jc w:val="center"/>
              <w:rPr>
                <w:rFonts w:asciiTheme="majorHAnsi" w:hAnsiTheme="majorHAnsi"/>
                <w:color w:val="000000"/>
                <w:lang w:val="lv-LV"/>
              </w:rPr>
            </w:pPr>
            <w:r w:rsidRPr="0019406C">
              <w:rPr>
                <w:rFonts w:asciiTheme="majorHAnsi" w:hAnsiTheme="majorHAnsi"/>
                <w:color w:val="000000"/>
                <w:lang w:val="lv-LV"/>
              </w:rPr>
              <w:t>66</w:t>
            </w:r>
          </w:p>
        </w:tc>
      </w:tr>
      <w:tr w:rsidR="008B0142" w:rsidRPr="0019406C" w:rsidTr="008B0142">
        <w:trPr>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8B0142" w:rsidRPr="0019406C" w:rsidRDefault="008B0142" w:rsidP="008B0142">
            <w:pPr>
              <w:rPr>
                <w:rFonts w:asciiTheme="majorHAnsi" w:hAnsiTheme="majorHAnsi"/>
                <w:b w:val="0"/>
                <w:lang w:val="lv-LV"/>
              </w:rPr>
            </w:pPr>
            <w:r w:rsidRPr="0019406C">
              <w:rPr>
                <w:rFonts w:asciiTheme="majorHAnsi" w:hAnsiTheme="majorHAnsi"/>
                <w:b w:val="0"/>
                <w:lang w:val="lv-LV"/>
              </w:rPr>
              <w:t>Somija</w:t>
            </w:r>
          </w:p>
        </w:tc>
        <w:tc>
          <w:tcPr>
            <w:cnfStyle w:val="000010000000" w:firstRow="0" w:lastRow="0" w:firstColumn="0" w:lastColumn="0" w:oddVBand="1" w:evenVBand="0" w:oddHBand="0" w:evenHBand="0" w:firstRowFirstColumn="0" w:firstRowLastColumn="0" w:lastRowFirstColumn="0" w:lastRowLastColumn="0"/>
            <w:tcW w:w="1098" w:type="pct"/>
            <w:vAlign w:val="center"/>
          </w:tcPr>
          <w:p w:rsidR="008B0142" w:rsidRPr="0019406C" w:rsidRDefault="008B0142" w:rsidP="008B0142">
            <w:pPr>
              <w:jc w:val="center"/>
              <w:rPr>
                <w:rFonts w:asciiTheme="majorHAnsi" w:hAnsiTheme="majorHAnsi"/>
                <w:color w:val="000000"/>
                <w:lang w:val="lv-LV"/>
              </w:rPr>
            </w:pPr>
            <w:r w:rsidRPr="0019406C">
              <w:rPr>
                <w:rFonts w:asciiTheme="majorHAnsi" w:hAnsiTheme="majorHAnsi"/>
                <w:color w:val="000000"/>
                <w:lang w:val="lv-LV"/>
              </w:rPr>
              <w:t>16</w:t>
            </w:r>
          </w:p>
        </w:tc>
        <w:tc>
          <w:tcPr>
            <w:tcW w:w="919" w:type="pct"/>
            <w:vAlign w:val="center"/>
          </w:tcPr>
          <w:p w:rsidR="008B0142" w:rsidRPr="0019406C" w:rsidRDefault="008B0142" w:rsidP="008B0142">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olor w:val="000000"/>
                <w:lang w:val="lv-LV"/>
              </w:rPr>
            </w:pPr>
            <w:r w:rsidRPr="0019406C">
              <w:rPr>
                <w:rFonts w:asciiTheme="majorHAnsi" w:hAnsiTheme="majorHAnsi"/>
                <w:color w:val="000000"/>
                <w:lang w:val="lv-LV"/>
              </w:rPr>
              <w:t>66</w:t>
            </w:r>
          </w:p>
        </w:tc>
        <w:tc>
          <w:tcPr>
            <w:cnfStyle w:val="000010000000" w:firstRow="0" w:lastRow="0" w:firstColumn="0" w:lastColumn="0" w:oddVBand="1" w:evenVBand="0" w:oddHBand="0" w:evenHBand="0" w:firstRowFirstColumn="0" w:firstRowLastColumn="0" w:lastRowFirstColumn="0" w:lastRowLastColumn="0"/>
            <w:tcW w:w="2332" w:type="pct"/>
            <w:vAlign w:val="center"/>
          </w:tcPr>
          <w:p w:rsidR="008B0142" w:rsidRPr="0019406C" w:rsidRDefault="008B0142" w:rsidP="008B0142">
            <w:pPr>
              <w:jc w:val="center"/>
              <w:rPr>
                <w:rFonts w:asciiTheme="majorHAnsi" w:hAnsiTheme="majorHAnsi"/>
                <w:color w:val="000000"/>
                <w:lang w:val="lv-LV"/>
              </w:rPr>
            </w:pPr>
            <w:r w:rsidRPr="0019406C">
              <w:rPr>
                <w:rFonts w:asciiTheme="majorHAnsi" w:hAnsiTheme="majorHAnsi"/>
                <w:color w:val="000000"/>
                <w:lang w:val="lv-LV"/>
              </w:rPr>
              <w:t>43.3</w:t>
            </w:r>
          </w:p>
        </w:tc>
      </w:tr>
      <w:tr w:rsidR="008B0142" w:rsidRPr="0019406C" w:rsidTr="008B0142">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652" w:type="pct"/>
            <w:vAlign w:val="center"/>
          </w:tcPr>
          <w:p w:rsidR="008B0142" w:rsidRPr="0019406C" w:rsidRDefault="008B0142" w:rsidP="008B0142">
            <w:pPr>
              <w:rPr>
                <w:rFonts w:asciiTheme="majorHAnsi" w:eastAsia="Cambria" w:hAnsiTheme="majorHAnsi" w:cs="Times New Roman"/>
                <w:b w:val="0"/>
                <w:lang w:val="lv-LV"/>
              </w:rPr>
            </w:pPr>
            <w:r w:rsidRPr="0019406C">
              <w:rPr>
                <w:rFonts w:asciiTheme="majorHAnsi" w:hAnsiTheme="majorHAnsi"/>
                <w:b w:val="0"/>
                <w:lang w:val="lv-LV"/>
              </w:rPr>
              <w:t>Igaunija</w:t>
            </w:r>
          </w:p>
        </w:tc>
        <w:tc>
          <w:tcPr>
            <w:cnfStyle w:val="000010000000" w:firstRow="0" w:lastRow="0" w:firstColumn="0" w:lastColumn="0" w:oddVBand="1" w:evenVBand="0" w:oddHBand="0" w:evenHBand="0" w:firstRowFirstColumn="0" w:firstRowLastColumn="0" w:lastRowFirstColumn="0" w:lastRowLastColumn="0"/>
            <w:tcW w:w="1098" w:type="pct"/>
            <w:vAlign w:val="center"/>
          </w:tcPr>
          <w:p w:rsidR="008B0142" w:rsidRPr="0019406C" w:rsidRDefault="008B0142" w:rsidP="008B0142">
            <w:pPr>
              <w:jc w:val="center"/>
              <w:rPr>
                <w:rFonts w:asciiTheme="majorHAnsi" w:eastAsia="Cambria" w:hAnsiTheme="majorHAnsi" w:cs="Times New Roman"/>
                <w:lang w:val="lv-LV"/>
              </w:rPr>
            </w:pPr>
            <w:r w:rsidRPr="0019406C">
              <w:rPr>
                <w:rFonts w:asciiTheme="majorHAnsi" w:eastAsia="Cambria" w:hAnsiTheme="majorHAnsi" w:cs="Times New Roman"/>
                <w:lang w:val="lv-LV"/>
              </w:rPr>
              <w:t>13</w:t>
            </w:r>
          </w:p>
        </w:tc>
        <w:tc>
          <w:tcPr>
            <w:tcW w:w="919" w:type="pct"/>
            <w:vAlign w:val="center"/>
          </w:tcPr>
          <w:p w:rsidR="008B0142" w:rsidRPr="0019406C" w:rsidRDefault="008B0142" w:rsidP="008B0142">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lang w:val="lv-LV"/>
              </w:rPr>
            </w:pPr>
            <w:r w:rsidRPr="0019406C">
              <w:rPr>
                <w:rFonts w:asciiTheme="majorHAnsi" w:eastAsia="Cambria" w:hAnsiTheme="majorHAnsi"/>
                <w:lang w:val="lv-LV"/>
              </w:rPr>
              <w:t>148</w:t>
            </w:r>
          </w:p>
        </w:tc>
        <w:tc>
          <w:tcPr>
            <w:cnfStyle w:val="000010000000" w:firstRow="0" w:lastRow="0" w:firstColumn="0" w:lastColumn="0" w:oddVBand="1" w:evenVBand="0" w:oddHBand="0" w:evenHBand="0" w:firstRowFirstColumn="0" w:firstRowLastColumn="0" w:lastRowFirstColumn="0" w:lastRowLastColumn="0"/>
            <w:tcW w:w="2332" w:type="pct"/>
            <w:vAlign w:val="center"/>
          </w:tcPr>
          <w:p w:rsidR="008B0142" w:rsidRPr="0019406C" w:rsidRDefault="008B0142" w:rsidP="008B0142">
            <w:pPr>
              <w:jc w:val="center"/>
              <w:rPr>
                <w:rFonts w:asciiTheme="majorHAnsi" w:eastAsia="Cambria" w:hAnsiTheme="majorHAnsi" w:cs="Times New Roman"/>
                <w:lang w:val="lv-LV"/>
              </w:rPr>
            </w:pPr>
            <w:r w:rsidRPr="0019406C">
              <w:rPr>
                <w:rFonts w:asciiTheme="majorHAnsi" w:eastAsia="Cambria" w:hAnsiTheme="majorHAnsi" w:cs="Times New Roman"/>
                <w:lang w:val="lv-LV"/>
              </w:rPr>
              <w:t>15.0</w:t>
            </w:r>
          </w:p>
        </w:tc>
      </w:tr>
      <w:tr w:rsidR="008B0142" w:rsidRPr="0019406C" w:rsidTr="008B0142">
        <w:trPr>
          <w:trHeight w:val="270"/>
        </w:trPr>
        <w:tc>
          <w:tcPr>
            <w:cnfStyle w:val="001000000000" w:firstRow="0" w:lastRow="0" w:firstColumn="1" w:lastColumn="0" w:oddVBand="0" w:evenVBand="0" w:oddHBand="0" w:evenHBand="0" w:firstRowFirstColumn="0" w:firstRowLastColumn="0" w:lastRowFirstColumn="0" w:lastRowLastColumn="0"/>
            <w:tcW w:w="652" w:type="pct"/>
            <w:vAlign w:val="center"/>
          </w:tcPr>
          <w:p w:rsidR="008B0142" w:rsidRPr="0019406C" w:rsidRDefault="008B0142" w:rsidP="008B0142">
            <w:pPr>
              <w:rPr>
                <w:rFonts w:asciiTheme="majorHAnsi" w:eastAsia="Cambria" w:hAnsiTheme="majorHAnsi" w:cs="Times New Roman"/>
                <w:b w:val="0"/>
                <w:lang w:val="lv-LV"/>
              </w:rPr>
            </w:pPr>
            <w:r w:rsidRPr="0019406C">
              <w:rPr>
                <w:rFonts w:asciiTheme="majorHAnsi" w:hAnsiTheme="majorHAnsi"/>
                <w:b w:val="0"/>
                <w:lang w:val="lv-LV"/>
              </w:rPr>
              <w:t xml:space="preserve">Lietuva </w:t>
            </w:r>
          </w:p>
        </w:tc>
        <w:tc>
          <w:tcPr>
            <w:cnfStyle w:val="000010000000" w:firstRow="0" w:lastRow="0" w:firstColumn="0" w:lastColumn="0" w:oddVBand="1" w:evenVBand="0" w:oddHBand="0" w:evenHBand="0" w:firstRowFirstColumn="0" w:firstRowLastColumn="0" w:lastRowFirstColumn="0" w:lastRowLastColumn="0"/>
            <w:tcW w:w="1098" w:type="pct"/>
            <w:vAlign w:val="center"/>
          </w:tcPr>
          <w:p w:rsidR="008B0142" w:rsidRPr="0019406C" w:rsidRDefault="008B0142" w:rsidP="008B0142">
            <w:pPr>
              <w:jc w:val="center"/>
              <w:rPr>
                <w:rFonts w:asciiTheme="majorHAnsi" w:hAnsiTheme="majorHAnsi"/>
                <w:color w:val="000000"/>
                <w:lang w:val="lv-LV"/>
              </w:rPr>
            </w:pPr>
            <w:r w:rsidRPr="0019406C">
              <w:rPr>
                <w:rFonts w:asciiTheme="majorHAnsi" w:hAnsiTheme="majorHAnsi"/>
                <w:color w:val="000000"/>
                <w:lang w:val="lv-LV"/>
              </w:rPr>
              <w:t>16</w:t>
            </w:r>
          </w:p>
        </w:tc>
        <w:tc>
          <w:tcPr>
            <w:tcW w:w="919" w:type="pct"/>
            <w:vAlign w:val="center"/>
          </w:tcPr>
          <w:p w:rsidR="008B0142" w:rsidRPr="0019406C" w:rsidRDefault="008B0142" w:rsidP="008B0142">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olor w:val="000000"/>
                <w:lang w:val="lv-LV"/>
              </w:rPr>
            </w:pPr>
            <w:r w:rsidRPr="0019406C">
              <w:rPr>
                <w:rFonts w:asciiTheme="majorHAnsi" w:hAnsiTheme="majorHAnsi"/>
                <w:color w:val="000000"/>
                <w:lang w:val="lv-LV"/>
              </w:rPr>
              <w:t>105</w:t>
            </w:r>
          </w:p>
        </w:tc>
        <w:tc>
          <w:tcPr>
            <w:cnfStyle w:val="000010000000" w:firstRow="0" w:lastRow="0" w:firstColumn="0" w:lastColumn="0" w:oddVBand="1" w:evenVBand="0" w:oddHBand="0" w:evenHBand="0" w:firstRowFirstColumn="0" w:firstRowLastColumn="0" w:lastRowFirstColumn="0" w:lastRowLastColumn="0"/>
            <w:tcW w:w="2332" w:type="pct"/>
            <w:vAlign w:val="center"/>
          </w:tcPr>
          <w:p w:rsidR="008B0142" w:rsidRPr="0019406C" w:rsidRDefault="008B0142" w:rsidP="008B0142">
            <w:pPr>
              <w:jc w:val="center"/>
              <w:rPr>
                <w:rFonts w:asciiTheme="majorHAnsi" w:hAnsiTheme="majorHAnsi"/>
                <w:color w:val="000000"/>
                <w:lang w:val="lv-LV"/>
              </w:rPr>
            </w:pPr>
            <w:r w:rsidRPr="0019406C">
              <w:rPr>
                <w:rFonts w:asciiTheme="majorHAnsi" w:hAnsiTheme="majorHAnsi"/>
                <w:color w:val="000000"/>
                <w:lang w:val="lv-LV"/>
              </w:rPr>
              <w:t>18</w:t>
            </w:r>
          </w:p>
        </w:tc>
      </w:tr>
      <w:tr w:rsidR="008B0142" w:rsidRPr="0019406C" w:rsidTr="008B0142">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652" w:type="pct"/>
            <w:shd w:val="clear" w:color="auto" w:fill="FFE199" w:themeFill="accent2" w:themeFillTint="66"/>
            <w:vAlign w:val="center"/>
          </w:tcPr>
          <w:p w:rsidR="008B0142" w:rsidRPr="0019406C" w:rsidRDefault="008B0142" w:rsidP="008B0142">
            <w:pPr>
              <w:rPr>
                <w:rFonts w:asciiTheme="majorHAnsi" w:eastAsia="Cambria" w:hAnsiTheme="majorHAnsi" w:cs="Times New Roman"/>
                <w:b w:val="0"/>
                <w:lang w:val="lv-LV"/>
              </w:rPr>
            </w:pPr>
            <w:r w:rsidRPr="0019406C">
              <w:rPr>
                <w:rFonts w:asciiTheme="majorHAnsi" w:eastAsia="Cambria" w:hAnsiTheme="majorHAnsi" w:cs="Times New Roman"/>
                <w:b w:val="0"/>
                <w:lang w:val="lv-LV"/>
              </w:rPr>
              <w:t>Latvija</w:t>
            </w:r>
          </w:p>
        </w:tc>
        <w:tc>
          <w:tcPr>
            <w:cnfStyle w:val="000010000000" w:firstRow="0" w:lastRow="0" w:firstColumn="0" w:lastColumn="0" w:oddVBand="1" w:evenVBand="0" w:oddHBand="0" w:evenHBand="0" w:firstRowFirstColumn="0" w:firstRowLastColumn="0" w:lastRowFirstColumn="0" w:lastRowLastColumn="0"/>
            <w:tcW w:w="1098" w:type="pct"/>
            <w:shd w:val="clear" w:color="auto" w:fill="FFE199" w:themeFill="accent2" w:themeFillTint="66"/>
            <w:vAlign w:val="center"/>
          </w:tcPr>
          <w:p w:rsidR="008B0142" w:rsidRPr="0019406C" w:rsidRDefault="008B0142" w:rsidP="008B0142">
            <w:pPr>
              <w:jc w:val="center"/>
              <w:rPr>
                <w:rFonts w:asciiTheme="majorHAnsi" w:hAnsiTheme="majorHAnsi"/>
                <w:color w:val="000000"/>
                <w:lang w:val="lv-LV"/>
              </w:rPr>
            </w:pPr>
            <w:r w:rsidRPr="0019406C">
              <w:rPr>
                <w:rFonts w:asciiTheme="majorHAnsi" w:hAnsiTheme="majorHAnsi"/>
                <w:color w:val="000000"/>
                <w:lang w:val="lv-LV"/>
              </w:rPr>
              <w:t>18</w:t>
            </w:r>
          </w:p>
        </w:tc>
        <w:tc>
          <w:tcPr>
            <w:tcW w:w="919" w:type="pct"/>
            <w:shd w:val="clear" w:color="auto" w:fill="FFE199" w:themeFill="accent2" w:themeFillTint="66"/>
            <w:vAlign w:val="center"/>
          </w:tcPr>
          <w:p w:rsidR="008B0142" w:rsidRPr="0019406C" w:rsidRDefault="008B0142" w:rsidP="008B0142">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olor w:val="000000"/>
                <w:lang w:val="lv-LV"/>
              </w:rPr>
            </w:pPr>
            <w:r w:rsidRPr="0019406C">
              <w:rPr>
                <w:rFonts w:asciiTheme="majorHAnsi" w:hAnsiTheme="majorHAnsi"/>
                <w:color w:val="000000"/>
                <w:lang w:val="lv-LV"/>
              </w:rPr>
              <w:t>152</w:t>
            </w:r>
          </w:p>
        </w:tc>
        <w:tc>
          <w:tcPr>
            <w:cnfStyle w:val="000010000000" w:firstRow="0" w:lastRow="0" w:firstColumn="0" w:lastColumn="0" w:oddVBand="1" w:evenVBand="0" w:oddHBand="0" w:evenHBand="0" w:firstRowFirstColumn="0" w:firstRowLastColumn="0" w:lastRowFirstColumn="0" w:lastRowLastColumn="0"/>
            <w:tcW w:w="2332" w:type="pct"/>
            <w:shd w:val="clear" w:color="auto" w:fill="FFE199" w:themeFill="accent2" w:themeFillTint="66"/>
            <w:vAlign w:val="center"/>
          </w:tcPr>
          <w:p w:rsidR="008B0142" w:rsidRPr="0019406C" w:rsidRDefault="008B0142" w:rsidP="008B0142">
            <w:pPr>
              <w:jc w:val="center"/>
              <w:rPr>
                <w:rFonts w:asciiTheme="majorHAnsi" w:hAnsiTheme="majorHAnsi"/>
                <w:color w:val="000000"/>
                <w:lang w:val="lv-LV"/>
              </w:rPr>
            </w:pPr>
            <w:r w:rsidRPr="0019406C">
              <w:rPr>
                <w:rFonts w:asciiTheme="majorHAnsi" w:hAnsiTheme="majorHAnsi"/>
                <w:color w:val="000000"/>
                <w:lang w:val="lv-LV"/>
              </w:rPr>
              <w:t>15.4</w:t>
            </w:r>
          </w:p>
        </w:tc>
      </w:tr>
      <w:tr w:rsidR="008B0142" w:rsidRPr="0019406C" w:rsidTr="008B0142">
        <w:trPr>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8B0142" w:rsidRPr="0019406C" w:rsidRDefault="008B0142" w:rsidP="008B0142">
            <w:pPr>
              <w:rPr>
                <w:rFonts w:asciiTheme="majorHAnsi" w:hAnsiTheme="majorHAnsi"/>
                <w:b w:val="0"/>
                <w:lang w:val="lv-LV"/>
              </w:rPr>
            </w:pPr>
            <w:r w:rsidRPr="0019406C">
              <w:rPr>
                <w:rFonts w:asciiTheme="majorHAnsi" w:hAnsiTheme="majorHAnsi"/>
                <w:b w:val="0"/>
                <w:lang w:val="lv-LV"/>
              </w:rPr>
              <w:t>Čehija</w:t>
            </w:r>
          </w:p>
        </w:tc>
        <w:tc>
          <w:tcPr>
            <w:cnfStyle w:val="000010000000" w:firstRow="0" w:lastRow="0" w:firstColumn="0" w:lastColumn="0" w:oddVBand="1" w:evenVBand="0" w:oddHBand="0" w:evenHBand="0" w:firstRowFirstColumn="0" w:firstRowLastColumn="0" w:lastRowFirstColumn="0" w:lastRowLastColumn="0"/>
            <w:tcW w:w="1098" w:type="pct"/>
            <w:vAlign w:val="center"/>
          </w:tcPr>
          <w:p w:rsidR="008B0142" w:rsidRPr="0019406C" w:rsidRDefault="008B0142" w:rsidP="008B0142">
            <w:pPr>
              <w:jc w:val="center"/>
              <w:rPr>
                <w:rFonts w:asciiTheme="majorHAnsi" w:hAnsiTheme="majorHAnsi"/>
                <w:color w:val="000000"/>
                <w:lang w:val="lv-LV"/>
              </w:rPr>
            </w:pPr>
            <w:r w:rsidRPr="0019406C">
              <w:rPr>
                <w:rFonts w:asciiTheme="majorHAnsi" w:hAnsiTheme="majorHAnsi"/>
                <w:color w:val="000000"/>
                <w:lang w:val="lv-LV"/>
              </w:rPr>
              <w:t>33</w:t>
            </w:r>
          </w:p>
        </w:tc>
        <w:tc>
          <w:tcPr>
            <w:tcW w:w="919" w:type="pct"/>
            <w:vAlign w:val="center"/>
          </w:tcPr>
          <w:p w:rsidR="008B0142" w:rsidRPr="0019406C" w:rsidRDefault="008B0142" w:rsidP="008B0142">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olor w:val="000000"/>
                <w:lang w:val="lv-LV"/>
              </w:rPr>
            </w:pPr>
            <w:r w:rsidRPr="0019406C">
              <w:rPr>
                <w:rFonts w:asciiTheme="majorHAnsi" w:hAnsiTheme="majorHAnsi"/>
                <w:color w:val="000000"/>
                <w:lang w:val="lv-LV"/>
              </w:rPr>
              <w:t>120</w:t>
            </w:r>
          </w:p>
        </w:tc>
        <w:tc>
          <w:tcPr>
            <w:cnfStyle w:val="000010000000" w:firstRow="0" w:lastRow="0" w:firstColumn="0" w:lastColumn="0" w:oddVBand="1" w:evenVBand="0" w:oddHBand="0" w:evenHBand="0" w:firstRowFirstColumn="0" w:firstRowLastColumn="0" w:lastRowFirstColumn="0" w:lastRowLastColumn="0"/>
            <w:tcW w:w="2332" w:type="pct"/>
            <w:vAlign w:val="center"/>
          </w:tcPr>
          <w:p w:rsidR="008B0142" w:rsidRPr="0019406C" w:rsidRDefault="008B0142" w:rsidP="008B0142">
            <w:pPr>
              <w:jc w:val="center"/>
              <w:rPr>
                <w:rFonts w:asciiTheme="majorHAnsi" w:hAnsiTheme="majorHAnsi"/>
                <w:color w:val="000000"/>
                <w:lang w:val="lv-LV"/>
              </w:rPr>
            </w:pPr>
            <w:r w:rsidRPr="0019406C">
              <w:rPr>
                <w:rFonts w:asciiTheme="majorHAnsi" w:hAnsiTheme="majorHAnsi"/>
                <w:color w:val="000000"/>
                <w:lang w:val="lv-LV"/>
              </w:rPr>
              <w:t>10.5</w:t>
            </w:r>
          </w:p>
        </w:tc>
      </w:tr>
      <w:tr w:rsidR="008B0142" w:rsidRPr="0019406C" w:rsidTr="008B0142">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8B0142" w:rsidRPr="0019406C" w:rsidRDefault="008B0142" w:rsidP="008B0142">
            <w:pPr>
              <w:rPr>
                <w:rFonts w:asciiTheme="majorHAnsi" w:eastAsia="Cambria" w:hAnsiTheme="majorHAnsi" w:cs="Times New Roman"/>
                <w:b w:val="0"/>
                <w:lang w:val="lv-LV"/>
              </w:rPr>
            </w:pPr>
            <w:r w:rsidRPr="0019406C">
              <w:rPr>
                <w:rFonts w:asciiTheme="majorHAnsi" w:hAnsiTheme="majorHAnsi"/>
                <w:b w:val="0"/>
                <w:lang w:val="lv-LV"/>
              </w:rPr>
              <w:t>Polija</w:t>
            </w:r>
          </w:p>
        </w:tc>
        <w:tc>
          <w:tcPr>
            <w:cnfStyle w:val="000010000000" w:firstRow="0" w:lastRow="0" w:firstColumn="0" w:lastColumn="0" w:oddVBand="1" w:evenVBand="0" w:oddHBand="0" w:evenHBand="0" w:firstRowFirstColumn="0" w:firstRowLastColumn="0" w:lastRowFirstColumn="0" w:lastRowLastColumn="0"/>
            <w:tcW w:w="1098" w:type="pct"/>
            <w:vAlign w:val="center"/>
          </w:tcPr>
          <w:p w:rsidR="008B0142" w:rsidRPr="0019406C" w:rsidRDefault="008B0142" w:rsidP="008B0142">
            <w:pPr>
              <w:jc w:val="center"/>
              <w:rPr>
                <w:rFonts w:asciiTheme="majorHAnsi" w:hAnsiTheme="majorHAnsi"/>
                <w:color w:val="000000"/>
                <w:lang w:val="lv-LV"/>
              </w:rPr>
            </w:pPr>
            <w:r w:rsidRPr="0019406C">
              <w:rPr>
                <w:rFonts w:asciiTheme="majorHAnsi" w:hAnsiTheme="majorHAnsi"/>
                <w:color w:val="000000"/>
                <w:lang w:val="lv-LV"/>
              </w:rPr>
              <w:t>18</w:t>
            </w:r>
          </w:p>
        </w:tc>
        <w:tc>
          <w:tcPr>
            <w:tcW w:w="919" w:type="pct"/>
            <w:vAlign w:val="center"/>
          </w:tcPr>
          <w:p w:rsidR="008B0142" w:rsidRPr="0019406C" w:rsidRDefault="008B0142" w:rsidP="008B0142">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olor w:val="000000"/>
                <w:lang w:val="lv-LV"/>
              </w:rPr>
            </w:pPr>
            <w:r w:rsidRPr="0019406C">
              <w:rPr>
                <w:rFonts w:asciiTheme="majorHAnsi" w:hAnsiTheme="majorHAnsi"/>
                <w:color w:val="000000"/>
                <w:lang w:val="lv-LV"/>
              </w:rPr>
              <w:t>161</w:t>
            </w:r>
          </w:p>
        </w:tc>
        <w:tc>
          <w:tcPr>
            <w:cnfStyle w:val="000010000000" w:firstRow="0" w:lastRow="0" w:firstColumn="0" w:lastColumn="0" w:oddVBand="1" w:evenVBand="0" w:oddHBand="0" w:evenHBand="0" w:firstRowFirstColumn="0" w:firstRowLastColumn="0" w:lastRowFirstColumn="0" w:lastRowLastColumn="0"/>
            <w:tcW w:w="2332" w:type="pct"/>
            <w:vAlign w:val="center"/>
          </w:tcPr>
          <w:p w:rsidR="008B0142" w:rsidRPr="0019406C" w:rsidRDefault="008B0142" w:rsidP="008B0142">
            <w:pPr>
              <w:jc w:val="center"/>
              <w:rPr>
                <w:rFonts w:asciiTheme="majorHAnsi" w:hAnsiTheme="majorHAnsi"/>
                <w:color w:val="000000"/>
                <w:lang w:val="lv-LV"/>
              </w:rPr>
            </w:pPr>
            <w:r w:rsidRPr="0019406C">
              <w:rPr>
                <w:rFonts w:asciiTheme="majorHAnsi" w:hAnsiTheme="majorHAnsi"/>
                <w:color w:val="000000"/>
                <w:lang w:val="lv-LV"/>
              </w:rPr>
              <w:t>10.6</w:t>
            </w:r>
          </w:p>
        </w:tc>
      </w:tr>
    </w:tbl>
    <w:p w:rsidR="0008339C" w:rsidRPr="0019406C" w:rsidRDefault="0008339C" w:rsidP="006B022F">
      <w:pPr>
        <w:pStyle w:val="BodyText"/>
        <w:spacing w:line="276" w:lineRule="auto"/>
        <w:jc w:val="both"/>
        <w:rPr>
          <w:rFonts w:asciiTheme="majorHAnsi" w:hAnsiTheme="majorHAnsi"/>
          <w:lang w:val="lv-LV"/>
        </w:rPr>
      </w:pPr>
    </w:p>
    <w:p w:rsidR="008B0142" w:rsidRPr="0019406C" w:rsidRDefault="008B0142" w:rsidP="006B022F">
      <w:pPr>
        <w:pStyle w:val="BodyText"/>
        <w:spacing w:line="276" w:lineRule="auto"/>
        <w:jc w:val="both"/>
        <w:rPr>
          <w:rFonts w:asciiTheme="majorHAnsi" w:hAnsiTheme="majorHAnsi"/>
          <w:lang w:val="lv-LV"/>
        </w:rPr>
      </w:pPr>
      <w:r w:rsidRPr="0019406C">
        <w:rPr>
          <w:rFonts w:asciiTheme="majorHAnsi" w:hAnsiTheme="majorHAnsi"/>
          <w:lang w:val="lv-LV"/>
        </w:rPr>
        <w:t>Vajadzīgo dienu skaits, kas vidēji jāpatērē, lai pilnībā nokārtotu ar būvniecības atļauju saistītās formalitātes, Latvijā ir augstāks nekā citās valstīs. Salīdzinājumā ar 152 dienām Latvijā, piemēram, Dānijā un Somijā tam</w:t>
      </w:r>
      <w:r w:rsidR="00ED7D81" w:rsidRPr="0019406C">
        <w:rPr>
          <w:rFonts w:asciiTheme="majorHAnsi" w:hAnsiTheme="majorHAnsi"/>
          <w:lang w:val="lv-LV"/>
        </w:rPr>
        <w:t xml:space="preserve"> ir vajadzīgas 67, bet Lietuvā – </w:t>
      </w:r>
      <w:r w:rsidRPr="0019406C">
        <w:rPr>
          <w:rFonts w:asciiTheme="majorHAnsi" w:hAnsiTheme="majorHAnsi"/>
          <w:lang w:val="lv-LV"/>
        </w:rPr>
        <w:t xml:space="preserve">105 dienas. Kopējo procedūru skaits, kas nepieciešamas būvniecības atļauju iegūšanai Latvijā ir 18, kas gan ir vienādi ar Eiropas un </w:t>
      </w:r>
      <w:proofErr w:type="spellStart"/>
      <w:r w:rsidRPr="0019406C">
        <w:rPr>
          <w:rFonts w:asciiTheme="majorHAnsi" w:hAnsiTheme="majorHAnsi"/>
          <w:lang w:val="lv-LV"/>
        </w:rPr>
        <w:t>Centrālāzijas</w:t>
      </w:r>
      <w:proofErr w:type="spellEnd"/>
      <w:r w:rsidRPr="0019406C">
        <w:rPr>
          <w:rFonts w:asciiTheme="majorHAnsi" w:hAnsiTheme="majorHAnsi"/>
          <w:lang w:val="lv-LV"/>
        </w:rPr>
        <w:t xml:space="preserve"> vidējo līmeni, tomēr vairāk kā OECD valstīs. Izmaksu ziņā Latvijas situācija ir salīdzinoši konkurētspējīga, tomēr jāņem vērā, ka arī patērētais laiks rada izmaksas uzņēmumiem, ne tikai tiešās izmaksas, tādēļ Latvijai vajadzētu koncentrēties uz procedūru skaita un </w:t>
      </w:r>
      <w:r w:rsidR="0072729F" w:rsidRPr="0019406C">
        <w:rPr>
          <w:rFonts w:asciiTheme="majorHAnsi" w:hAnsiTheme="majorHAnsi"/>
          <w:lang w:val="lv-LV"/>
        </w:rPr>
        <w:t>patērētā</w:t>
      </w:r>
      <w:r w:rsidRPr="0019406C">
        <w:rPr>
          <w:rFonts w:asciiTheme="majorHAnsi" w:hAnsiTheme="majorHAnsi"/>
          <w:lang w:val="lv-LV"/>
        </w:rPr>
        <w:t xml:space="preserve"> laika samazināšanu.</w:t>
      </w:r>
    </w:p>
    <w:p w:rsidR="008B0142" w:rsidRPr="0019406C" w:rsidRDefault="008B0142" w:rsidP="008B0142">
      <w:pPr>
        <w:pStyle w:val="Caption"/>
        <w:keepNext/>
        <w:rPr>
          <w:rFonts w:asciiTheme="majorHAnsi" w:hAnsiTheme="majorHAnsi"/>
          <w:sz w:val="16"/>
          <w:lang w:val="lv-LV"/>
        </w:rPr>
      </w:pPr>
      <w:bookmarkStart w:id="66" w:name="_Toc389225083"/>
      <w:r w:rsidRPr="0019406C">
        <w:rPr>
          <w:rFonts w:asciiTheme="majorHAnsi" w:hAnsiTheme="majorHAnsi"/>
          <w:sz w:val="16"/>
          <w:lang w:val="lv-LV"/>
        </w:rPr>
        <w:t xml:space="preserve">Tabula </w:t>
      </w:r>
      <w:r w:rsidRPr="0019406C">
        <w:rPr>
          <w:rFonts w:asciiTheme="majorHAnsi" w:hAnsiTheme="majorHAnsi"/>
          <w:sz w:val="16"/>
          <w:lang w:val="lv-LV"/>
        </w:rPr>
        <w:fldChar w:fldCharType="begin"/>
      </w:r>
      <w:r w:rsidRPr="0019406C">
        <w:rPr>
          <w:rFonts w:asciiTheme="majorHAnsi" w:hAnsiTheme="majorHAnsi"/>
          <w:sz w:val="16"/>
          <w:lang w:val="lv-LV"/>
        </w:rPr>
        <w:instrText xml:space="preserve"> SEQ Tabula \* ARABIC </w:instrText>
      </w:r>
      <w:r w:rsidRPr="0019406C">
        <w:rPr>
          <w:rFonts w:asciiTheme="majorHAnsi" w:hAnsiTheme="majorHAnsi"/>
          <w:sz w:val="16"/>
          <w:lang w:val="lv-LV"/>
        </w:rPr>
        <w:fldChar w:fldCharType="separate"/>
      </w:r>
      <w:r w:rsidR="00410806" w:rsidRPr="0019406C">
        <w:rPr>
          <w:rFonts w:asciiTheme="majorHAnsi" w:hAnsiTheme="majorHAnsi"/>
          <w:noProof/>
          <w:sz w:val="16"/>
          <w:lang w:val="lv-LV"/>
        </w:rPr>
        <w:t>9</w:t>
      </w:r>
      <w:r w:rsidRPr="0019406C">
        <w:rPr>
          <w:rFonts w:asciiTheme="majorHAnsi" w:hAnsiTheme="majorHAnsi"/>
          <w:sz w:val="16"/>
          <w:lang w:val="lv-LV"/>
        </w:rPr>
        <w:fldChar w:fldCharType="end"/>
      </w:r>
      <w:r w:rsidRPr="0019406C">
        <w:rPr>
          <w:rFonts w:asciiTheme="majorHAnsi" w:hAnsiTheme="majorHAnsi"/>
          <w:sz w:val="16"/>
          <w:lang w:val="lv-LV"/>
        </w:rPr>
        <w:t xml:space="preserve"> Doing Business labā prakse būvniecības procesa jomā</w:t>
      </w:r>
      <w:bookmarkEnd w:id="66"/>
    </w:p>
    <w:tbl>
      <w:tblPr>
        <w:tblStyle w:val="LightList-Accent11"/>
        <w:tblW w:w="5000" w:type="pct"/>
        <w:tblLook w:val="0020" w:firstRow="1" w:lastRow="0" w:firstColumn="0" w:lastColumn="0" w:noHBand="0" w:noVBand="0"/>
      </w:tblPr>
      <w:tblGrid>
        <w:gridCol w:w="7905"/>
        <w:gridCol w:w="2175"/>
      </w:tblGrid>
      <w:tr w:rsidR="008B0142" w:rsidRPr="0019406C" w:rsidTr="008B0142">
        <w:trPr>
          <w:cnfStyle w:val="100000000000" w:firstRow="1" w:lastRow="0" w:firstColumn="0" w:lastColumn="0" w:oddVBand="0" w:evenVBand="0" w:oddHBand="0" w:evenHBand="0" w:firstRowFirstColumn="0" w:firstRowLastColumn="0" w:lastRowFirstColumn="0" w:lastRowLastColumn="0"/>
          <w:trHeight w:val="190"/>
        </w:trPr>
        <w:tc>
          <w:tcPr>
            <w:cnfStyle w:val="000010000000" w:firstRow="0" w:lastRow="0" w:firstColumn="0" w:lastColumn="0" w:oddVBand="1" w:evenVBand="0" w:oddHBand="0" w:evenHBand="0" w:firstRowFirstColumn="0" w:firstRowLastColumn="0" w:lastRowFirstColumn="0" w:lastRowLastColumn="0"/>
            <w:tcW w:w="3921" w:type="pct"/>
            <w:vAlign w:val="center"/>
          </w:tcPr>
          <w:p w:rsidR="008B0142" w:rsidRPr="0019406C" w:rsidRDefault="008B0142" w:rsidP="008B0142">
            <w:pPr>
              <w:rPr>
                <w:rFonts w:asciiTheme="majorHAnsi" w:eastAsia="Cambria" w:hAnsiTheme="majorHAnsi" w:cs="Times New Roman"/>
                <w:lang w:val="lv-LV"/>
              </w:rPr>
            </w:pPr>
            <w:r w:rsidRPr="0019406C">
              <w:rPr>
                <w:rFonts w:asciiTheme="majorHAnsi" w:eastAsia="Cambria" w:hAnsiTheme="majorHAnsi" w:cs="Times New Roman"/>
                <w:lang w:val="lv-LV"/>
              </w:rPr>
              <w:t>Labās prakses kritēriji</w:t>
            </w:r>
          </w:p>
        </w:tc>
        <w:tc>
          <w:tcPr>
            <w:tcW w:w="1079" w:type="pct"/>
            <w:vAlign w:val="center"/>
          </w:tcPr>
          <w:p w:rsidR="008B0142" w:rsidRPr="0019406C" w:rsidRDefault="008B0142" w:rsidP="008B0142">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DB vērtējums</w:t>
            </w:r>
          </w:p>
        </w:tc>
      </w:tr>
      <w:tr w:rsidR="008B0142" w:rsidRPr="0019406C" w:rsidTr="008B0142">
        <w:trPr>
          <w:cnfStyle w:val="000000100000" w:firstRow="0" w:lastRow="0" w:firstColumn="0" w:lastColumn="0" w:oddVBand="0" w:evenVBand="0" w:oddHBand="1" w:evenHBand="0" w:firstRowFirstColumn="0" w:firstRowLastColumn="0" w:lastRowFirstColumn="0" w:lastRowLastColumn="0"/>
          <w:trHeight w:val="264"/>
        </w:trPr>
        <w:tc>
          <w:tcPr>
            <w:cnfStyle w:val="000010000000" w:firstRow="0" w:lastRow="0" w:firstColumn="0" w:lastColumn="0" w:oddVBand="1" w:evenVBand="0" w:oddHBand="0" w:evenHBand="0" w:firstRowFirstColumn="0" w:firstRowLastColumn="0" w:lastRowFirstColumn="0" w:lastRowLastColumn="0"/>
            <w:tcW w:w="3921" w:type="pct"/>
            <w:vAlign w:val="center"/>
          </w:tcPr>
          <w:p w:rsidR="008B0142" w:rsidRPr="0019406C" w:rsidRDefault="008B0142" w:rsidP="008B0142">
            <w:pPr>
              <w:rPr>
                <w:rFonts w:asciiTheme="majorHAnsi" w:hAnsiTheme="majorHAnsi"/>
                <w:b/>
                <w:lang w:val="lv-LV"/>
              </w:rPr>
            </w:pPr>
            <w:r w:rsidRPr="0019406C">
              <w:rPr>
                <w:rFonts w:asciiTheme="majorHAnsi" w:hAnsiTheme="majorHAnsi"/>
                <w:lang w:val="lv-LV"/>
              </w:rPr>
              <w:t>Vai ar būvniecību saistīto atļauju izsniegšana balstītas uz riska apsvērumiem?</w:t>
            </w:r>
          </w:p>
        </w:tc>
        <w:tc>
          <w:tcPr>
            <w:tcW w:w="1079" w:type="pct"/>
            <w:vAlign w:val="center"/>
          </w:tcPr>
          <w:p w:rsidR="008B0142" w:rsidRPr="0019406C" w:rsidRDefault="008B0142" w:rsidP="008B0142">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Jā</w:t>
            </w:r>
          </w:p>
        </w:tc>
      </w:tr>
      <w:tr w:rsidR="008B0142" w:rsidRPr="0019406C" w:rsidTr="008B0142">
        <w:trPr>
          <w:trHeight w:val="264"/>
        </w:trPr>
        <w:tc>
          <w:tcPr>
            <w:cnfStyle w:val="000010000000" w:firstRow="0" w:lastRow="0" w:firstColumn="0" w:lastColumn="0" w:oddVBand="1" w:evenVBand="0" w:oddHBand="0" w:evenHBand="0" w:firstRowFirstColumn="0" w:firstRowLastColumn="0" w:lastRowFirstColumn="0" w:lastRowLastColumn="0"/>
            <w:tcW w:w="3921" w:type="pct"/>
            <w:vAlign w:val="center"/>
          </w:tcPr>
          <w:p w:rsidR="008B0142" w:rsidRPr="0019406C" w:rsidRDefault="008B0142" w:rsidP="00F77612">
            <w:pPr>
              <w:rPr>
                <w:rFonts w:asciiTheme="majorHAnsi" w:hAnsiTheme="majorHAnsi"/>
                <w:b/>
                <w:lang w:val="lv-LV"/>
              </w:rPr>
            </w:pPr>
            <w:r w:rsidRPr="0019406C">
              <w:rPr>
                <w:rFonts w:asciiTheme="majorHAnsi" w:hAnsiTheme="majorHAnsi"/>
                <w:lang w:val="lv-LV"/>
              </w:rPr>
              <w:t>Vai spēkā ir visaptveroši būvniecības noteikumi?</w:t>
            </w:r>
          </w:p>
        </w:tc>
        <w:tc>
          <w:tcPr>
            <w:tcW w:w="1079" w:type="pct"/>
            <w:vAlign w:val="center"/>
          </w:tcPr>
          <w:p w:rsidR="008B0142" w:rsidRPr="0019406C" w:rsidRDefault="008B0142" w:rsidP="008B0142">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olor w:val="000000"/>
                <w:lang w:val="lv-LV"/>
              </w:rPr>
            </w:pPr>
            <w:r w:rsidRPr="0019406C">
              <w:rPr>
                <w:rFonts w:asciiTheme="majorHAnsi" w:hAnsiTheme="majorHAnsi"/>
                <w:color w:val="000000"/>
                <w:lang w:val="lv-LV"/>
              </w:rPr>
              <w:t>Nē</w:t>
            </w:r>
          </w:p>
        </w:tc>
      </w:tr>
      <w:tr w:rsidR="008B0142" w:rsidRPr="0019406C" w:rsidTr="008B0142">
        <w:trPr>
          <w:cnfStyle w:val="000000100000" w:firstRow="0" w:lastRow="0" w:firstColumn="0" w:lastColumn="0" w:oddVBand="0" w:evenVBand="0" w:oddHBand="1" w:evenHBand="0" w:firstRowFirstColumn="0" w:firstRowLastColumn="0" w:lastRowFirstColumn="0" w:lastRowLastColumn="0"/>
          <w:trHeight w:val="264"/>
        </w:trPr>
        <w:tc>
          <w:tcPr>
            <w:cnfStyle w:val="000010000000" w:firstRow="0" w:lastRow="0" w:firstColumn="0" w:lastColumn="0" w:oddVBand="1" w:evenVBand="0" w:oddHBand="0" w:evenHBand="0" w:firstRowFirstColumn="0" w:firstRowLastColumn="0" w:lastRowFirstColumn="0" w:lastRowLastColumn="0"/>
            <w:tcW w:w="3921" w:type="pct"/>
            <w:vAlign w:val="center"/>
          </w:tcPr>
          <w:p w:rsidR="008B0142" w:rsidRPr="0019406C" w:rsidRDefault="008B0142" w:rsidP="008B0142">
            <w:pPr>
              <w:rPr>
                <w:rFonts w:asciiTheme="majorHAnsi" w:hAnsiTheme="majorHAnsi"/>
                <w:b/>
                <w:lang w:val="lv-LV"/>
              </w:rPr>
            </w:pPr>
            <w:r w:rsidRPr="0019406C">
              <w:rPr>
                <w:rFonts w:asciiTheme="majorHAnsi" w:hAnsiTheme="majorHAnsi"/>
                <w:lang w:val="lv-LV"/>
              </w:rPr>
              <w:t>Vai pastāv „vienas pieturas” aģentūra?</w:t>
            </w:r>
          </w:p>
        </w:tc>
        <w:tc>
          <w:tcPr>
            <w:tcW w:w="1079" w:type="pct"/>
            <w:vAlign w:val="center"/>
          </w:tcPr>
          <w:p w:rsidR="008B0142" w:rsidRPr="0019406C" w:rsidRDefault="008B0142" w:rsidP="008B0142">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olor w:val="000000"/>
                <w:lang w:val="lv-LV"/>
              </w:rPr>
            </w:pPr>
            <w:r w:rsidRPr="0019406C">
              <w:rPr>
                <w:rFonts w:asciiTheme="majorHAnsi" w:hAnsiTheme="majorHAnsi"/>
                <w:color w:val="000000"/>
                <w:lang w:val="lv-LV"/>
              </w:rPr>
              <w:t>Nē</w:t>
            </w:r>
          </w:p>
        </w:tc>
      </w:tr>
    </w:tbl>
    <w:p w:rsidR="008B0142" w:rsidRPr="0019406C" w:rsidRDefault="008B0142" w:rsidP="008B0142">
      <w:pPr>
        <w:pStyle w:val="BodyText"/>
        <w:jc w:val="both"/>
        <w:rPr>
          <w:rFonts w:asciiTheme="majorHAnsi" w:hAnsiTheme="majorHAnsi"/>
          <w:lang w:val="lv-LV"/>
        </w:rPr>
      </w:pPr>
    </w:p>
    <w:p w:rsidR="008B0142" w:rsidRPr="0019406C" w:rsidRDefault="008B0142" w:rsidP="006B022F">
      <w:pPr>
        <w:pStyle w:val="BodyText"/>
        <w:spacing w:line="276" w:lineRule="auto"/>
        <w:jc w:val="both"/>
        <w:rPr>
          <w:rFonts w:asciiTheme="majorHAnsi" w:hAnsiTheme="majorHAnsi"/>
          <w:lang w:val="lv-LV"/>
        </w:rPr>
      </w:pPr>
      <w:r w:rsidRPr="0019406C">
        <w:rPr>
          <w:rFonts w:asciiTheme="majorHAnsi" w:hAnsiTheme="majorHAnsi"/>
          <w:lang w:val="lv-LV"/>
        </w:rPr>
        <w:t>DB labās prakses kritēriji parāda, ka Latvijā nav spēkā pietiekami visaptveroši būvniecības noteikumi, kā arī nav nodrošināts vienas pieturas aģentūras princips, lai iespējami atvieglotu būvniecības jomas dokumentu apriti.</w:t>
      </w:r>
      <w:r w:rsidR="002002D4" w:rsidRPr="0019406C">
        <w:rPr>
          <w:rFonts w:asciiTheme="majorHAnsi" w:hAnsiTheme="majorHAnsi"/>
          <w:lang w:val="lv-LV"/>
        </w:rPr>
        <w:t xml:space="preserve"> Kaut arī Latvijā ir izstrādāta normatīvā bāze būvniecības jomā, DB vērtējums par visaptverošiem būvniecības noteikumiem varētu būt saistīts ar ilgstošo jaunā Būvniecības likuma izstrādi.</w:t>
      </w:r>
    </w:p>
    <w:p w:rsidR="008B0142" w:rsidRPr="0019406C" w:rsidRDefault="008B0142" w:rsidP="008B0142">
      <w:pPr>
        <w:pStyle w:val="BodyText"/>
        <w:jc w:val="both"/>
        <w:rPr>
          <w:rFonts w:asciiTheme="majorHAnsi" w:hAnsiTheme="majorHAnsi"/>
          <w:b/>
          <w:sz w:val="22"/>
          <w:szCs w:val="22"/>
          <w:lang w:val="lv-LV"/>
        </w:rPr>
      </w:pPr>
      <w:r w:rsidRPr="0019406C">
        <w:rPr>
          <w:rFonts w:asciiTheme="majorHAnsi" w:hAnsiTheme="majorHAnsi"/>
          <w:b/>
          <w:sz w:val="22"/>
          <w:szCs w:val="22"/>
          <w:lang w:val="lv-LV"/>
        </w:rPr>
        <w:t>Pašlaik veiktās izmaiņas</w:t>
      </w:r>
    </w:p>
    <w:p w:rsidR="008B0142" w:rsidRPr="0019406C" w:rsidRDefault="008B0142" w:rsidP="006B022F">
      <w:pPr>
        <w:pStyle w:val="BodyText"/>
        <w:spacing w:line="276" w:lineRule="auto"/>
        <w:jc w:val="both"/>
        <w:rPr>
          <w:rFonts w:asciiTheme="majorHAnsi" w:hAnsiTheme="majorHAnsi"/>
          <w:lang w:val="lv-LV"/>
        </w:rPr>
      </w:pPr>
      <w:r w:rsidRPr="0019406C">
        <w:rPr>
          <w:rFonts w:asciiTheme="majorHAnsi" w:hAnsiTheme="majorHAnsi"/>
          <w:lang w:val="lv-LV"/>
        </w:rPr>
        <w:t>Jau zināms, ka no 2014. gada 1.</w:t>
      </w:r>
      <w:r w:rsidR="007B66B6" w:rsidRPr="0019406C">
        <w:rPr>
          <w:rFonts w:asciiTheme="majorHAnsi" w:hAnsiTheme="majorHAnsi"/>
          <w:lang w:val="lv-LV"/>
        </w:rPr>
        <w:t xml:space="preserve"> oktobra</w:t>
      </w:r>
      <w:r w:rsidRPr="0019406C">
        <w:rPr>
          <w:rFonts w:asciiTheme="majorHAnsi" w:hAnsiTheme="majorHAnsi"/>
          <w:lang w:val="lv-LV"/>
        </w:rPr>
        <w:t xml:space="preserve"> spēkā stāsies jaunais Būvniecības likums, kas paredz samazināt administratīvo slogu, kā arī padarīt būvniecības procesu efektīvāku. Kopumā tiks veiktas šādas izmaiņas un </w:t>
      </w:r>
      <w:r w:rsidRPr="0019406C">
        <w:rPr>
          <w:rFonts w:asciiTheme="majorHAnsi" w:hAnsiTheme="majorHAnsi"/>
          <w:lang w:val="lv-LV"/>
        </w:rPr>
        <w:lastRenderedPageBreak/>
        <w:t xml:space="preserve">uzlabojumi, kas ļautu samazināt procesam vajadzīgo dienu skaitu, kā arī padarīt to caurskatāmāku, tādējādi uzlabojot rezultātu </w:t>
      </w:r>
      <w:r w:rsidRPr="0019406C">
        <w:rPr>
          <w:rFonts w:asciiTheme="majorHAnsi" w:hAnsiTheme="majorHAnsi"/>
          <w:i/>
          <w:lang w:val="lv-LV"/>
        </w:rPr>
        <w:t>Doing Business</w:t>
      </w:r>
      <w:r w:rsidRPr="0019406C">
        <w:rPr>
          <w:rFonts w:asciiTheme="majorHAnsi" w:hAnsiTheme="majorHAnsi"/>
          <w:lang w:val="lv-LV"/>
        </w:rPr>
        <w:t xml:space="preserve"> pētījumā:</w:t>
      </w:r>
    </w:p>
    <w:p w:rsidR="008B0142" w:rsidRPr="0019406C" w:rsidRDefault="008B0142" w:rsidP="00E521EE">
      <w:pPr>
        <w:pStyle w:val="BodyText"/>
        <w:numPr>
          <w:ilvl w:val="0"/>
          <w:numId w:val="28"/>
        </w:numPr>
        <w:spacing w:after="0" w:line="276" w:lineRule="auto"/>
        <w:jc w:val="both"/>
        <w:rPr>
          <w:rFonts w:asciiTheme="majorHAnsi" w:hAnsiTheme="majorHAnsi"/>
          <w:lang w:val="lv-LV"/>
        </w:rPr>
      </w:pPr>
      <w:r w:rsidRPr="0019406C">
        <w:rPr>
          <w:rFonts w:asciiTheme="majorHAnsi" w:hAnsiTheme="majorHAnsi"/>
          <w:lang w:val="lv-LV"/>
        </w:rPr>
        <w:t>Lēmums par būvatļaujas izdošanu tiek pieņemts procesa sākumā, nevis beigās;</w:t>
      </w:r>
    </w:p>
    <w:p w:rsidR="008B0142" w:rsidRPr="0019406C" w:rsidRDefault="008B0142" w:rsidP="00E521EE">
      <w:pPr>
        <w:pStyle w:val="BodyText"/>
        <w:numPr>
          <w:ilvl w:val="0"/>
          <w:numId w:val="28"/>
        </w:numPr>
        <w:spacing w:after="0" w:line="276" w:lineRule="auto"/>
        <w:jc w:val="both"/>
        <w:rPr>
          <w:rFonts w:asciiTheme="majorHAnsi" w:hAnsiTheme="majorHAnsi"/>
          <w:lang w:val="lv-LV"/>
        </w:rPr>
      </w:pPr>
      <w:r w:rsidRPr="0019406C">
        <w:rPr>
          <w:rFonts w:asciiTheme="majorHAnsi" w:hAnsiTheme="majorHAnsi"/>
          <w:lang w:val="lv-LV"/>
        </w:rPr>
        <w:t>Būvatļaujas izdošana vai atteikums būvvaldei jāizdod 1 mēneša laikā no ieceres iesniegšanas brīža;</w:t>
      </w:r>
    </w:p>
    <w:p w:rsidR="008B0142" w:rsidRPr="0019406C" w:rsidRDefault="008B0142" w:rsidP="00E521EE">
      <w:pPr>
        <w:pStyle w:val="BodyText"/>
        <w:numPr>
          <w:ilvl w:val="0"/>
          <w:numId w:val="28"/>
        </w:numPr>
        <w:spacing w:after="0" w:line="276" w:lineRule="auto"/>
        <w:jc w:val="both"/>
        <w:rPr>
          <w:rFonts w:asciiTheme="majorHAnsi" w:hAnsiTheme="majorHAnsi"/>
          <w:lang w:val="lv-LV"/>
        </w:rPr>
      </w:pPr>
      <w:r w:rsidRPr="0019406C">
        <w:rPr>
          <w:rFonts w:asciiTheme="majorHAnsi" w:hAnsiTheme="majorHAnsi"/>
          <w:lang w:val="lv-LV"/>
        </w:rPr>
        <w:t>Būvniecības ieceres akcepts, izdarot atzīmi apliecinājuma kartē, vai atteikums vienkāršotā kārtībā būvvaldei jāveic 14 dienu laikā no vajadzīgo dokumentu iesniegšanas brīža;</w:t>
      </w:r>
    </w:p>
    <w:p w:rsidR="008B0142" w:rsidRPr="0019406C" w:rsidRDefault="008B0142" w:rsidP="00E521EE">
      <w:pPr>
        <w:pStyle w:val="BodyText"/>
        <w:numPr>
          <w:ilvl w:val="0"/>
          <w:numId w:val="28"/>
        </w:numPr>
        <w:spacing w:after="0" w:line="276" w:lineRule="auto"/>
        <w:jc w:val="both"/>
        <w:rPr>
          <w:rFonts w:asciiTheme="majorHAnsi" w:hAnsiTheme="majorHAnsi"/>
          <w:lang w:val="lv-LV"/>
        </w:rPr>
      </w:pPr>
      <w:r w:rsidRPr="0019406C">
        <w:rPr>
          <w:rFonts w:asciiTheme="majorHAnsi" w:hAnsiTheme="majorHAnsi"/>
          <w:lang w:val="lv-LV"/>
        </w:rPr>
        <w:t>Būvniecības ieceres akcepts, izdarot atzīmi būvniecības ieceres paskaidrojuma rakstā, vai atteikums būvvaldei jāveic 7 dienu laikā no vajadzīgo dokumentu iesniegšanas brīža;</w:t>
      </w:r>
    </w:p>
    <w:p w:rsidR="008B0142" w:rsidRPr="0019406C" w:rsidRDefault="008B0142" w:rsidP="00E521EE">
      <w:pPr>
        <w:pStyle w:val="BodyText"/>
        <w:numPr>
          <w:ilvl w:val="0"/>
          <w:numId w:val="28"/>
        </w:numPr>
        <w:spacing w:after="0" w:line="276" w:lineRule="auto"/>
        <w:jc w:val="both"/>
        <w:rPr>
          <w:rFonts w:asciiTheme="majorHAnsi" w:hAnsiTheme="majorHAnsi"/>
          <w:lang w:val="lv-LV"/>
        </w:rPr>
      </w:pPr>
      <w:proofErr w:type="spellStart"/>
      <w:r w:rsidRPr="0019406C">
        <w:rPr>
          <w:rFonts w:asciiTheme="majorHAnsi" w:hAnsiTheme="majorHAnsi"/>
          <w:lang w:val="lv-LV"/>
        </w:rPr>
        <w:t>Būvspeciālistiem</w:t>
      </w:r>
      <w:proofErr w:type="spellEnd"/>
      <w:r w:rsidRPr="0019406C">
        <w:rPr>
          <w:rFonts w:asciiTheme="majorHAnsi" w:hAnsiTheme="majorHAnsi"/>
          <w:lang w:val="lv-LV"/>
        </w:rPr>
        <w:t xml:space="preserve"> nepieciešams apdrošināt savu profesionālo atbildību;</w:t>
      </w:r>
    </w:p>
    <w:p w:rsidR="008B0142" w:rsidRPr="0019406C" w:rsidRDefault="008B0142" w:rsidP="00E521EE">
      <w:pPr>
        <w:pStyle w:val="BodyText"/>
        <w:numPr>
          <w:ilvl w:val="0"/>
          <w:numId w:val="28"/>
        </w:numPr>
        <w:spacing w:after="0" w:line="276" w:lineRule="auto"/>
        <w:jc w:val="both"/>
        <w:rPr>
          <w:rFonts w:asciiTheme="majorHAnsi" w:hAnsiTheme="majorHAnsi"/>
          <w:lang w:val="lv-LV"/>
        </w:rPr>
      </w:pPr>
      <w:r w:rsidRPr="0019406C">
        <w:rPr>
          <w:rFonts w:asciiTheme="majorHAnsi" w:hAnsiTheme="majorHAnsi"/>
          <w:lang w:val="lv-LV"/>
        </w:rPr>
        <w:t>Augstākas prasības speciālistu izglītībai;</w:t>
      </w:r>
    </w:p>
    <w:p w:rsidR="008B0142" w:rsidRPr="0019406C" w:rsidRDefault="008B0142" w:rsidP="00E521EE">
      <w:pPr>
        <w:pStyle w:val="BodyText"/>
        <w:numPr>
          <w:ilvl w:val="0"/>
          <w:numId w:val="28"/>
        </w:numPr>
        <w:spacing w:after="0" w:line="276" w:lineRule="auto"/>
        <w:jc w:val="both"/>
        <w:rPr>
          <w:rFonts w:asciiTheme="majorHAnsi" w:hAnsiTheme="majorHAnsi"/>
          <w:lang w:val="lv-LV"/>
        </w:rPr>
      </w:pPr>
      <w:r w:rsidRPr="0019406C">
        <w:rPr>
          <w:rFonts w:asciiTheme="majorHAnsi" w:hAnsiTheme="majorHAnsi"/>
          <w:lang w:val="lv-LV"/>
        </w:rPr>
        <w:t>Būvvaldei nav jāizdod plānošanas un arhitektūras uzdevums, kas dublē apbūves noteikumus un tādējādi ļaus ietaupīt līdz pat 10 dienām laika;</w:t>
      </w:r>
    </w:p>
    <w:p w:rsidR="008B0142" w:rsidRPr="0019406C" w:rsidRDefault="008B0142" w:rsidP="00E521EE">
      <w:pPr>
        <w:pStyle w:val="BodyText"/>
        <w:numPr>
          <w:ilvl w:val="0"/>
          <w:numId w:val="28"/>
        </w:numPr>
        <w:spacing w:after="0" w:line="276" w:lineRule="auto"/>
        <w:jc w:val="both"/>
        <w:rPr>
          <w:rFonts w:asciiTheme="majorHAnsi" w:hAnsiTheme="majorHAnsi"/>
          <w:lang w:val="lv-LV"/>
        </w:rPr>
      </w:pPr>
      <w:r w:rsidRPr="0019406C">
        <w:rPr>
          <w:rFonts w:asciiTheme="majorHAnsi" w:hAnsiTheme="majorHAnsi"/>
          <w:lang w:val="lv-LV"/>
        </w:rPr>
        <w:t>3 dienu laikā no būvniecības ieceres iesnieguma dienas pašvaldības mājas lapā vai arī Būvniecības informācijas sistēmā par to jāinformē sabiedrība;</w:t>
      </w:r>
    </w:p>
    <w:p w:rsidR="008B0142" w:rsidRPr="0019406C" w:rsidRDefault="008B0142" w:rsidP="00E521EE">
      <w:pPr>
        <w:pStyle w:val="BodyText"/>
        <w:numPr>
          <w:ilvl w:val="0"/>
          <w:numId w:val="28"/>
        </w:numPr>
        <w:spacing w:after="0" w:line="276" w:lineRule="auto"/>
        <w:jc w:val="both"/>
        <w:rPr>
          <w:rFonts w:asciiTheme="majorHAnsi" w:hAnsiTheme="majorHAnsi"/>
          <w:lang w:val="lv-LV"/>
        </w:rPr>
      </w:pPr>
      <w:r w:rsidRPr="0019406C">
        <w:rPr>
          <w:rFonts w:asciiTheme="majorHAnsi" w:hAnsiTheme="majorHAnsi"/>
          <w:lang w:val="lv-LV"/>
        </w:rPr>
        <w:t>Izveidota Latvijas Būvniecības padome.</w:t>
      </w:r>
    </w:p>
    <w:p w:rsidR="00534CB9" w:rsidRPr="0019406C" w:rsidRDefault="00534CB9" w:rsidP="006B022F">
      <w:pPr>
        <w:pStyle w:val="BodyText"/>
        <w:spacing w:after="0" w:line="276" w:lineRule="auto"/>
        <w:ind w:left="360"/>
        <w:jc w:val="both"/>
        <w:rPr>
          <w:rFonts w:asciiTheme="majorHAnsi" w:hAnsiTheme="majorHAnsi"/>
          <w:lang w:val="lv-LV"/>
        </w:rPr>
      </w:pPr>
    </w:p>
    <w:p w:rsidR="008B0142" w:rsidRPr="0019406C" w:rsidRDefault="008B0142" w:rsidP="00534CB9">
      <w:pPr>
        <w:pStyle w:val="BodyText"/>
        <w:spacing w:after="0" w:line="276" w:lineRule="auto"/>
        <w:jc w:val="both"/>
        <w:rPr>
          <w:rFonts w:asciiTheme="majorHAnsi" w:hAnsiTheme="majorHAnsi"/>
          <w:lang w:val="lv-LV"/>
        </w:rPr>
      </w:pPr>
      <w:r w:rsidRPr="0019406C">
        <w:rPr>
          <w:rFonts w:asciiTheme="majorHAnsi" w:hAnsiTheme="majorHAnsi"/>
          <w:lang w:val="lv-LV"/>
        </w:rPr>
        <w:t>Vienlaicīgi zināms, ka uz pētījuma izstrādes brīdi jau norit darbs pie jaunā Būvniecības likuma pilnveidošanas plānošanas, kā arī saistošo normatīvo aktu izstrādes.</w:t>
      </w:r>
      <w:r w:rsidR="0072729F">
        <w:rPr>
          <w:rFonts w:asciiTheme="majorHAnsi" w:hAnsiTheme="majorHAnsi"/>
          <w:lang w:val="lv-LV"/>
        </w:rPr>
        <w:t xml:space="preserve"> </w:t>
      </w:r>
      <w:r w:rsidRPr="0019406C">
        <w:rPr>
          <w:rFonts w:asciiTheme="majorHAnsi" w:hAnsiTheme="majorHAnsi"/>
          <w:lang w:val="lv-LV"/>
        </w:rPr>
        <w:t>Plānots, ka būvniecības procedūras uzlabos arī jaunās Būvniecības informācijas sistēmas (BIS) izveide, kuras pirmais posms tika ieviests šī gada 13. janvārī. Saskaņā ar publiski pieejamo informāciju šobrīd jaunajā informācijas sistēmā ir pieejami būvinspektoru, būvkomersantu, kā arī būvprakses un arhitektu sertifikātu reģistri. Tuvākajā nākotnē ir paredzēts ieviest papildus reģistrus un arī e-pakalpojumus, ieskaitot būvniecības ieceres izskatīšanu, būvatļaujas izsniegšanu un ēkas nodošanu ekspluatācijā. Lai gan ir pieņemts likums, kas paredz, ka pašvaldībām un iestādēm, kas veiks būvvaldes funkcijas, obligāti jāpublicē informācija BIS par būvniecības ieceres pieteikumu un saistībā ar to lēmumu, pagaidām nav zināms, kā tas darbosies praksē. Tāpat uz šo brīdi nozarē nav viennozīmīgas izpratnes, kā BIS atbalstīs nozares darbu un kā BIS atbalstīs normatīvajos aktos iestrādātās izmaiņas.</w:t>
      </w:r>
    </w:p>
    <w:p w:rsidR="00627B52" w:rsidRPr="0019406C" w:rsidRDefault="00627B52" w:rsidP="008B0142">
      <w:pPr>
        <w:pStyle w:val="BodyText"/>
        <w:jc w:val="both"/>
        <w:rPr>
          <w:rFonts w:asciiTheme="majorHAnsi" w:hAnsiTheme="majorHAnsi"/>
          <w:lang w:val="lv-LV"/>
        </w:rPr>
      </w:pPr>
    </w:p>
    <w:p w:rsidR="008B0142" w:rsidRPr="0019406C" w:rsidRDefault="00C9460B" w:rsidP="008B0142">
      <w:pPr>
        <w:pStyle w:val="BodyText"/>
        <w:rPr>
          <w:rFonts w:asciiTheme="majorHAnsi" w:hAnsiTheme="majorHAnsi"/>
          <w:b/>
          <w:sz w:val="22"/>
          <w:lang w:val="lv-LV"/>
        </w:rPr>
      </w:pPr>
      <w:r w:rsidRPr="0019406C">
        <w:rPr>
          <w:rFonts w:asciiTheme="majorHAnsi" w:hAnsiTheme="majorHAnsi"/>
          <w:b/>
          <w:sz w:val="22"/>
          <w:lang w:val="lv-LV"/>
        </w:rPr>
        <w:t>Secinājumi un priekšlikumi</w:t>
      </w:r>
    </w:p>
    <w:p w:rsidR="00616D5C" w:rsidRPr="0019406C" w:rsidRDefault="00616D5C" w:rsidP="00444A73">
      <w:pPr>
        <w:pStyle w:val="BodyText"/>
        <w:spacing w:line="276" w:lineRule="auto"/>
        <w:jc w:val="both"/>
        <w:rPr>
          <w:lang w:val="lv-LV"/>
        </w:rPr>
      </w:pPr>
      <w:r w:rsidRPr="0019406C">
        <w:rPr>
          <w:lang w:val="lv-LV"/>
        </w:rPr>
        <w:t>Ņemot vērā DB labās prakses kritērijus, Latvijā negatīvi tiek vērtēts tas, ka nav visaptverošu būvniecības noteikumu</w:t>
      </w:r>
      <w:r w:rsidR="00E75397" w:rsidRPr="0019406C">
        <w:rPr>
          <w:lang w:val="lv-LV"/>
        </w:rPr>
        <w:t xml:space="preserve"> (</w:t>
      </w:r>
      <w:proofErr w:type="spellStart"/>
      <w:r w:rsidR="00E75397" w:rsidRPr="0019406C">
        <w:rPr>
          <w:lang w:val="lv-LV"/>
        </w:rPr>
        <w:t>skat</w:t>
      </w:r>
      <w:proofErr w:type="spellEnd"/>
      <w:r w:rsidR="00E75397" w:rsidRPr="0019406C">
        <w:rPr>
          <w:lang w:val="lv-LV"/>
        </w:rPr>
        <w:t>.</w:t>
      </w:r>
      <w:r w:rsidR="003E3D38" w:rsidRPr="0019406C">
        <w:rPr>
          <w:lang w:val="lv-LV"/>
        </w:rPr>
        <w:t xml:space="preserve"> tabulu </w:t>
      </w:r>
      <w:r w:rsidR="006A3310" w:rsidRPr="0019406C">
        <w:rPr>
          <w:lang w:val="lv-LV"/>
        </w:rPr>
        <w:t>9</w:t>
      </w:r>
      <w:r w:rsidR="003E3D38" w:rsidRPr="0019406C">
        <w:rPr>
          <w:lang w:val="lv-LV"/>
        </w:rPr>
        <w:t xml:space="preserve"> )</w:t>
      </w:r>
      <w:r w:rsidRPr="0019406C">
        <w:rPr>
          <w:lang w:val="lv-LV"/>
        </w:rPr>
        <w:t>, kā arī maksimāli jānodrošina vienas pieturas aģentūras principa ieviešana nozarē. Pašlaik pie abiem šie kritērijiem nozarē jau tiek strādāts – veidojot jaunu normatīvo aktu bāzi, kā arī izstrādājot Būvniecības informācijas sistēmu. Šī pētījuma ietvaros nav bijis iespējams novērtēt pēdējo veikto izmaiņu efektu uz valsts konkurētspējas rādītājiem, jo šīs izmaiņas komersanti nav novērtējuši praktiskajā darbā. Tomēr esam izvirzījuši priekšlikumus abu šo principu ieviešanai/uzlabošanai Latvijā.</w:t>
      </w:r>
    </w:p>
    <w:p w:rsidR="00616D5C" w:rsidRPr="0019406C" w:rsidRDefault="00616D5C" w:rsidP="00444A73">
      <w:pPr>
        <w:pStyle w:val="BodyText"/>
        <w:spacing w:line="276" w:lineRule="auto"/>
        <w:jc w:val="both"/>
        <w:rPr>
          <w:lang w:val="lv-LV"/>
        </w:rPr>
      </w:pPr>
      <w:r w:rsidRPr="0019406C">
        <w:rPr>
          <w:lang w:val="lv-LV"/>
        </w:rPr>
        <w:t xml:space="preserve">Pamatojoties uz </w:t>
      </w:r>
      <w:r w:rsidR="002E660C" w:rsidRPr="0019406C">
        <w:rPr>
          <w:lang w:val="lv-LV"/>
        </w:rPr>
        <w:t>secinājumiem par Doing Business labās prakses kritērijiem, kur</w:t>
      </w:r>
      <w:r w:rsidR="00EF4518" w:rsidRPr="0019406C">
        <w:rPr>
          <w:lang w:val="lv-LV"/>
        </w:rPr>
        <w:t>os</w:t>
      </w:r>
      <w:r w:rsidR="002E660C" w:rsidRPr="0019406C">
        <w:rPr>
          <w:lang w:val="lv-LV"/>
        </w:rPr>
        <w:t xml:space="preserve"> šobrīd Latvija nav izpildījusi divus no trijiem („visaptveroši būvniecības </w:t>
      </w:r>
      <w:r w:rsidR="001861E7" w:rsidRPr="0019406C">
        <w:rPr>
          <w:lang w:val="lv-LV"/>
        </w:rPr>
        <w:t>noteikumi</w:t>
      </w:r>
      <w:r w:rsidR="002E660C" w:rsidRPr="0019406C">
        <w:rPr>
          <w:lang w:val="lv-LV"/>
        </w:rPr>
        <w:t>” un „vienas pieturas aģentūras esamība”)</w:t>
      </w:r>
      <w:r w:rsidRPr="0019406C">
        <w:rPr>
          <w:lang w:val="lv-LV"/>
        </w:rPr>
        <w:t xml:space="preserve">  </w:t>
      </w:r>
      <w:r w:rsidR="002E660C" w:rsidRPr="0019406C">
        <w:rPr>
          <w:lang w:val="lv-LV"/>
        </w:rPr>
        <w:t xml:space="preserve">ekspertu diskusijai </w:t>
      </w:r>
      <w:r w:rsidRPr="0019406C">
        <w:rPr>
          <w:lang w:val="lv-LV"/>
        </w:rPr>
        <w:t>izvirzām šādas galveno ieteikumu kategorijas:</w:t>
      </w:r>
    </w:p>
    <w:p w:rsidR="00616D5C" w:rsidRPr="0019406C" w:rsidRDefault="00616D5C" w:rsidP="00444A73">
      <w:pPr>
        <w:pStyle w:val="BodyText"/>
        <w:numPr>
          <w:ilvl w:val="0"/>
          <w:numId w:val="76"/>
        </w:numPr>
        <w:spacing w:line="276" w:lineRule="auto"/>
        <w:jc w:val="both"/>
        <w:rPr>
          <w:rFonts w:asciiTheme="majorHAnsi" w:hAnsiTheme="majorHAnsi"/>
          <w:lang w:val="lv-LV"/>
        </w:rPr>
      </w:pPr>
      <w:r w:rsidRPr="0019406C">
        <w:rPr>
          <w:rFonts w:asciiTheme="majorHAnsi" w:hAnsiTheme="majorHAnsi"/>
          <w:lang w:val="lv-LV"/>
        </w:rPr>
        <w:t>Skaidri un precīzi definēt normatīvajos aktos ko, kad un kā pārbauda un saskaņo būvvalde, tādējādi nodrošinot, ka dokumentu iesniedzēji pilnvērtīgi saprot, kāpēc tiek iesniegti konkrēti dokumenti, kā tie tiek pārbaudīti un par ko būvvalde uzņemas atbildību. Tas veicinātu konkurētspēju nozarē, jo mazinātos konfliktsituāciju apjoms un tiktu veicināta kritērija „visaptverošu būvniecības noteikumu esamība” izpilde</w:t>
      </w:r>
      <w:r w:rsidR="00F77612" w:rsidRPr="0019406C">
        <w:rPr>
          <w:rFonts w:asciiTheme="majorHAnsi" w:hAnsiTheme="majorHAnsi"/>
          <w:lang w:val="lv-LV"/>
        </w:rPr>
        <w:t>. Detalizētu priekšlikumu skatīt 1. pielikuma 7.1. punktā</w:t>
      </w:r>
      <w:r w:rsidRPr="0019406C">
        <w:rPr>
          <w:rFonts w:asciiTheme="majorHAnsi" w:hAnsiTheme="majorHAnsi"/>
          <w:lang w:val="lv-LV"/>
        </w:rPr>
        <w:t>;</w:t>
      </w:r>
    </w:p>
    <w:p w:rsidR="00616D5C" w:rsidRPr="0019406C" w:rsidRDefault="00616D5C" w:rsidP="00E521EE">
      <w:pPr>
        <w:pStyle w:val="BodyText"/>
        <w:numPr>
          <w:ilvl w:val="0"/>
          <w:numId w:val="76"/>
        </w:numPr>
        <w:spacing w:line="276" w:lineRule="auto"/>
        <w:jc w:val="both"/>
        <w:rPr>
          <w:rFonts w:asciiTheme="majorHAnsi" w:hAnsiTheme="majorHAnsi"/>
          <w:lang w:val="lv-LV"/>
        </w:rPr>
      </w:pPr>
      <w:r w:rsidRPr="0019406C">
        <w:rPr>
          <w:rFonts w:asciiTheme="majorHAnsi" w:hAnsiTheme="majorHAnsi"/>
          <w:lang w:val="lv-LV"/>
        </w:rPr>
        <w:t>Ņemot vērā jaunā Būvniecības likuma redakciju, iesakām skaidrāk definēt Būvniecības likumā un saistošajos normatīvajos aktos būvatļaujas saņemšanas kārtību un atkārtotas būvatļaujas nepieciešamības gadījumus. Pretējā gadījumā nozarē ir neviennozīmīga izpratne, ar ko praktiski ir jārēķinās un netiek veicināta kritērija „visaptverošu būvniecības noteikumu esamība” izpilde</w:t>
      </w:r>
      <w:r w:rsidR="004E0DCC" w:rsidRPr="0019406C">
        <w:rPr>
          <w:rFonts w:asciiTheme="majorHAnsi" w:hAnsiTheme="majorHAnsi"/>
          <w:lang w:val="lv-LV"/>
        </w:rPr>
        <w:t>. Detalizētu priekšlikumu skatīt 1. pielikuma 7.3. punktā</w:t>
      </w:r>
      <w:r w:rsidRPr="0019406C">
        <w:rPr>
          <w:rFonts w:asciiTheme="majorHAnsi" w:hAnsiTheme="majorHAnsi"/>
          <w:lang w:val="lv-LV"/>
        </w:rPr>
        <w:t>;</w:t>
      </w:r>
    </w:p>
    <w:p w:rsidR="00616D5C" w:rsidRPr="0019406C" w:rsidRDefault="00616D5C" w:rsidP="00E521EE">
      <w:pPr>
        <w:pStyle w:val="BodyText"/>
        <w:numPr>
          <w:ilvl w:val="0"/>
          <w:numId w:val="76"/>
        </w:numPr>
        <w:spacing w:line="276" w:lineRule="auto"/>
        <w:jc w:val="both"/>
        <w:rPr>
          <w:rFonts w:asciiTheme="majorHAnsi" w:hAnsiTheme="majorHAnsi"/>
          <w:lang w:val="lv-LV"/>
        </w:rPr>
      </w:pPr>
      <w:r w:rsidRPr="0019406C">
        <w:rPr>
          <w:rFonts w:asciiTheme="majorHAnsi" w:hAnsiTheme="majorHAnsi"/>
          <w:lang w:val="lv-LV"/>
        </w:rPr>
        <w:lastRenderedPageBreak/>
        <w:t>Nodrošināt efektīvāku komunikāciju ar nozari par BIS ieviešanu, precīzi parādot, kā BIS pildīs vienas pieturas aģentūras principa ieviešanu būvniecības nozarē un kā nozare to varēs izmantot sava darba optimizācijai. Pretējā gadījumā nozarē nav viennozīmīgas izpratnes, vai un kā valstī tiek plānotas vienas pieturas aģentūras principa ieviešana</w:t>
      </w:r>
      <w:r w:rsidR="004E0DCC" w:rsidRPr="0019406C">
        <w:rPr>
          <w:rFonts w:asciiTheme="majorHAnsi" w:hAnsiTheme="majorHAnsi"/>
          <w:lang w:val="lv-LV"/>
        </w:rPr>
        <w:t>. Detalizētu priekšlikumu skatīt 1. pielikuma 7.4. punktā</w:t>
      </w:r>
      <w:r w:rsidRPr="0019406C">
        <w:rPr>
          <w:rFonts w:asciiTheme="majorHAnsi" w:hAnsiTheme="majorHAnsi"/>
          <w:lang w:val="lv-LV"/>
        </w:rPr>
        <w:t>.</w:t>
      </w:r>
    </w:p>
    <w:p w:rsidR="00616D5C" w:rsidRPr="0019406C" w:rsidRDefault="00616D5C" w:rsidP="00E521EE">
      <w:pPr>
        <w:pStyle w:val="BodyText"/>
        <w:numPr>
          <w:ilvl w:val="0"/>
          <w:numId w:val="76"/>
        </w:numPr>
        <w:spacing w:line="276" w:lineRule="auto"/>
        <w:jc w:val="both"/>
        <w:rPr>
          <w:rFonts w:asciiTheme="majorHAnsi" w:hAnsiTheme="majorHAnsi"/>
          <w:lang w:val="lv-LV"/>
        </w:rPr>
      </w:pPr>
      <w:r w:rsidRPr="0019406C">
        <w:rPr>
          <w:rFonts w:asciiTheme="majorHAnsi" w:hAnsiTheme="majorHAnsi"/>
          <w:lang w:val="lv-LV"/>
        </w:rPr>
        <w:t>Pamatojoties uz veiktajām intervijām ar uzņēmējiem, iesakām ne tikai pārskatīt procedūras, bet arī pilnveidot būvkomersantu reģistru, izdalot komersantus, kas sniedz profesionālos pakalpojumus, no tiem, kas ir pārēj</w:t>
      </w:r>
      <w:r w:rsidR="004D25D1" w:rsidRPr="0019406C">
        <w:rPr>
          <w:rFonts w:asciiTheme="majorHAnsi" w:hAnsiTheme="majorHAnsi"/>
          <w:lang w:val="lv-LV"/>
        </w:rPr>
        <w:t xml:space="preserve">o pakalpojumu sniedzēji – </w:t>
      </w:r>
      <w:proofErr w:type="spellStart"/>
      <w:r w:rsidR="004D25D1" w:rsidRPr="0019406C">
        <w:rPr>
          <w:rFonts w:asciiTheme="majorHAnsi" w:hAnsiTheme="majorHAnsi"/>
          <w:lang w:val="lv-LV"/>
        </w:rPr>
        <w:t>t.</w:t>
      </w:r>
      <w:r w:rsidRPr="0019406C">
        <w:rPr>
          <w:rFonts w:asciiTheme="majorHAnsi" w:hAnsiTheme="majorHAnsi"/>
          <w:lang w:val="lv-LV"/>
        </w:rPr>
        <w:t>i</w:t>
      </w:r>
      <w:proofErr w:type="spellEnd"/>
      <w:r w:rsidR="004D25D1" w:rsidRPr="0019406C">
        <w:rPr>
          <w:rFonts w:asciiTheme="majorHAnsi" w:hAnsiTheme="majorHAnsi"/>
          <w:lang w:val="lv-LV"/>
        </w:rPr>
        <w:t>.</w:t>
      </w:r>
      <w:r w:rsidRPr="0019406C">
        <w:rPr>
          <w:rFonts w:asciiTheme="majorHAnsi" w:hAnsiTheme="majorHAnsi"/>
          <w:lang w:val="lv-LV"/>
        </w:rPr>
        <w:t xml:space="preserve">, MK noteikumos </w:t>
      </w:r>
      <w:proofErr w:type="spellStart"/>
      <w:r w:rsidRPr="0019406C">
        <w:rPr>
          <w:rFonts w:asciiTheme="majorHAnsi" w:hAnsiTheme="majorHAnsi"/>
          <w:lang w:val="lv-LV"/>
        </w:rPr>
        <w:t>Nr</w:t>
      </w:r>
      <w:proofErr w:type="spellEnd"/>
      <w:r w:rsidRPr="0019406C">
        <w:rPr>
          <w:rFonts w:asciiTheme="majorHAnsi" w:hAnsiTheme="majorHAnsi"/>
          <w:lang w:val="lv-LV"/>
        </w:rPr>
        <w:t>.</w:t>
      </w:r>
      <w:r w:rsidR="00ED7D81" w:rsidRPr="0019406C">
        <w:rPr>
          <w:rFonts w:asciiTheme="majorHAnsi" w:hAnsiTheme="majorHAnsi"/>
          <w:lang w:val="lv-LV"/>
        </w:rPr>
        <w:t xml:space="preserve"> </w:t>
      </w:r>
      <w:r w:rsidRPr="0019406C">
        <w:rPr>
          <w:rFonts w:asciiTheme="majorHAnsi" w:hAnsiTheme="majorHAnsi"/>
          <w:lang w:val="lv-LV"/>
        </w:rPr>
        <w:t>799 „Būvkomersantu reģistrācijas noteikumi” pašlaik ir noteikti tikai divi kritēriji, kas ir jāizpilda, lai tiktu reģistrēts būvkomersantu reģistrā:</w:t>
      </w:r>
    </w:p>
    <w:p w:rsidR="00616D5C" w:rsidRPr="0019406C" w:rsidRDefault="00616D5C" w:rsidP="00E521EE">
      <w:pPr>
        <w:pStyle w:val="BodyText"/>
        <w:numPr>
          <w:ilvl w:val="1"/>
          <w:numId w:val="77"/>
        </w:numPr>
        <w:spacing w:line="276" w:lineRule="auto"/>
        <w:jc w:val="both"/>
        <w:rPr>
          <w:rFonts w:asciiTheme="majorHAnsi" w:hAnsiTheme="majorHAnsi"/>
          <w:lang w:val="lv-LV"/>
        </w:rPr>
      </w:pPr>
      <w:r w:rsidRPr="0019406C">
        <w:rPr>
          <w:rFonts w:asciiTheme="majorHAnsi" w:hAnsiTheme="majorHAnsi"/>
          <w:lang w:val="lv-LV"/>
        </w:rPr>
        <w:t xml:space="preserve">komersants uz darba līguma pamata nodarbina vismaz vienu arhitektu, inženierizpētes veicēju, projektētāju, </w:t>
      </w:r>
      <w:proofErr w:type="spellStart"/>
      <w:r w:rsidRPr="0019406C">
        <w:rPr>
          <w:rFonts w:asciiTheme="majorHAnsi" w:hAnsiTheme="majorHAnsi"/>
          <w:lang w:val="lv-LV"/>
        </w:rPr>
        <w:t>būvekspertu</w:t>
      </w:r>
      <w:proofErr w:type="spellEnd"/>
      <w:r w:rsidRPr="0019406C">
        <w:rPr>
          <w:rFonts w:asciiTheme="majorHAnsi" w:hAnsiTheme="majorHAnsi"/>
          <w:lang w:val="lv-LV"/>
        </w:rPr>
        <w:t>, būvdarbu vadītāju vai būvuzraugu un attiecīgajai personai ir patstāvīgas prakses tiesības saskaņā ar Būvniecības likuma 8.pantu (turpmāk – speciālists) vai komersanta valdes loceklis ir speciālists;</w:t>
      </w:r>
    </w:p>
    <w:p w:rsidR="00616D5C" w:rsidRPr="0019406C" w:rsidRDefault="00616D5C" w:rsidP="00E521EE">
      <w:pPr>
        <w:pStyle w:val="BodyText"/>
        <w:numPr>
          <w:ilvl w:val="1"/>
          <w:numId w:val="77"/>
        </w:numPr>
        <w:spacing w:line="276" w:lineRule="auto"/>
        <w:jc w:val="both"/>
        <w:rPr>
          <w:rFonts w:asciiTheme="majorHAnsi" w:hAnsiTheme="majorHAnsi"/>
          <w:lang w:val="lv-LV"/>
        </w:rPr>
      </w:pPr>
      <w:r w:rsidRPr="0019406C">
        <w:rPr>
          <w:rFonts w:asciiTheme="majorHAnsi" w:hAnsiTheme="majorHAnsi"/>
          <w:lang w:val="lv-LV"/>
        </w:rPr>
        <w:t xml:space="preserve">komersanta nodarbinātais speciālists vienlaikus kā speciālists nav darba tiesiskajās attiecībās ar vairāk nekā diviem citiem komersantiem, kas reģistrēti reģistrā (turpmāk − </w:t>
      </w:r>
      <w:proofErr w:type="spellStart"/>
      <w:r w:rsidRPr="0019406C">
        <w:rPr>
          <w:rFonts w:asciiTheme="majorHAnsi" w:hAnsiTheme="majorHAnsi"/>
          <w:lang w:val="lv-LV"/>
        </w:rPr>
        <w:t>būvkomersants</w:t>
      </w:r>
      <w:proofErr w:type="spellEnd"/>
      <w:r w:rsidRPr="0019406C">
        <w:rPr>
          <w:rFonts w:asciiTheme="majorHAnsi" w:hAnsiTheme="majorHAnsi"/>
          <w:lang w:val="lv-LV"/>
        </w:rPr>
        <w:t xml:space="preserve">). </w:t>
      </w:r>
    </w:p>
    <w:p w:rsidR="00616D5C" w:rsidRPr="0019406C" w:rsidRDefault="00616D5C" w:rsidP="00B2083A">
      <w:pPr>
        <w:pStyle w:val="BodyText"/>
        <w:spacing w:line="276" w:lineRule="auto"/>
        <w:ind w:left="720"/>
        <w:jc w:val="both"/>
        <w:rPr>
          <w:rFonts w:asciiTheme="majorHAnsi" w:hAnsiTheme="majorHAnsi"/>
          <w:lang w:val="lv-LV"/>
        </w:rPr>
      </w:pPr>
      <w:r w:rsidRPr="0019406C">
        <w:rPr>
          <w:rFonts w:asciiTheme="majorHAnsi" w:hAnsiTheme="majorHAnsi"/>
          <w:lang w:val="lv-LV"/>
        </w:rPr>
        <w:t>Mūsu ieteikums ir veidot dažādus kritērijus, lai diferencētu komersantus pēc profesionalitātes līmeņa.</w:t>
      </w:r>
      <w:r w:rsidR="004D25D1" w:rsidRPr="0019406C">
        <w:rPr>
          <w:rFonts w:asciiTheme="majorHAnsi" w:hAnsiTheme="majorHAnsi"/>
          <w:lang w:val="lv-LV"/>
        </w:rPr>
        <w:t xml:space="preserve"> </w:t>
      </w:r>
      <w:r w:rsidR="004E0DCC" w:rsidRPr="0019406C">
        <w:rPr>
          <w:rFonts w:asciiTheme="majorHAnsi" w:hAnsiTheme="majorHAnsi"/>
          <w:lang w:val="lv-LV"/>
        </w:rPr>
        <w:t>Detalizētu priekšlikumu skatīt 1. pielikuma 7.2. punktā</w:t>
      </w:r>
      <w:r w:rsidRPr="0019406C">
        <w:rPr>
          <w:rFonts w:asciiTheme="majorHAnsi" w:hAnsiTheme="majorHAnsi"/>
          <w:lang w:val="lv-LV"/>
        </w:rPr>
        <w:t>.</w:t>
      </w:r>
    </w:p>
    <w:p w:rsidR="00EF4518" w:rsidRPr="0019406C" w:rsidRDefault="00EF4518" w:rsidP="00EF4518">
      <w:pPr>
        <w:pStyle w:val="BodyText"/>
        <w:spacing w:line="276" w:lineRule="auto"/>
        <w:jc w:val="both"/>
        <w:rPr>
          <w:rFonts w:asciiTheme="majorHAnsi" w:hAnsiTheme="majorHAnsi"/>
          <w:b/>
          <w:sz w:val="22"/>
          <w:lang w:val="lv-LV"/>
        </w:rPr>
      </w:pPr>
      <w:r w:rsidRPr="0019406C">
        <w:rPr>
          <w:rFonts w:asciiTheme="majorHAnsi" w:hAnsiTheme="majorHAnsi"/>
          <w:b/>
          <w:sz w:val="22"/>
          <w:lang w:val="lv-LV"/>
        </w:rPr>
        <w:t>Ekspertu diskusija</w:t>
      </w:r>
    </w:p>
    <w:p w:rsidR="00EF4518" w:rsidRPr="0019406C" w:rsidRDefault="004C49D5" w:rsidP="00EF4518">
      <w:pPr>
        <w:pStyle w:val="BodyText"/>
        <w:spacing w:line="276" w:lineRule="auto"/>
        <w:jc w:val="both"/>
        <w:rPr>
          <w:rFonts w:asciiTheme="majorHAnsi" w:hAnsiTheme="majorHAnsi"/>
          <w:lang w:val="lv-LV"/>
        </w:rPr>
      </w:pPr>
      <w:r w:rsidRPr="0019406C">
        <w:rPr>
          <w:rFonts w:asciiTheme="majorHAnsi" w:hAnsiTheme="majorHAnsi"/>
          <w:lang w:val="lv-LV"/>
        </w:rPr>
        <w:t xml:space="preserve">Ekspertu diskusijas laikā tika pārrunāti uzņēmēju aptaujas galvenie rezultāti, kā arī izvirzītie priekšlikumi attiecībā uz būvniecības procesu. Galvenie ekspertu diskusijas secinājumi </w:t>
      </w:r>
      <w:r w:rsidR="00401445" w:rsidRPr="0019406C">
        <w:rPr>
          <w:rFonts w:asciiTheme="majorHAnsi" w:hAnsiTheme="majorHAnsi"/>
          <w:lang w:val="lv-LV"/>
        </w:rPr>
        <w:t xml:space="preserve">par priekšlikumiem </w:t>
      </w:r>
      <w:r w:rsidRPr="0019406C">
        <w:rPr>
          <w:rFonts w:asciiTheme="majorHAnsi" w:hAnsiTheme="majorHAnsi"/>
          <w:lang w:val="lv-LV"/>
        </w:rPr>
        <w:t>bija šādi:</w:t>
      </w:r>
    </w:p>
    <w:p w:rsidR="004C49D5" w:rsidRPr="0019406C" w:rsidRDefault="00401445" w:rsidP="00E521EE">
      <w:pPr>
        <w:pStyle w:val="BodyText"/>
        <w:numPr>
          <w:ilvl w:val="0"/>
          <w:numId w:val="78"/>
        </w:numPr>
        <w:spacing w:line="276" w:lineRule="auto"/>
        <w:jc w:val="both"/>
        <w:rPr>
          <w:rFonts w:asciiTheme="majorHAnsi" w:hAnsiTheme="majorHAnsi"/>
          <w:lang w:val="lv-LV"/>
        </w:rPr>
      </w:pPr>
      <w:r w:rsidRPr="0019406C">
        <w:rPr>
          <w:rFonts w:asciiTheme="majorHAnsi" w:hAnsiTheme="majorHAnsi"/>
          <w:lang w:val="lv-LV"/>
        </w:rPr>
        <w:t>At</w:t>
      </w:r>
      <w:r w:rsidR="00853ECE" w:rsidRPr="0019406C">
        <w:rPr>
          <w:rFonts w:asciiTheme="majorHAnsi" w:hAnsiTheme="majorHAnsi"/>
          <w:lang w:val="lv-LV"/>
        </w:rPr>
        <w:t xml:space="preserve">tiecībā </w:t>
      </w:r>
      <w:r w:rsidRPr="0019406C">
        <w:rPr>
          <w:rFonts w:asciiTheme="majorHAnsi" w:hAnsiTheme="majorHAnsi"/>
          <w:lang w:val="lv-LV"/>
        </w:rPr>
        <w:t>uz priekšlikumu skaidri un precīzi normatīvajos aktos definēt, ko, kad un kā pārbauda un saskaņo būvvalde, eksperti</w:t>
      </w:r>
      <w:r w:rsidR="008A776A" w:rsidRPr="0019406C">
        <w:rPr>
          <w:rFonts w:asciiTheme="majorHAnsi" w:hAnsiTheme="majorHAnsi"/>
          <w:lang w:val="lv-LV"/>
        </w:rPr>
        <w:t xml:space="preserve"> norādīja, ka paredzēts</w:t>
      </w:r>
      <w:r w:rsidRPr="0019406C">
        <w:rPr>
          <w:rFonts w:asciiTheme="majorHAnsi" w:hAnsiTheme="majorHAnsi"/>
          <w:lang w:val="lv-LV"/>
        </w:rPr>
        <w:t xml:space="preserve">, ka jaunajos būvnoteikumos būvvaldes atbildība </w:t>
      </w:r>
      <w:r w:rsidR="008A776A" w:rsidRPr="0019406C">
        <w:rPr>
          <w:rFonts w:asciiTheme="majorHAnsi" w:hAnsiTheme="majorHAnsi"/>
          <w:lang w:val="lv-LV"/>
        </w:rPr>
        <w:t>būs</w:t>
      </w:r>
      <w:r w:rsidRPr="0019406C">
        <w:rPr>
          <w:rFonts w:asciiTheme="majorHAnsi" w:hAnsiTheme="majorHAnsi"/>
          <w:lang w:val="lv-LV"/>
        </w:rPr>
        <w:t xml:space="preserve"> iezīmēta skaidrāk, kas nozīmē to, ka no 2014. gada 1. oktobra uz būvvaldi attieksies ar sabiedrību saistīti gadījumi, bet profesionālie – uz būvnieku</w:t>
      </w:r>
      <w:r w:rsidR="00476387" w:rsidRPr="0019406C">
        <w:rPr>
          <w:rFonts w:asciiTheme="majorHAnsi" w:hAnsiTheme="majorHAnsi"/>
          <w:lang w:val="lv-LV"/>
        </w:rPr>
        <w:t>, tomēr priekšlikumu nolemts atbalstīt</w:t>
      </w:r>
      <w:r w:rsidRPr="0019406C">
        <w:rPr>
          <w:rFonts w:asciiTheme="majorHAnsi" w:hAnsiTheme="majorHAnsi"/>
          <w:lang w:val="lv-LV"/>
        </w:rPr>
        <w:t>;</w:t>
      </w:r>
    </w:p>
    <w:p w:rsidR="00401445" w:rsidRPr="0019406C" w:rsidRDefault="002B2565" w:rsidP="00E521EE">
      <w:pPr>
        <w:pStyle w:val="BodyText"/>
        <w:numPr>
          <w:ilvl w:val="0"/>
          <w:numId w:val="78"/>
        </w:numPr>
        <w:spacing w:line="276" w:lineRule="auto"/>
        <w:jc w:val="both"/>
        <w:rPr>
          <w:rFonts w:asciiTheme="majorHAnsi" w:hAnsiTheme="majorHAnsi"/>
          <w:lang w:val="lv-LV"/>
        </w:rPr>
      </w:pPr>
      <w:r w:rsidRPr="0019406C">
        <w:rPr>
          <w:rFonts w:asciiTheme="majorHAnsi" w:hAnsiTheme="majorHAnsi"/>
          <w:lang w:val="lv-LV"/>
        </w:rPr>
        <w:t xml:space="preserve">Attiecībā uz </w:t>
      </w:r>
      <w:r w:rsidR="003C1C70" w:rsidRPr="0019406C">
        <w:rPr>
          <w:rFonts w:asciiTheme="majorHAnsi" w:hAnsiTheme="majorHAnsi"/>
          <w:lang w:val="lv-LV"/>
        </w:rPr>
        <w:t>priekšlikum</w:t>
      </w:r>
      <w:r w:rsidRPr="0019406C">
        <w:rPr>
          <w:rFonts w:asciiTheme="majorHAnsi" w:hAnsiTheme="majorHAnsi"/>
          <w:lang w:val="lv-LV"/>
        </w:rPr>
        <w:t>u</w:t>
      </w:r>
      <w:r w:rsidR="003C1C70" w:rsidRPr="0019406C">
        <w:rPr>
          <w:rFonts w:asciiTheme="majorHAnsi" w:hAnsiTheme="majorHAnsi"/>
          <w:lang w:val="lv-LV"/>
        </w:rPr>
        <w:t xml:space="preserve"> par būvkomersantu reģistra pilnveidi </w:t>
      </w:r>
      <w:r w:rsidR="00C40154" w:rsidRPr="0019406C">
        <w:rPr>
          <w:rFonts w:asciiTheme="majorHAnsi" w:hAnsiTheme="majorHAnsi"/>
          <w:lang w:val="lv-LV"/>
        </w:rPr>
        <w:t>eksperti nolēma</w:t>
      </w:r>
      <w:r w:rsidR="003C1C70" w:rsidRPr="0019406C">
        <w:rPr>
          <w:rFonts w:asciiTheme="majorHAnsi" w:hAnsiTheme="majorHAnsi"/>
          <w:lang w:val="lv-LV"/>
        </w:rPr>
        <w:t>, ka priekšlikums jāpilnveido, to sasaistot ar BIS.  Attiecībā uz izpildes</w:t>
      </w:r>
      <w:r w:rsidR="00C40154" w:rsidRPr="0019406C">
        <w:rPr>
          <w:rFonts w:asciiTheme="majorHAnsi" w:hAnsiTheme="majorHAnsi"/>
          <w:lang w:val="lv-LV"/>
        </w:rPr>
        <w:t xml:space="preserve"> termiņu</w:t>
      </w:r>
      <w:r w:rsidR="003C1C70" w:rsidRPr="0019406C">
        <w:rPr>
          <w:rFonts w:asciiTheme="majorHAnsi" w:hAnsiTheme="majorHAnsi"/>
          <w:lang w:val="lv-LV"/>
        </w:rPr>
        <w:t>, tika secināts, ka tas jāpagarina, jo priekšlikumu nebūs iespējams ieviest līdz gada beigām;</w:t>
      </w:r>
    </w:p>
    <w:p w:rsidR="003C1C70" w:rsidRPr="0019406C" w:rsidRDefault="003C1C70" w:rsidP="00E521EE">
      <w:pPr>
        <w:pStyle w:val="BodyText"/>
        <w:numPr>
          <w:ilvl w:val="0"/>
          <w:numId w:val="78"/>
        </w:numPr>
        <w:spacing w:line="276" w:lineRule="auto"/>
        <w:jc w:val="both"/>
        <w:rPr>
          <w:rFonts w:asciiTheme="majorHAnsi" w:hAnsiTheme="majorHAnsi"/>
          <w:lang w:val="lv-LV"/>
        </w:rPr>
      </w:pPr>
      <w:r w:rsidRPr="0019406C">
        <w:rPr>
          <w:rFonts w:asciiTheme="majorHAnsi" w:hAnsiTheme="majorHAnsi"/>
          <w:lang w:val="lv-LV"/>
        </w:rPr>
        <w:t>Tika nolemts</w:t>
      </w:r>
      <w:r w:rsidR="004C3C43" w:rsidRPr="0019406C">
        <w:rPr>
          <w:rFonts w:asciiTheme="majorHAnsi" w:hAnsiTheme="majorHAnsi"/>
          <w:lang w:val="lv-LV"/>
        </w:rPr>
        <w:t>, ka jāprecizē priekšlikums par būvatļaujas un atkārtotas būvatļaujas saņemšanas kārtību Būvniecības likumā un saistošajos dokumentos, uzsverot, ka nepieciešams mazināt atkārtotas būvatļaujas saņemšanas nepieciešamību;</w:t>
      </w:r>
    </w:p>
    <w:p w:rsidR="004C3C43" w:rsidRPr="00444A73" w:rsidRDefault="004C3C43" w:rsidP="004C3C43">
      <w:pPr>
        <w:pStyle w:val="BodyText"/>
        <w:numPr>
          <w:ilvl w:val="0"/>
          <w:numId w:val="78"/>
        </w:numPr>
        <w:spacing w:line="276" w:lineRule="auto"/>
        <w:jc w:val="both"/>
        <w:rPr>
          <w:rFonts w:asciiTheme="majorHAnsi" w:hAnsiTheme="majorHAnsi"/>
          <w:lang w:val="lv-LV"/>
        </w:rPr>
      </w:pPr>
      <w:r w:rsidRPr="0019406C">
        <w:rPr>
          <w:rFonts w:asciiTheme="majorHAnsi" w:hAnsiTheme="majorHAnsi"/>
          <w:lang w:val="lv-LV"/>
        </w:rPr>
        <w:t xml:space="preserve">Attiecībā uz priekšlikumu par komunikācijas uzlabošanu ar nozari par BIS mērķiem, kā arī to paredzamo atbalstu nozares darbībā, </w:t>
      </w:r>
      <w:r w:rsidR="008A776A" w:rsidRPr="0019406C">
        <w:rPr>
          <w:rFonts w:asciiTheme="majorHAnsi" w:hAnsiTheme="majorHAnsi"/>
          <w:lang w:val="lv-LV"/>
        </w:rPr>
        <w:t>EM pārstāvji norādīja, ka BIS izstrāde tiek kavēta, ņemot vērā faktu, ka saistošie normat</w:t>
      </w:r>
      <w:r w:rsidR="00C40154" w:rsidRPr="0019406C">
        <w:rPr>
          <w:rFonts w:asciiTheme="majorHAnsi" w:hAnsiTheme="majorHAnsi"/>
          <w:lang w:val="lv-LV"/>
        </w:rPr>
        <w:t>īvie akti ir izstrādes stadijā.</w:t>
      </w:r>
    </w:p>
    <w:p w:rsidR="0029580E" w:rsidRPr="0019406C" w:rsidRDefault="0029580E" w:rsidP="0029580E">
      <w:pPr>
        <w:pStyle w:val="Heading2"/>
        <w:rPr>
          <w:lang w:val="lv-LV"/>
        </w:rPr>
      </w:pPr>
      <w:bookmarkStart w:id="67" w:name="_Toc389226081"/>
      <w:r w:rsidRPr="0019406C">
        <w:rPr>
          <w:lang w:val="lv-LV"/>
        </w:rPr>
        <w:t>Nekustamā īpašuma reģistrācija</w:t>
      </w:r>
      <w:bookmarkEnd w:id="62"/>
      <w:bookmarkEnd w:id="67"/>
    </w:p>
    <w:p w:rsidR="0029580E" w:rsidRPr="0019406C" w:rsidRDefault="0029580E" w:rsidP="0029580E">
      <w:pPr>
        <w:pStyle w:val="BodyText"/>
        <w:rPr>
          <w:rFonts w:asciiTheme="majorHAnsi" w:hAnsiTheme="majorHAnsi"/>
          <w:b/>
          <w:lang w:val="lv-LV"/>
        </w:rPr>
      </w:pPr>
    </w:p>
    <w:p w:rsidR="005A643D" w:rsidRPr="0019406C" w:rsidRDefault="005A643D" w:rsidP="005A643D">
      <w:pPr>
        <w:rPr>
          <w:rFonts w:asciiTheme="majorHAnsi" w:hAnsiTheme="majorHAnsi"/>
          <w:b/>
          <w:sz w:val="22"/>
          <w:lang w:val="lv-LV"/>
        </w:rPr>
      </w:pPr>
      <w:bookmarkStart w:id="68" w:name="_Toc381717281"/>
      <w:r w:rsidRPr="0019406C">
        <w:rPr>
          <w:rFonts w:asciiTheme="majorHAnsi" w:hAnsiTheme="majorHAnsi"/>
          <w:b/>
          <w:sz w:val="22"/>
          <w:lang w:val="lv-LV"/>
        </w:rPr>
        <w:t>Uzņēm</w:t>
      </w:r>
      <w:r w:rsidR="00627B52" w:rsidRPr="0019406C">
        <w:rPr>
          <w:rFonts w:asciiTheme="majorHAnsi" w:hAnsiTheme="majorHAnsi"/>
          <w:b/>
          <w:sz w:val="22"/>
          <w:lang w:val="lv-LV"/>
        </w:rPr>
        <w:t xml:space="preserve">ēju </w:t>
      </w:r>
      <w:r w:rsidRPr="0019406C">
        <w:rPr>
          <w:rFonts w:asciiTheme="majorHAnsi" w:hAnsiTheme="majorHAnsi"/>
          <w:b/>
          <w:sz w:val="22"/>
          <w:lang w:val="lv-LV"/>
        </w:rPr>
        <w:t>aptauja</w:t>
      </w:r>
    </w:p>
    <w:p w:rsidR="005A643D" w:rsidRPr="0019406C" w:rsidRDefault="005A643D" w:rsidP="005A643D">
      <w:pPr>
        <w:pStyle w:val="BodyText"/>
        <w:spacing w:line="276" w:lineRule="auto"/>
        <w:jc w:val="both"/>
        <w:rPr>
          <w:rFonts w:asciiTheme="majorHAnsi" w:hAnsiTheme="majorHAnsi"/>
          <w:lang w:val="lv-LV"/>
        </w:rPr>
      </w:pPr>
      <w:r w:rsidRPr="0019406C">
        <w:rPr>
          <w:rFonts w:asciiTheme="majorHAnsi" w:hAnsiTheme="majorHAnsi"/>
          <w:lang w:val="lv-LV"/>
        </w:rPr>
        <w:t xml:space="preserve">Galvenie secinājumi par </w:t>
      </w:r>
      <w:r w:rsidR="00627B52" w:rsidRPr="0019406C">
        <w:rPr>
          <w:rFonts w:asciiTheme="majorHAnsi" w:hAnsiTheme="majorHAnsi"/>
          <w:lang w:val="lv-LV"/>
        </w:rPr>
        <w:t xml:space="preserve">uzņēmēju </w:t>
      </w:r>
      <w:r w:rsidRPr="0019406C">
        <w:rPr>
          <w:rFonts w:asciiTheme="majorHAnsi" w:hAnsiTheme="majorHAnsi"/>
          <w:lang w:val="lv-LV"/>
        </w:rPr>
        <w:t>aptauju:</w:t>
      </w:r>
    </w:p>
    <w:p w:rsidR="00FF1A23" w:rsidRPr="0019406C" w:rsidRDefault="00FF1A23" w:rsidP="00444A73">
      <w:pPr>
        <w:pStyle w:val="BodyText"/>
        <w:numPr>
          <w:ilvl w:val="0"/>
          <w:numId w:val="67"/>
        </w:numPr>
        <w:spacing w:line="276" w:lineRule="auto"/>
        <w:jc w:val="both"/>
        <w:rPr>
          <w:lang w:val="lv-LV"/>
        </w:rPr>
      </w:pPr>
      <w:r w:rsidRPr="0019406C">
        <w:rPr>
          <w:lang w:val="lv-LV"/>
        </w:rPr>
        <w:t>Pēdējo 2 gadu laikā nekustamā īpašuma reģistrācijas vai pārreģistrācijas procedūras ir veikuši 6,7% aptaujāto uzņēmumu. Salīdzinājumā ar 2011.</w:t>
      </w:r>
      <w:r w:rsidR="00C43FE4" w:rsidRPr="0019406C">
        <w:rPr>
          <w:lang w:val="lv-LV"/>
        </w:rPr>
        <w:t xml:space="preserve"> </w:t>
      </w:r>
      <w:r w:rsidRPr="0019406C">
        <w:rPr>
          <w:lang w:val="lv-LV"/>
        </w:rPr>
        <w:t>g</w:t>
      </w:r>
      <w:r w:rsidR="00C43FE4" w:rsidRPr="0019406C">
        <w:rPr>
          <w:lang w:val="lv-LV"/>
        </w:rPr>
        <w:t>ada</w:t>
      </w:r>
      <w:r w:rsidRPr="0019406C">
        <w:rPr>
          <w:lang w:val="lv-LV"/>
        </w:rPr>
        <w:t xml:space="preserve"> pētījuma rezultātiem (6%), šādu uzņēmumu skaits </w:t>
      </w:r>
      <w:r w:rsidRPr="0019406C">
        <w:rPr>
          <w:lang w:val="lv-LV"/>
        </w:rPr>
        <w:lastRenderedPageBreak/>
        <w:t>nav būtiski mainījies. Visbiežāk nekustamā īpašuma reģistrācijas vai pārreģistrācijas procedūras ir veikuši lielie (38,8%) un vidējie (27,5%) uzņēmumi;</w:t>
      </w:r>
    </w:p>
    <w:p w:rsidR="00FF1A23" w:rsidRPr="0019406C" w:rsidRDefault="00FF1A23" w:rsidP="00444A73">
      <w:pPr>
        <w:pStyle w:val="BodyText"/>
        <w:numPr>
          <w:ilvl w:val="0"/>
          <w:numId w:val="67"/>
        </w:numPr>
        <w:spacing w:line="276" w:lineRule="auto"/>
        <w:jc w:val="both"/>
        <w:rPr>
          <w:lang w:val="lv-LV"/>
        </w:rPr>
      </w:pPr>
      <w:r w:rsidRPr="0019406C">
        <w:rPr>
          <w:lang w:val="lv-LV"/>
        </w:rPr>
        <w:t>Kopumā samazinājušās uzņēmēju veiktās procedūras attiecībā uz īpašumtiesību un citu tiesību, apgrūtinājumu reģistrāciju Zemesgrāmatā, bet vērojams pieaugums attiecībā uz procedūrām par  paziņojuma saņemšanu par pašvaldības atteikšanos no pirmpirkuma tiesībām;</w:t>
      </w:r>
    </w:p>
    <w:p w:rsidR="005A643D" w:rsidRPr="0019406C" w:rsidRDefault="00FF1A23" w:rsidP="00444A73">
      <w:pPr>
        <w:pStyle w:val="BodyText"/>
        <w:numPr>
          <w:ilvl w:val="0"/>
          <w:numId w:val="43"/>
        </w:numPr>
        <w:spacing w:line="276" w:lineRule="auto"/>
        <w:jc w:val="both"/>
        <w:rPr>
          <w:rFonts w:asciiTheme="majorHAnsi" w:hAnsiTheme="majorHAnsi"/>
          <w:lang w:val="lv-LV"/>
        </w:rPr>
      </w:pPr>
      <w:r w:rsidRPr="0019406C">
        <w:rPr>
          <w:rFonts w:asciiTheme="majorHAnsi" w:hAnsiTheme="majorHAnsi"/>
          <w:lang w:val="lv-LV"/>
        </w:rPr>
        <w:t xml:space="preserve">Vidējais procedūru nokārtošanai patērēto dienu skaits ir pieaudzis zemes teritorijas plānojuma/detālplānojuma maiņai, apbūves lietošanas mērķa izmaiņām un paziņojuma saņemšanai par pašvaldības atteikšanos no pirmpirkuma tiesībām. </w:t>
      </w:r>
      <w:r w:rsidR="005A643D" w:rsidRPr="0019406C">
        <w:rPr>
          <w:rFonts w:asciiTheme="majorHAnsi" w:hAnsiTheme="majorHAnsi"/>
          <w:lang w:val="lv-LV"/>
        </w:rPr>
        <w:t xml:space="preserve">Vidēji uzņēmumi zemes teritorijas plānojuma/ </w:t>
      </w:r>
      <w:proofErr w:type="spellStart"/>
      <w:r w:rsidR="005A643D" w:rsidRPr="0019406C">
        <w:rPr>
          <w:rFonts w:asciiTheme="majorHAnsi" w:hAnsiTheme="majorHAnsi"/>
          <w:lang w:val="lv-LV"/>
        </w:rPr>
        <w:t>lokālplānojuma</w:t>
      </w:r>
      <w:proofErr w:type="spellEnd"/>
      <w:r w:rsidR="005A643D" w:rsidRPr="0019406C">
        <w:rPr>
          <w:rFonts w:asciiTheme="majorHAnsi" w:hAnsiTheme="majorHAnsi"/>
          <w:lang w:val="lv-LV"/>
        </w:rPr>
        <w:t>/ detālplānojuma maiņai patērēja 103 kalendārās dienas (32 dienas 2011. gadā), apbūves lietošanas mērķa izmaiņām –  62 dienas (13 dienas 2011. gadā)</w:t>
      </w:r>
      <w:r w:rsidR="002228C2" w:rsidRPr="0019406C">
        <w:rPr>
          <w:rFonts w:asciiTheme="majorHAnsi" w:hAnsiTheme="majorHAnsi"/>
          <w:lang w:val="lv-LV"/>
        </w:rPr>
        <w:t>. Paziņojuma saņemšanai par pašvaldības atteikšanos no pirmpirkuma tiesībām vajadzīgas 24 dienas (16 dienas 2011. gadā), bet īpašumtiesību, apgrūtinājumu reģistrāciju Zemesgrāmatā – 21 dienu (23 dienas 2011. gadā). Jāņem vērā, ka šajās atbildēs lielākoties bija nepietiekams respondentu skaits, lai rezultātus varētu vispārināt;</w:t>
      </w:r>
    </w:p>
    <w:p w:rsidR="00FF1A23" w:rsidRPr="0019406C" w:rsidRDefault="005A643D" w:rsidP="00444A73">
      <w:pPr>
        <w:pStyle w:val="BodyText"/>
        <w:numPr>
          <w:ilvl w:val="0"/>
          <w:numId w:val="43"/>
        </w:numPr>
        <w:spacing w:line="276" w:lineRule="auto"/>
        <w:jc w:val="both"/>
        <w:rPr>
          <w:rFonts w:asciiTheme="majorHAnsi" w:hAnsiTheme="majorHAnsi"/>
          <w:lang w:val="lv-LV"/>
        </w:rPr>
      </w:pPr>
      <w:r w:rsidRPr="0019406C">
        <w:rPr>
          <w:rFonts w:asciiTheme="majorHAnsi" w:hAnsiTheme="majorHAnsi"/>
          <w:lang w:val="lv-LV"/>
        </w:rPr>
        <w:t>Visvairāk nekustamā īpašuma reģistrācijas procedūru kārtošanai uzņēmēji ir piesaistījuši juristus vai konsultantus, lai mainītu zemes teritorijas plānojumu (81% 2014. gadā salīdzinājumā ar 23% 2011. gadā)</w:t>
      </w:r>
      <w:r w:rsidR="00FF1A23" w:rsidRPr="0019406C">
        <w:rPr>
          <w:rFonts w:asciiTheme="majorHAnsi" w:hAnsiTheme="majorHAnsi"/>
          <w:lang w:val="lv-LV"/>
        </w:rPr>
        <w:t>. Pieaudzis ir arī to uzņēmēju skaits, kas maksājuši oficiālās nodevas;</w:t>
      </w:r>
    </w:p>
    <w:p w:rsidR="00FF1A23" w:rsidRPr="0019406C" w:rsidRDefault="005A643D" w:rsidP="00444A73">
      <w:pPr>
        <w:pStyle w:val="BodyText"/>
        <w:numPr>
          <w:ilvl w:val="0"/>
          <w:numId w:val="43"/>
        </w:numPr>
        <w:spacing w:line="276" w:lineRule="auto"/>
        <w:jc w:val="both"/>
        <w:rPr>
          <w:rFonts w:asciiTheme="majorHAnsi" w:hAnsiTheme="majorHAnsi"/>
          <w:lang w:val="lv-LV"/>
        </w:rPr>
      </w:pPr>
      <w:r w:rsidRPr="0019406C">
        <w:rPr>
          <w:rFonts w:asciiTheme="majorHAnsi" w:hAnsiTheme="majorHAnsi"/>
          <w:lang w:val="lv-LV"/>
        </w:rPr>
        <w:t>Nekustamā īpašuma tiesību reģistrācijas procedūru procesa kvalitāte lielākoties tiek vērtēta labi: piemēram, 70% vērtē ar pirmpirkuma tiesībām saistīto procesu kā labu. Aptuveni 45% to pašu saka par apbūves lietošanas mērķa izmaiņu, kā arī reģistrāciju Zemesgrāmatā. Tomēr 32% respondentu zemes teritorijas plānojuma maiņas procesu vērtē kā sliktu. Salīdzinājumā ar 2011. gadu procesa kvalitātes vērtējumi neatšķiras. Lielākais kritums novērojams zemes teritorijas plānojuma maiņas procesa novērtējumā</w:t>
      </w:r>
      <w:r w:rsidR="00822892" w:rsidRPr="0019406C">
        <w:rPr>
          <w:rFonts w:asciiTheme="majorHAnsi" w:hAnsiTheme="majorHAnsi"/>
          <w:lang w:val="lv-LV"/>
        </w:rPr>
        <w:t xml:space="preserve"> –</w:t>
      </w:r>
      <w:r w:rsidRPr="0019406C">
        <w:rPr>
          <w:rFonts w:asciiTheme="majorHAnsi" w:hAnsiTheme="majorHAnsi"/>
          <w:lang w:val="lv-LV"/>
        </w:rPr>
        <w:t xml:space="preserve"> vidējais vērtējums nokrities no 4</w:t>
      </w:r>
      <w:r w:rsidR="00822892" w:rsidRPr="0019406C">
        <w:rPr>
          <w:rFonts w:asciiTheme="majorHAnsi" w:hAnsiTheme="majorHAnsi"/>
          <w:lang w:val="lv-LV"/>
        </w:rPr>
        <w:t>,</w:t>
      </w:r>
      <w:r w:rsidRPr="0019406C">
        <w:rPr>
          <w:rFonts w:asciiTheme="majorHAnsi" w:hAnsiTheme="majorHAnsi"/>
          <w:lang w:val="lv-LV"/>
        </w:rPr>
        <w:t>1 (2011. gadā) uz 3</w:t>
      </w:r>
      <w:r w:rsidR="00822892" w:rsidRPr="0019406C">
        <w:rPr>
          <w:rFonts w:asciiTheme="majorHAnsi" w:hAnsiTheme="majorHAnsi"/>
          <w:lang w:val="lv-LV"/>
        </w:rPr>
        <w:t>,</w:t>
      </w:r>
      <w:r w:rsidRPr="0019406C">
        <w:rPr>
          <w:rFonts w:asciiTheme="majorHAnsi" w:hAnsiTheme="majorHAnsi"/>
          <w:lang w:val="lv-LV"/>
        </w:rPr>
        <w:t>6 (2014. gadā)</w:t>
      </w:r>
      <w:r w:rsidR="00FF1A23" w:rsidRPr="0019406C">
        <w:rPr>
          <w:rFonts w:asciiTheme="majorHAnsi" w:hAnsiTheme="majorHAnsi"/>
          <w:lang w:val="lv-LV"/>
        </w:rPr>
        <w:t>;</w:t>
      </w:r>
    </w:p>
    <w:p w:rsidR="00D32635" w:rsidRPr="0019406C" w:rsidRDefault="00FF1A23" w:rsidP="00444A73">
      <w:pPr>
        <w:pStyle w:val="BodyText"/>
        <w:numPr>
          <w:ilvl w:val="0"/>
          <w:numId w:val="43"/>
        </w:numPr>
        <w:spacing w:line="276" w:lineRule="auto"/>
        <w:jc w:val="both"/>
        <w:rPr>
          <w:rFonts w:asciiTheme="majorHAnsi" w:hAnsiTheme="majorHAnsi"/>
          <w:lang w:val="lv-LV"/>
        </w:rPr>
      </w:pPr>
      <w:r w:rsidRPr="0019406C">
        <w:rPr>
          <w:rFonts w:asciiTheme="majorHAnsi" w:hAnsiTheme="majorHAnsi"/>
          <w:lang w:val="lv-LV"/>
        </w:rPr>
        <w:t>Jāņem gan vērā to, ka lielā daļā gadījumu respondentu skaits ir pārāk zems, lai rezultātus varētu vispārināt un lai par tiem izdarītu secinājumus (tikai 3</w:t>
      </w:r>
      <w:r w:rsidR="00822892" w:rsidRPr="0019406C">
        <w:rPr>
          <w:rFonts w:asciiTheme="majorHAnsi" w:hAnsiTheme="majorHAnsi"/>
          <w:lang w:val="lv-LV"/>
        </w:rPr>
        <w:t>,</w:t>
      </w:r>
      <w:r w:rsidRPr="0019406C">
        <w:rPr>
          <w:rFonts w:asciiTheme="majorHAnsi" w:hAnsiTheme="majorHAnsi"/>
          <w:lang w:val="lv-LV"/>
        </w:rPr>
        <w:t>2% visu respondentu bija veikuši paziņojuma saņemšanu par pašvaldības atteikšanos no pirmpirkuma tiesībām, 1</w:t>
      </w:r>
      <w:r w:rsidR="00822892" w:rsidRPr="0019406C">
        <w:rPr>
          <w:rFonts w:asciiTheme="majorHAnsi" w:hAnsiTheme="majorHAnsi"/>
          <w:lang w:val="lv-LV"/>
        </w:rPr>
        <w:t>,</w:t>
      </w:r>
      <w:r w:rsidRPr="0019406C">
        <w:rPr>
          <w:rFonts w:asciiTheme="majorHAnsi" w:hAnsiTheme="majorHAnsi"/>
          <w:lang w:val="lv-LV"/>
        </w:rPr>
        <w:t>4% bija veikuši apbūves lietošanas mērķa izmaiņas, 1</w:t>
      </w:r>
      <w:r w:rsidR="00822892" w:rsidRPr="0019406C">
        <w:rPr>
          <w:rFonts w:asciiTheme="majorHAnsi" w:hAnsiTheme="majorHAnsi"/>
          <w:lang w:val="lv-LV"/>
        </w:rPr>
        <w:t>,</w:t>
      </w:r>
      <w:r w:rsidRPr="0019406C">
        <w:rPr>
          <w:rFonts w:asciiTheme="majorHAnsi" w:hAnsiTheme="majorHAnsi"/>
          <w:lang w:val="lv-LV"/>
        </w:rPr>
        <w:t xml:space="preserve">3% ir veikuši zemes teritorijas plānojuma/ </w:t>
      </w:r>
      <w:proofErr w:type="spellStart"/>
      <w:r w:rsidRPr="0019406C">
        <w:rPr>
          <w:rFonts w:asciiTheme="majorHAnsi" w:hAnsiTheme="majorHAnsi"/>
          <w:lang w:val="lv-LV"/>
        </w:rPr>
        <w:t>lokālplānojuma</w:t>
      </w:r>
      <w:proofErr w:type="spellEnd"/>
      <w:r w:rsidRPr="0019406C">
        <w:rPr>
          <w:rFonts w:asciiTheme="majorHAnsi" w:hAnsiTheme="majorHAnsi"/>
          <w:lang w:val="lv-LV"/>
        </w:rPr>
        <w:t>/ detālplānojuma maiņu).</w:t>
      </w:r>
    </w:p>
    <w:p w:rsidR="00B85C59" w:rsidRPr="0019406C" w:rsidRDefault="00B85C59" w:rsidP="00B85C59">
      <w:pPr>
        <w:pStyle w:val="BodyText"/>
        <w:rPr>
          <w:rFonts w:asciiTheme="majorHAnsi" w:hAnsiTheme="majorHAnsi"/>
          <w:b/>
          <w:sz w:val="22"/>
          <w:lang w:val="lv-LV"/>
        </w:rPr>
      </w:pPr>
      <w:r w:rsidRPr="0019406C">
        <w:rPr>
          <w:rFonts w:asciiTheme="majorHAnsi" w:hAnsiTheme="majorHAnsi"/>
          <w:b/>
          <w:sz w:val="22"/>
          <w:lang w:val="lv-LV"/>
        </w:rPr>
        <w:t>Doing Business</w:t>
      </w:r>
    </w:p>
    <w:p w:rsidR="00B85C59" w:rsidRPr="0019406C" w:rsidRDefault="00B85C59" w:rsidP="006B022F">
      <w:pPr>
        <w:pStyle w:val="BodyText"/>
        <w:spacing w:line="276" w:lineRule="auto"/>
        <w:jc w:val="both"/>
        <w:rPr>
          <w:rFonts w:asciiTheme="majorHAnsi" w:hAnsiTheme="majorHAnsi"/>
          <w:lang w:val="lv-LV"/>
        </w:rPr>
      </w:pPr>
      <w:r w:rsidRPr="0019406C">
        <w:rPr>
          <w:rFonts w:asciiTheme="majorHAnsi" w:hAnsiTheme="majorHAnsi"/>
          <w:lang w:val="lv-LV"/>
        </w:rPr>
        <w:t>No DB pētījuma viedokļa, Latvija kopš 2012.</w:t>
      </w:r>
      <w:r w:rsidR="00822892" w:rsidRPr="0019406C">
        <w:rPr>
          <w:rFonts w:asciiTheme="majorHAnsi" w:hAnsiTheme="majorHAnsi"/>
          <w:lang w:val="lv-LV"/>
        </w:rPr>
        <w:t xml:space="preserve"> </w:t>
      </w:r>
      <w:r w:rsidRPr="0019406C">
        <w:rPr>
          <w:rFonts w:asciiTheme="majorHAnsi" w:hAnsiTheme="majorHAnsi"/>
          <w:lang w:val="lv-LV"/>
        </w:rPr>
        <w:t xml:space="preserve">gada vidus nav veikusi reformas, lai uzlabotu nekustamā īpašuma reģistrācijas procesu – Latvija ir saņēmusi tādu pašu novērtējuma punktu skaitu, kā iepriekšējā gadā, taču tas nodrošināja zemāku vietu reitingā. Uzlabojums par 9 vietām ir Polijai, lielākoties tādēļ, ka tā pēdējo gadu laikā ir ieviesusi jaunu pārvaldības sistēmu saistībā ar nekustamā īpašuma reģistrāciju, kā arī arvien vairāk </w:t>
      </w:r>
      <w:proofErr w:type="spellStart"/>
      <w:r w:rsidRPr="0019406C">
        <w:rPr>
          <w:rFonts w:asciiTheme="majorHAnsi" w:hAnsiTheme="majorHAnsi"/>
          <w:lang w:val="lv-LV"/>
        </w:rPr>
        <w:t>digitalizē</w:t>
      </w:r>
      <w:proofErr w:type="spellEnd"/>
      <w:r w:rsidRPr="0019406C">
        <w:rPr>
          <w:rFonts w:asciiTheme="majorHAnsi" w:hAnsiTheme="majorHAnsi"/>
          <w:lang w:val="lv-LV"/>
        </w:rPr>
        <w:t xml:space="preserve"> reģistru ierakstus. </w:t>
      </w:r>
    </w:p>
    <w:p w:rsidR="00811CA0" w:rsidRPr="0019406C" w:rsidRDefault="00811CA0" w:rsidP="006B022F">
      <w:pPr>
        <w:pStyle w:val="BodyText"/>
        <w:spacing w:line="276" w:lineRule="auto"/>
        <w:jc w:val="both"/>
        <w:rPr>
          <w:rFonts w:asciiTheme="majorHAnsi" w:hAnsiTheme="majorHAnsi"/>
          <w:lang w:val="lv-LV"/>
        </w:rPr>
      </w:pPr>
    </w:p>
    <w:p w:rsidR="00811CA0" w:rsidRPr="0019406C" w:rsidRDefault="00811CA0" w:rsidP="006B022F">
      <w:pPr>
        <w:pStyle w:val="BodyText"/>
        <w:spacing w:line="276" w:lineRule="auto"/>
        <w:jc w:val="both"/>
        <w:rPr>
          <w:rFonts w:asciiTheme="majorHAnsi" w:hAnsiTheme="majorHAnsi"/>
          <w:lang w:val="lv-LV"/>
        </w:rPr>
      </w:pPr>
    </w:p>
    <w:p w:rsidR="00B85C59" w:rsidRPr="0019406C" w:rsidRDefault="00B85C59" w:rsidP="00B85C59">
      <w:pPr>
        <w:pStyle w:val="Caption"/>
        <w:keepNext/>
        <w:rPr>
          <w:rFonts w:asciiTheme="majorHAnsi" w:hAnsiTheme="majorHAnsi"/>
          <w:sz w:val="16"/>
          <w:lang w:val="lv-LV"/>
        </w:rPr>
      </w:pPr>
      <w:bookmarkStart w:id="69" w:name="_Toc381609306"/>
      <w:bookmarkStart w:id="70" w:name="_Ref384829639"/>
      <w:bookmarkStart w:id="71" w:name="_Toc389225084"/>
      <w:r w:rsidRPr="0019406C">
        <w:rPr>
          <w:rFonts w:asciiTheme="majorHAnsi" w:hAnsiTheme="majorHAnsi"/>
          <w:sz w:val="16"/>
          <w:lang w:val="lv-LV"/>
        </w:rPr>
        <w:t xml:space="preserve">Tabula </w:t>
      </w:r>
      <w:r w:rsidRPr="0019406C">
        <w:rPr>
          <w:rFonts w:asciiTheme="majorHAnsi" w:hAnsiTheme="majorHAnsi"/>
          <w:sz w:val="16"/>
          <w:lang w:val="lv-LV"/>
        </w:rPr>
        <w:fldChar w:fldCharType="begin"/>
      </w:r>
      <w:r w:rsidRPr="0019406C">
        <w:rPr>
          <w:rFonts w:asciiTheme="majorHAnsi" w:hAnsiTheme="majorHAnsi"/>
          <w:sz w:val="16"/>
          <w:lang w:val="lv-LV"/>
        </w:rPr>
        <w:instrText xml:space="preserve"> SEQ Tabula \* ARABIC </w:instrText>
      </w:r>
      <w:r w:rsidRPr="0019406C">
        <w:rPr>
          <w:rFonts w:asciiTheme="majorHAnsi" w:hAnsiTheme="majorHAnsi"/>
          <w:sz w:val="16"/>
          <w:lang w:val="lv-LV"/>
        </w:rPr>
        <w:fldChar w:fldCharType="separate"/>
      </w:r>
      <w:r w:rsidR="00410806" w:rsidRPr="0019406C">
        <w:rPr>
          <w:rFonts w:asciiTheme="majorHAnsi" w:hAnsiTheme="majorHAnsi"/>
          <w:noProof/>
          <w:sz w:val="16"/>
          <w:lang w:val="lv-LV"/>
        </w:rPr>
        <w:t>10</w:t>
      </w:r>
      <w:r w:rsidRPr="0019406C">
        <w:rPr>
          <w:rFonts w:asciiTheme="majorHAnsi" w:hAnsiTheme="majorHAnsi"/>
          <w:noProof/>
          <w:sz w:val="16"/>
          <w:lang w:val="lv-LV"/>
        </w:rPr>
        <w:fldChar w:fldCharType="end"/>
      </w:r>
      <w:r w:rsidRPr="0019406C">
        <w:rPr>
          <w:rFonts w:asciiTheme="majorHAnsi" w:hAnsiTheme="majorHAnsi"/>
          <w:sz w:val="16"/>
          <w:lang w:val="lv-LV"/>
        </w:rPr>
        <w:t xml:space="preserve"> “</w:t>
      </w:r>
      <w:proofErr w:type="spellStart"/>
      <w:r w:rsidRPr="0019406C">
        <w:rPr>
          <w:rFonts w:asciiTheme="majorHAnsi" w:hAnsiTheme="majorHAnsi"/>
          <w:sz w:val="16"/>
          <w:lang w:val="lv-LV"/>
        </w:rPr>
        <w:t>Registering</w:t>
      </w:r>
      <w:proofErr w:type="spellEnd"/>
      <w:r w:rsidRPr="0019406C">
        <w:rPr>
          <w:rFonts w:asciiTheme="majorHAnsi" w:hAnsiTheme="majorHAnsi"/>
          <w:sz w:val="16"/>
          <w:lang w:val="lv-LV"/>
        </w:rPr>
        <w:t xml:space="preserve"> </w:t>
      </w:r>
      <w:proofErr w:type="spellStart"/>
      <w:r w:rsidRPr="0019406C">
        <w:rPr>
          <w:rFonts w:asciiTheme="majorHAnsi" w:hAnsiTheme="majorHAnsi"/>
          <w:sz w:val="16"/>
          <w:lang w:val="lv-LV"/>
        </w:rPr>
        <w:t>Property</w:t>
      </w:r>
      <w:proofErr w:type="spellEnd"/>
      <w:r w:rsidRPr="0019406C">
        <w:rPr>
          <w:rFonts w:asciiTheme="majorHAnsi" w:hAnsiTheme="majorHAnsi"/>
          <w:sz w:val="16"/>
          <w:lang w:val="lv-LV"/>
        </w:rPr>
        <w:t>”, nekustamā īpašuma reģistrācijas indekss</w:t>
      </w:r>
      <w:bookmarkEnd w:id="69"/>
      <w:bookmarkEnd w:id="70"/>
      <w:bookmarkEnd w:id="71"/>
    </w:p>
    <w:tbl>
      <w:tblPr>
        <w:tblStyle w:val="LightList-Accent11"/>
        <w:tblW w:w="5000" w:type="pct"/>
        <w:tblLook w:val="00A0" w:firstRow="1" w:lastRow="0" w:firstColumn="1" w:lastColumn="0" w:noHBand="0" w:noVBand="0"/>
      </w:tblPr>
      <w:tblGrid>
        <w:gridCol w:w="1314"/>
        <w:gridCol w:w="1115"/>
        <w:gridCol w:w="1115"/>
        <w:gridCol w:w="1169"/>
        <w:gridCol w:w="5367"/>
      </w:tblGrid>
      <w:tr w:rsidR="00B85C59" w:rsidRPr="0019406C" w:rsidTr="00B85C59">
        <w:trPr>
          <w:cnfStyle w:val="100000000000" w:firstRow="1" w:lastRow="0" w:firstColumn="0" w:lastColumn="0" w:oddVBand="0" w:evenVBand="0" w:oddHBand="0" w:evenHBand="0" w:firstRowFirstColumn="0" w:firstRowLastColumn="0" w:lastRowFirstColumn="0" w:lastRowLastColumn="0"/>
          <w:trHeight w:val="190"/>
          <w:tblHeader/>
        </w:trPr>
        <w:tc>
          <w:tcPr>
            <w:cnfStyle w:val="001000000000" w:firstRow="0" w:lastRow="0" w:firstColumn="1" w:lastColumn="0" w:oddVBand="0" w:evenVBand="0" w:oddHBand="0" w:evenHBand="0" w:firstRowFirstColumn="0" w:firstRowLastColumn="0" w:lastRowFirstColumn="0" w:lastRowLastColumn="0"/>
            <w:tcW w:w="652" w:type="pct"/>
            <w:vAlign w:val="center"/>
          </w:tcPr>
          <w:p w:rsidR="00B85C59" w:rsidRPr="0019406C" w:rsidRDefault="00B85C59" w:rsidP="00B85C59">
            <w:pPr>
              <w:rPr>
                <w:rFonts w:asciiTheme="majorHAnsi" w:eastAsia="Cambria" w:hAnsiTheme="majorHAnsi" w:cs="Times New Roman"/>
                <w:lang w:val="lv-LV"/>
              </w:rPr>
            </w:pPr>
            <w:r w:rsidRPr="0019406C">
              <w:rPr>
                <w:rFonts w:asciiTheme="majorHAnsi" w:eastAsia="Cambria" w:hAnsiTheme="majorHAnsi" w:cs="Times New Roman"/>
                <w:lang w:val="lv-LV"/>
              </w:rPr>
              <w:t>Valsts</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B85C59" w:rsidRPr="0019406C" w:rsidRDefault="00B85C59" w:rsidP="00B85C59">
            <w:pPr>
              <w:jc w:val="center"/>
              <w:rPr>
                <w:rFonts w:asciiTheme="majorHAnsi" w:eastAsia="Cambria" w:hAnsiTheme="majorHAnsi" w:cs="Times New Roman"/>
                <w:lang w:val="lv-LV"/>
              </w:rPr>
            </w:pPr>
            <w:r w:rsidRPr="0019406C">
              <w:rPr>
                <w:rFonts w:asciiTheme="majorHAnsi" w:eastAsia="Cambria" w:hAnsiTheme="majorHAnsi" w:cs="Times New Roman"/>
                <w:lang w:val="lv-LV"/>
              </w:rPr>
              <w:t>2013</w:t>
            </w:r>
          </w:p>
        </w:tc>
        <w:tc>
          <w:tcPr>
            <w:tcW w:w="553" w:type="pct"/>
            <w:vAlign w:val="center"/>
          </w:tcPr>
          <w:p w:rsidR="00B85C59" w:rsidRPr="0019406C" w:rsidRDefault="00B85C59" w:rsidP="00B85C59">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2014</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B85C59" w:rsidRPr="0019406C" w:rsidRDefault="00B85C59" w:rsidP="00B85C59">
            <w:pPr>
              <w:jc w:val="center"/>
              <w:rPr>
                <w:rFonts w:asciiTheme="majorHAnsi" w:eastAsia="Cambria" w:hAnsiTheme="majorHAnsi" w:cs="Times New Roman"/>
                <w:lang w:val="lv-LV"/>
              </w:rPr>
            </w:pPr>
            <w:r w:rsidRPr="0019406C">
              <w:rPr>
                <w:rFonts w:asciiTheme="majorHAnsi" w:eastAsia="Cambria" w:hAnsiTheme="majorHAnsi" w:cs="Times New Roman"/>
                <w:lang w:val="lv-LV"/>
              </w:rPr>
              <w:t>Izmaiņas</w:t>
            </w:r>
          </w:p>
        </w:tc>
        <w:tc>
          <w:tcPr>
            <w:tcW w:w="2662" w:type="pct"/>
          </w:tcPr>
          <w:p w:rsidR="00B85C59" w:rsidRPr="0019406C" w:rsidRDefault="00A4401C" w:rsidP="00A4401C">
            <w:pP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Veiktās reformas</w:t>
            </w:r>
          </w:p>
        </w:tc>
      </w:tr>
      <w:tr w:rsidR="00B85C59" w:rsidRPr="0019406C" w:rsidTr="00B85C59">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52" w:type="pct"/>
            <w:vAlign w:val="center"/>
          </w:tcPr>
          <w:p w:rsidR="00B85C59" w:rsidRPr="0019406C" w:rsidRDefault="00B85C59" w:rsidP="00B85C59">
            <w:pPr>
              <w:rPr>
                <w:rFonts w:asciiTheme="majorHAnsi" w:eastAsia="Cambria" w:hAnsiTheme="majorHAnsi" w:cs="Times New Roman"/>
                <w:b w:val="0"/>
                <w:lang w:val="lv-LV"/>
              </w:rPr>
            </w:pPr>
            <w:r w:rsidRPr="0019406C">
              <w:rPr>
                <w:rFonts w:asciiTheme="majorHAnsi" w:hAnsiTheme="majorHAnsi"/>
                <w:b w:val="0"/>
                <w:lang w:val="lv-LV"/>
              </w:rPr>
              <w:t xml:space="preserve">Lietuva </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B85C59" w:rsidRPr="0019406C" w:rsidRDefault="00B85C59" w:rsidP="00B85C59">
            <w:pPr>
              <w:jc w:val="center"/>
              <w:rPr>
                <w:rFonts w:asciiTheme="majorHAnsi" w:eastAsia="Cambria" w:hAnsiTheme="majorHAnsi" w:cs="Times New Roman"/>
                <w:lang w:val="lv-LV"/>
              </w:rPr>
            </w:pPr>
            <w:r w:rsidRPr="0019406C">
              <w:rPr>
                <w:rFonts w:asciiTheme="majorHAnsi" w:eastAsia="Cambria" w:hAnsiTheme="majorHAnsi" w:cs="Times New Roman"/>
                <w:lang w:val="lv-LV"/>
              </w:rPr>
              <w:t>5</w:t>
            </w:r>
          </w:p>
        </w:tc>
        <w:tc>
          <w:tcPr>
            <w:tcW w:w="553" w:type="pct"/>
            <w:vAlign w:val="center"/>
          </w:tcPr>
          <w:p w:rsidR="00B85C59" w:rsidRPr="0019406C" w:rsidRDefault="00B85C59" w:rsidP="00B85C59">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6</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B85C59" w:rsidRPr="0019406C" w:rsidRDefault="00B85C59" w:rsidP="00B85C59">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w:t>
            </w:r>
          </w:p>
        </w:tc>
        <w:tc>
          <w:tcPr>
            <w:tcW w:w="2662" w:type="pct"/>
          </w:tcPr>
          <w:p w:rsidR="00B85C59" w:rsidRPr="0019406C" w:rsidRDefault="00B85C59" w:rsidP="00B85C59">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B85C59" w:rsidRPr="0019406C" w:rsidTr="00B85C59">
        <w:trPr>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B85C59" w:rsidRPr="0019406C" w:rsidRDefault="00B85C59" w:rsidP="00B85C59">
            <w:pPr>
              <w:rPr>
                <w:rFonts w:asciiTheme="majorHAnsi" w:hAnsiTheme="majorHAnsi"/>
                <w:b w:val="0"/>
                <w:lang w:val="lv-LV"/>
              </w:rPr>
            </w:pPr>
            <w:r w:rsidRPr="0019406C">
              <w:rPr>
                <w:rFonts w:asciiTheme="majorHAnsi" w:hAnsiTheme="majorHAnsi"/>
                <w:b w:val="0"/>
                <w:lang w:val="lv-LV"/>
              </w:rPr>
              <w:t>Dānija</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B85C59" w:rsidRPr="0019406C" w:rsidRDefault="00B85C59" w:rsidP="00B85C59">
            <w:pPr>
              <w:jc w:val="center"/>
              <w:rPr>
                <w:rFonts w:asciiTheme="majorHAnsi" w:eastAsia="Cambria" w:hAnsiTheme="majorHAnsi" w:cs="Times New Roman"/>
                <w:lang w:val="lv-LV"/>
              </w:rPr>
            </w:pPr>
            <w:r w:rsidRPr="0019406C">
              <w:rPr>
                <w:rFonts w:asciiTheme="majorHAnsi" w:eastAsia="Cambria" w:hAnsiTheme="majorHAnsi" w:cs="Times New Roman"/>
                <w:lang w:val="lv-LV"/>
              </w:rPr>
              <w:t>7</w:t>
            </w:r>
          </w:p>
        </w:tc>
        <w:tc>
          <w:tcPr>
            <w:tcW w:w="553" w:type="pct"/>
            <w:vAlign w:val="center"/>
          </w:tcPr>
          <w:p w:rsidR="00B85C59" w:rsidRPr="0019406C" w:rsidRDefault="00B85C59" w:rsidP="00B85C59">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7</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B85C59" w:rsidRPr="0019406C" w:rsidRDefault="00B85C59" w:rsidP="00B85C59">
            <w:pPr>
              <w:jc w:val="center"/>
              <w:rPr>
                <w:rFonts w:asciiTheme="majorHAnsi" w:eastAsia="Cambria" w:hAnsiTheme="majorHAnsi" w:cs="Times New Roman"/>
                <w:b/>
                <w:lang w:val="lv-LV"/>
              </w:rPr>
            </w:pPr>
            <w:r w:rsidRPr="0019406C">
              <w:rPr>
                <w:rFonts w:asciiTheme="majorHAnsi" w:eastAsia="Cambria" w:hAnsiTheme="majorHAnsi" w:cs="Times New Roman"/>
                <w:b/>
                <w:lang w:val="lv-LV"/>
              </w:rPr>
              <w:t>-</w:t>
            </w:r>
          </w:p>
        </w:tc>
        <w:tc>
          <w:tcPr>
            <w:tcW w:w="2662" w:type="pct"/>
          </w:tcPr>
          <w:p w:rsidR="00B85C59" w:rsidRPr="0019406C" w:rsidRDefault="00B85C59" w:rsidP="00B85C59">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B85C59" w:rsidRPr="0019406C" w:rsidTr="00B85C59">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652" w:type="pct"/>
            <w:vAlign w:val="center"/>
          </w:tcPr>
          <w:p w:rsidR="00B85C59" w:rsidRPr="0019406C" w:rsidRDefault="00B85C59" w:rsidP="00B85C59">
            <w:pPr>
              <w:rPr>
                <w:rFonts w:asciiTheme="majorHAnsi" w:eastAsia="Cambria" w:hAnsiTheme="majorHAnsi" w:cs="Times New Roman"/>
                <w:b w:val="0"/>
                <w:lang w:val="lv-LV"/>
              </w:rPr>
            </w:pPr>
            <w:r w:rsidRPr="0019406C">
              <w:rPr>
                <w:rFonts w:asciiTheme="majorHAnsi" w:hAnsiTheme="majorHAnsi"/>
                <w:b w:val="0"/>
                <w:lang w:val="lv-LV"/>
              </w:rPr>
              <w:t>Igaunija</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B85C59" w:rsidRPr="0019406C" w:rsidRDefault="00B85C59" w:rsidP="00B85C59">
            <w:pPr>
              <w:jc w:val="center"/>
              <w:rPr>
                <w:rFonts w:asciiTheme="majorHAnsi" w:eastAsia="Cambria" w:hAnsiTheme="majorHAnsi" w:cs="Times New Roman"/>
                <w:lang w:val="lv-LV"/>
              </w:rPr>
            </w:pPr>
            <w:r w:rsidRPr="0019406C">
              <w:rPr>
                <w:rFonts w:asciiTheme="majorHAnsi" w:eastAsia="Cambria" w:hAnsiTheme="majorHAnsi" w:cs="Times New Roman"/>
                <w:lang w:val="lv-LV"/>
              </w:rPr>
              <w:t>14</w:t>
            </w:r>
          </w:p>
        </w:tc>
        <w:tc>
          <w:tcPr>
            <w:tcW w:w="553" w:type="pct"/>
            <w:vAlign w:val="center"/>
          </w:tcPr>
          <w:p w:rsidR="00B85C59" w:rsidRPr="0019406C" w:rsidRDefault="00B85C59" w:rsidP="00B85C59">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lang w:val="lv-LV"/>
              </w:rPr>
              <w:t>15</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B85C59" w:rsidRPr="0019406C" w:rsidRDefault="00B85C59" w:rsidP="00B85C59">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w:t>
            </w:r>
          </w:p>
        </w:tc>
        <w:tc>
          <w:tcPr>
            <w:tcW w:w="2662" w:type="pct"/>
          </w:tcPr>
          <w:p w:rsidR="00B85C59" w:rsidRPr="0019406C" w:rsidRDefault="00B85C59" w:rsidP="00B85C59">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B85C59" w:rsidRPr="0019406C" w:rsidTr="00B85C59">
        <w:trPr>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B85C59" w:rsidRPr="0019406C" w:rsidRDefault="00B85C59" w:rsidP="00B85C59">
            <w:pPr>
              <w:rPr>
                <w:rFonts w:asciiTheme="majorHAnsi" w:hAnsiTheme="majorHAnsi"/>
                <w:b w:val="0"/>
                <w:lang w:val="lv-LV"/>
              </w:rPr>
            </w:pPr>
            <w:r w:rsidRPr="0019406C">
              <w:rPr>
                <w:rFonts w:asciiTheme="majorHAnsi" w:hAnsiTheme="majorHAnsi"/>
                <w:b w:val="0"/>
                <w:lang w:val="lv-LV"/>
              </w:rPr>
              <w:t>Somija</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B85C59" w:rsidRPr="0019406C" w:rsidRDefault="00B85C59" w:rsidP="00B85C59">
            <w:pPr>
              <w:jc w:val="center"/>
              <w:rPr>
                <w:rFonts w:asciiTheme="majorHAnsi" w:eastAsia="Cambria" w:hAnsiTheme="majorHAnsi" w:cs="Times New Roman"/>
                <w:lang w:val="lv-LV"/>
              </w:rPr>
            </w:pPr>
            <w:r w:rsidRPr="0019406C">
              <w:rPr>
                <w:rFonts w:asciiTheme="majorHAnsi" w:eastAsia="Cambria" w:hAnsiTheme="majorHAnsi" w:cs="Times New Roman"/>
                <w:lang w:val="lv-LV"/>
              </w:rPr>
              <w:t>25</w:t>
            </w:r>
          </w:p>
        </w:tc>
        <w:tc>
          <w:tcPr>
            <w:tcW w:w="553" w:type="pct"/>
            <w:vAlign w:val="center"/>
          </w:tcPr>
          <w:p w:rsidR="00B85C59" w:rsidRPr="0019406C" w:rsidRDefault="00B85C59" w:rsidP="00B85C59">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26</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B85C59" w:rsidRPr="0019406C" w:rsidRDefault="00B85C59" w:rsidP="00B85C59">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w:t>
            </w:r>
          </w:p>
        </w:tc>
        <w:tc>
          <w:tcPr>
            <w:tcW w:w="2662" w:type="pct"/>
          </w:tcPr>
          <w:p w:rsidR="00B85C59" w:rsidRPr="0019406C" w:rsidRDefault="00B85C59" w:rsidP="00B85C59">
            <w:pPr>
              <w:tabs>
                <w:tab w:val="left" w:pos="1110"/>
              </w:tabs>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B85C59" w:rsidRPr="0019406C" w:rsidTr="00B85C5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652" w:type="pct"/>
            <w:shd w:val="clear" w:color="auto" w:fill="FFE199" w:themeFill="accent2" w:themeFillTint="66"/>
            <w:vAlign w:val="center"/>
          </w:tcPr>
          <w:p w:rsidR="00B85C59" w:rsidRPr="0019406C" w:rsidRDefault="00B85C59" w:rsidP="00B85C59">
            <w:pPr>
              <w:rPr>
                <w:rFonts w:asciiTheme="majorHAnsi" w:eastAsia="Cambria" w:hAnsiTheme="majorHAnsi" w:cs="Times New Roman"/>
                <w:b w:val="0"/>
                <w:lang w:val="lv-LV"/>
              </w:rPr>
            </w:pPr>
            <w:r w:rsidRPr="0019406C">
              <w:rPr>
                <w:rFonts w:asciiTheme="majorHAnsi" w:eastAsia="Cambria" w:hAnsiTheme="majorHAnsi" w:cs="Times New Roman"/>
                <w:b w:val="0"/>
                <w:lang w:val="lv-LV"/>
              </w:rPr>
              <w:t>Latvija</w:t>
            </w:r>
          </w:p>
        </w:tc>
        <w:tc>
          <w:tcPr>
            <w:cnfStyle w:val="000010000000" w:firstRow="0" w:lastRow="0" w:firstColumn="0" w:lastColumn="0" w:oddVBand="1" w:evenVBand="0" w:oddHBand="0" w:evenHBand="0" w:firstRowFirstColumn="0" w:firstRowLastColumn="0" w:lastRowFirstColumn="0" w:lastRowLastColumn="0"/>
            <w:tcW w:w="553" w:type="pct"/>
            <w:shd w:val="clear" w:color="auto" w:fill="FFE199" w:themeFill="accent2" w:themeFillTint="66"/>
            <w:vAlign w:val="center"/>
          </w:tcPr>
          <w:p w:rsidR="00B85C59" w:rsidRPr="0019406C" w:rsidRDefault="00B85C59" w:rsidP="00B85C59">
            <w:pPr>
              <w:jc w:val="center"/>
              <w:rPr>
                <w:rFonts w:asciiTheme="majorHAnsi" w:eastAsia="Cambria" w:hAnsiTheme="majorHAnsi" w:cs="Times New Roman"/>
                <w:lang w:val="lv-LV"/>
              </w:rPr>
            </w:pPr>
            <w:r w:rsidRPr="0019406C">
              <w:rPr>
                <w:rFonts w:asciiTheme="majorHAnsi" w:eastAsia="Cambria" w:hAnsiTheme="majorHAnsi" w:cs="Times New Roman"/>
                <w:lang w:val="lv-LV"/>
              </w:rPr>
              <w:t>29</w:t>
            </w:r>
          </w:p>
        </w:tc>
        <w:tc>
          <w:tcPr>
            <w:tcW w:w="553" w:type="pct"/>
            <w:shd w:val="clear" w:color="auto" w:fill="FFE199" w:themeFill="accent2" w:themeFillTint="66"/>
            <w:vAlign w:val="center"/>
          </w:tcPr>
          <w:p w:rsidR="00B85C59" w:rsidRPr="0019406C" w:rsidRDefault="00B85C59" w:rsidP="00B85C59">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33</w:t>
            </w:r>
          </w:p>
        </w:tc>
        <w:tc>
          <w:tcPr>
            <w:cnfStyle w:val="000010000000" w:firstRow="0" w:lastRow="0" w:firstColumn="0" w:lastColumn="0" w:oddVBand="1" w:evenVBand="0" w:oddHBand="0" w:evenHBand="0" w:firstRowFirstColumn="0" w:firstRowLastColumn="0" w:lastRowFirstColumn="0" w:lastRowLastColumn="0"/>
            <w:tcW w:w="580" w:type="pct"/>
            <w:shd w:val="clear" w:color="auto" w:fill="FFE199" w:themeFill="accent2" w:themeFillTint="66"/>
            <w:vAlign w:val="center"/>
          </w:tcPr>
          <w:p w:rsidR="00B85C59" w:rsidRPr="0019406C" w:rsidRDefault="00B85C59" w:rsidP="00B85C59">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-4</w:t>
            </w:r>
          </w:p>
        </w:tc>
        <w:tc>
          <w:tcPr>
            <w:tcW w:w="2662" w:type="pct"/>
            <w:shd w:val="clear" w:color="auto" w:fill="FFE199" w:themeFill="accent2" w:themeFillTint="66"/>
          </w:tcPr>
          <w:p w:rsidR="00B85C59" w:rsidRPr="0019406C" w:rsidRDefault="00B85C59" w:rsidP="00B85C59">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B85C59" w:rsidRPr="00BB0049" w:rsidTr="00B85C59">
        <w:trPr>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B85C59" w:rsidRPr="0019406C" w:rsidRDefault="00B85C59" w:rsidP="00B85C59">
            <w:pPr>
              <w:rPr>
                <w:rFonts w:asciiTheme="majorHAnsi" w:hAnsiTheme="majorHAnsi"/>
                <w:b w:val="0"/>
                <w:lang w:val="lv-LV"/>
              </w:rPr>
            </w:pPr>
            <w:r w:rsidRPr="0019406C">
              <w:rPr>
                <w:rFonts w:asciiTheme="majorHAnsi" w:hAnsiTheme="majorHAnsi"/>
                <w:b w:val="0"/>
                <w:lang w:val="lv-LV"/>
              </w:rPr>
              <w:t>Čehija</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B85C59" w:rsidRPr="0019406C" w:rsidRDefault="00B85C59" w:rsidP="00B85C59">
            <w:pPr>
              <w:jc w:val="center"/>
              <w:rPr>
                <w:rFonts w:asciiTheme="majorHAnsi" w:eastAsia="Cambria" w:hAnsiTheme="majorHAnsi" w:cs="Times New Roman"/>
                <w:lang w:val="lv-LV"/>
              </w:rPr>
            </w:pPr>
            <w:r w:rsidRPr="0019406C">
              <w:rPr>
                <w:rFonts w:asciiTheme="majorHAnsi" w:eastAsia="Cambria" w:hAnsiTheme="majorHAnsi" w:cs="Times New Roman"/>
                <w:lang w:val="lv-LV"/>
              </w:rPr>
              <w:t>28</w:t>
            </w:r>
          </w:p>
        </w:tc>
        <w:tc>
          <w:tcPr>
            <w:tcW w:w="553" w:type="pct"/>
            <w:vAlign w:val="center"/>
          </w:tcPr>
          <w:p w:rsidR="00B85C59" w:rsidRPr="0019406C" w:rsidRDefault="00B85C59" w:rsidP="00B85C59">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37</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B85C59" w:rsidRPr="0019406C" w:rsidRDefault="00B85C59" w:rsidP="00B85C59">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-9</w:t>
            </w:r>
          </w:p>
        </w:tc>
        <w:tc>
          <w:tcPr>
            <w:tcW w:w="2662" w:type="pct"/>
          </w:tcPr>
          <w:p w:rsidR="00B85C59" w:rsidRPr="0019406C" w:rsidRDefault="00B85C59" w:rsidP="00B85C59">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 xml:space="preserve">Paaugstināta nekustamā īpašuma nodošanas nodokļa </w:t>
            </w:r>
            <w:r w:rsidRPr="0019406C">
              <w:rPr>
                <w:rFonts w:asciiTheme="majorHAnsi" w:eastAsia="Cambria" w:hAnsiTheme="majorHAnsi" w:cs="Times New Roman"/>
                <w:lang w:val="lv-LV"/>
              </w:rPr>
              <w:lastRenderedPageBreak/>
              <w:t>likme.</w:t>
            </w:r>
          </w:p>
        </w:tc>
      </w:tr>
      <w:tr w:rsidR="00B85C59" w:rsidRPr="0019406C" w:rsidTr="00B85C59">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B85C59" w:rsidRPr="0019406C" w:rsidRDefault="00B85C59" w:rsidP="00B85C59">
            <w:pPr>
              <w:rPr>
                <w:rFonts w:asciiTheme="majorHAnsi" w:hAnsiTheme="majorHAnsi"/>
                <w:b w:val="0"/>
                <w:lang w:val="lv-LV"/>
              </w:rPr>
            </w:pPr>
            <w:r w:rsidRPr="0019406C">
              <w:rPr>
                <w:rFonts w:asciiTheme="majorHAnsi" w:hAnsiTheme="majorHAnsi"/>
                <w:b w:val="0"/>
                <w:lang w:val="lv-LV"/>
              </w:rPr>
              <w:lastRenderedPageBreak/>
              <w:t>Zviedrija</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B85C59" w:rsidRPr="0019406C" w:rsidRDefault="00B85C59" w:rsidP="00B85C59">
            <w:pPr>
              <w:jc w:val="center"/>
              <w:rPr>
                <w:rFonts w:asciiTheme="majorHAnsi" w:eastAsia="Cambria" w:hAnsiTheme="majorHAnsi" w:cs="Times New Roman"/>
                <w:lang w:val="lv-LV"/>
              </w:rPr>
            </w:pPr>
            <w:r w:rsidRPr="0019406C">
              <w:rPr>
                <w:rFonts w:asciiTheme="majorHAnsi" w:eastAsia="Cambria" w:hAnsiTheme="majorHAnsi" w:cs="Times New Roman"/>
                <w:lang w:val="lv-LV"/>
              </w:rPr>
              <w:t>36</w:t>
            </w:r>
          </w:p>
        </w:tc>
        <w:tc>
          <w:tcPr>
            <w:tcW w:w="553" w:type="pct"/>
            <w:vAlign w:val="center"/>
          </w:tcPr>
          <w:p w:rsidR="00B85C59" w:rsidRPr="0019406C" w:rsidRDefault="00B85C59" w:rsidP="00B85C59">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38</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B85C59" w:rsidRPr="0019406C" w:rsidRDefault="00B85C59" w:rsidP="00B85C59">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-2</w:t>
            </w:r>
          </w:p>
        </w:tc>
        <w:tc>
          <w:tcPr>
            <w:tcW w:w="2662" w:type="pct"/>
          </w:tcPr>
          <w:p w:rsidR="00B85C59" w:rsidRPr="0019406C" w:rsidRDefault="00B85C59" w:rsidP="00B85C59">
            <w:pPr>
              <w:tabs>
                <w:tab w:val="left" w:pos="1815"/>
              </w:tabs>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Ieviesta jauna Zemesgrāmatas IT sistēma.</w:t>
            </w:r>
          </w:p>
        </w:tc>
      </w:tr>
      <w:tr w:rsidR="00B85C59" w:rsidRPr="00BB0049" w:rsidTr="00B85C59">
        <w:trPr>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B85C59" w:rsidRPr="0019406C" w:rsidRDefault="00B85C59" w:rsidP="00B85C59">
            <w:pPr>
              <w:rPr>
                <w:rFonts w:asciiTheme="majorHAnsi" w:eastAsia="Cambria" w:hAnsiTheme="majorHAnsi" w:cs="Times New Roman"/>
                <w:b w:val="0"/>
                <w:lang w:val="lv-LV"/>
              </w:rPr>
            </w:pPr>
            <w:r w:rsidRPr="0019406C">
              <w:rPr>
                <w:rFonts w:asciiTheme="majorHAnsi" w:hAnsiTheme="majorHAnsi"/>
                <w:b w:val="0"/>
                <w:lang w:val="lv-LV"/>
              </w:rPr>
              <w:t>Polija</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B85C59" w:rsidRPr="0019406C" w:rsidRDefault="00B85C59" w:rsidP="00B85C59">
            <w:pPr>
              <w:jc w:val="center"/>
              <w:rPr>
                <w:rFonts w:asciiTheme="majorHAnsi" w:eastAsia="Cambria" w:hAnsiTheme="majorHAnsi" w:cs="Times New Roman"/>
                <w:lang w:val="lv-LV"/>
              </w:rPr>
            </w:pPr>
            <w:r w:rsidRPr="0019406C">
              <w:rPr>
                <w:rFonts w:asciiTheme="majorHAnsi" w:eastAsia="Cambria" w:hAnsiTheme="majorHAnsi" w:cs="Times New Roman"/>
                <w:lang w:val="lv-LV"/>
              </w:rPr>
              <w:t>63</w:t>
            </w:r>
          </w:p>
        </w:tc>
        <w:tc>
          <w:tcPr>
            <w:tcW w:w="553" w:type="pct"/>
            <w:vAlign w:val="center"/>
          </w:tcPr>
          <w:p w:rsidR="00B85C59" w:rsidRPr="0019406C" w:rsidRDefault="00B85C59" w:rsidP="00B85C59">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54</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B85C59" w:rsidRPr="0019406C" w:rsidRDefault="00B85C59" w:rsidP="00B85C59">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9</w:t>
            </w:r>
          </w:p>
        </w:tc>
        <w:tc>
          <w:tcPr>
            <w:tcW w:w="2662" w:type="pct"/>
          </w:tcPr>
          <w:p w:rsidR="00B85C59" w:rsidRPr="0019406C" w:rsidRDefault="00B85C59" w:rsidP="00B85C59">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proofErr w:type="spellStart"/>
            <w:r w:rsidRPr="0019406C">
              <w:rPr>
                <w:rFonts w:asciiTheme="majorHAnsi" w:eastAsia="Cambria" w:hAnsiTheme="majorHAnsi" w:cs="Times New Roman"/>
                <w:lang w:val="lv-LV"/>
              </w:rPr>
              <w:t>Digitalizēti</w:t>
            </w:r>
            <w:proofErr w:type="spellEnd"/>
            <w:r w:rsidRPr="0019406C">
              <w:rPr>
                <w:rFonts w:asciiTheme="majorHAnsi" w:eastAsia="Cambria" w:hAnsiTheme="majorHAnsi" w:cs="Times New Roman"/>
                <w:lang w:val="lv-LV"/>
              </w:rPr>
              <w:t xml:space="preserve"> reģistru ieraksti. Jauna pārvaldības sistēma attiecībā uz zemes un hipotēku reģistriem (2013).</w:t>
            </w:r>
          </w:p>
        </w:tc>
      </w:tr>
      <w:tr w:rsidR="00B85C59" w:rsidRPr="0019406C" w:rsidTr="00B85C59">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B85C59" w:rsidRPr="0019406C" w:rsidRDefault="00B85C59" w:rsidP="00B85C59">
            <w:pPr>
              <w:rPr>
                <w:rFonts w:asciiTheme="majorHAnsi" w:hAnsiTheme="majorHAnsi"/>
                <w:b w:val="0"/>
                <w:lang w:val="lv-LV"/>
              </w:rPr>
            </w:pPr>
            <w:r w:rsidRPr="0019406C">
              <w:rPr>
                <w:rFonts w:asciiTheme="majorHAnsi" w:hAnsiTheme="majorHAnsi"/>
                <w:b w:val="0"/>
                <w:lang w:val="lv-LV"/>
              </w:rPr>
              <w:t>Lielbritānija</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B85C59" w:rsidRPr="0019406C" w:rsidRDefault="00B85C59" w:rsidP="00B85C59">
            <w:pPr>
              <w:jc w:val="center"/>
              <w:rPr>
                <w:rFonts w:asciiTheme="majorHAnsi" w:eastAsia="Cambria" w:hAnsiTheme="majorHAnsi" w:cs="Times New Roman"/>
                <w:lang w:val="lv-LV"/>
              </w:rPr>
            </w:pPr>
            <w:r w:rsidRPr="0019406C">
              <w:rPr>
                <w:rFonts w:asciiTheme="majorHAnsi" w:eastAsia="Cambria" w:hAnsiTheme="majorHAnsi" w:cs="Times New Roman"/>
                <w:lang w:val="lv-LV"/>
              </w:rPr>
              <w:t>71</w:t>
            </w:r>
          </w:p>
        </w:tc>
        <w:tc>
          <w:tcPr>
            <w:tcW w:w="553" w:type="pct"/>
            <w:vAlign w:val="center"/>
          </w:tcPr>
          <w:p w:rsidR="00B85C59" w:rsidRPr="0019406C" w:rsidRDefault="00B85C59" w:rsidP="00B85C59">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68</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B85C59" w:rsidRPr="0019406C" w:rsidRDefault="00B85C59" w:rsidP="00B85C59">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3</w:t>
            </w:r>
          </w:p>
        </w:tc>
        <w:tc>
          <w:tcPr>
            <w:tcW w:w="2662" w:type="pct"/>
          </w:tcPr>
          <w:p w:rsidR="00B85C59" w:rsidRPr="0019406C" w:rsidRDefault="00B85C59" w:rsidP="00B85C59">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Ieviesta elektroniska pieteikumu iesniegšana.</w:t>
            </w:r>
          </w:p>
        </w:tc>
      </w:tr>
    </w:tbl>
    <w:p w:rsidR="00B85C59" w:rsidRPr="0019406C" w:rsidRDefault="00B85C59" w:rsidP="00B85C59">
      <w:pPr>
        <w:pStyle w:val="BodyText"/>
        <w:rPr>
          <w:rFonts w:asciiTheme="majorHAnsi" w:hAnsiTheme="majorHAnsi"/>
          <w:lang w:val="lv-LV"/>
        </w:rPr>
      </w:pPr>
    </w:p>
    <w:p w:rsidR="00B85C59" w:rsidRPr="0019406C" w:rsidRDefault="00B85C59" w:rsidP="006B022F">
      <w:pPr>
        <w:pStyle w:val="BodyText"/>
        <w:spacing w:line="276" w:lineRule="auto"/>
        <w:jc w:val="both"/>
        <w:rPr>
          <w:rFonts w:asciiTheme="majorHAnsi" w:hAnsiTheme="majorHAnsi"/>
          <w:lang w:val="lv-LV"/>
        </w:rPr>
      </w:pPr>
      <w:r w:rsidRPr="0019406C">
        <w:rPr>
          <w:rFonts w:asciiTheme="majorHAnsi" w:hAnsiTheme="majorHAnsi"/>
          <w:lang w:val="lv-LV"/>
        </w:rPr>
        <w:t xml:space="preserve">Lai gan Latvija arī DB2014 pētījumā šajā sadaļā krietni apsteidz Poliju, kā arī vidējo OECD valstu kritēriju attiecībā uz ilgumu dienās, kas nepieciešams, lai veiksmīgi reģistrētu nekustamo īpašumu, jāsecina, ka pastāvīga attīstība ir ļoti būtiska, lai veiksmīgi konkurētu ar citām valstīm. </w:t>
      </w:r>
    </w:p>
    <w:p w:rsidR="00B85C59" w:rsidRPr="0019406C" w:rsidRDefault="00B85C59" w:rsidP="00B85C59">
      <w:pPr>
        <w:pStyle w:val="Caption"/>
        <w:keepNext/>
        <w:rPr>
          <w:rFonts w:asciiTheme="majorHAnsi" w:hAnsiTheme="majorHAnsi"/>
          <w:sz w:val="16"/>
          <w:lang w:val="lv-LV"/>
        </w:rPr>
      </w:pPr>
      <w:bookmarkStart w:id="72" w:name="_Toc381609307"/>
      <w:bookmarkStart w:id="73" w:name="_Toc389225085"/>
      <w:r w:rsidRPr="0019406C">
        <w:rPr>
          <w:rFonts w:asciiTheme="majorHAnsi" w:hAnsiTheme="majorHAnsi"/>
          <w:sz w:val="16"/>
          <w:lang w:val="lv-LV"/>
        </w:rPr>
        <w:t xml:space="preserve">Tabula </w:t>
      </w:r>
      <w:r w:rsidRPr="0019406C">
        <w:rPr>
          <w:rFonts w:asciiTheme="majorHAnsi" w:hAnsiTheme="majorHAnsi"/>
          <w:sz w:val="16"/>
          <w:lang w:val="lv-LV"/>
        </w:rPr>
        <w:fldChar w:fldCharType="begin"/>
      </w:r>
      <w:r w:rsidRPr="0019406C">
        <w:rPr>
          <w:rFonts w:asciiTheme="majorHAnsi" w:hAnsiTheme="majorHAnsi"/>
          <w:sz w:val="16"/>
          <w:lang w:val="lv-LV"/>
        </w:rPr>
        <w:instrText xml:space="preserve"> SEQ Tabula \* ARABIC </w:instrText>
      </w:r>
      <w:r w:rsidRPr="0019406C">
        <w:rPr>
          <w:rFonts w:asciiTheme="majorHAnsi" w:hAnsiTheme="majorHAnsi"/>
          <w:sz w:val="16"/>
          <w:lang w:val="lv-LV"/>
        </w:rPr>
        <w:fldChar w:fldCharType="separate"/>
      </w:r>
      <w:r w:rsidR="00410806" w:rsidRPr="0019406C">
        <w:rPr>
          <w:rFonts w:asciiTheme="majorHAnsi" w:hAnsiTheme="majorHAnsi"/>
          <w:noProof/>
          <w:sz w:val="16"/>
          <w:lang w:val="lv-LV"/>
        </w:rPr>
        <w:t>11</w:t>
      </w:r>
      <w:r w:rsidRPr="0019406C">
        <w:rPr>
          <w:rFonts w:asciiTheme="majorHAnsi" w:hAnsiTheme="majorHAnsi"/>
          <w:sz w:val="16"/>
          <w:lang w:val="lv-LV"/>
        </w:rPr>
        <w:fldChar w:fldCharType="end"/>
      </w:r>
      <w:r w:rsidRPr="0019406C">
        <w:rPr>
          <w:rFonts w:asciiTheme="majorHAnsi" w:hAnsiTheme="majorHAnsi"/>
          <w:sz w:val="16"/>
          <w:lang w:val="lv-LV"/>
        </w:rPr>
        <w:t xml:space="preserve"> Nekustamā īpašuma reģistrācijas procesa ilguma salīdzinājums</w:t>
      </w:r>
      <w:bookmarkEnd w:id="72"/>
      <w:bookmarkEnd w:id="73"/>
    </w:p>
    <w:tbl>
      <w:tblPr>
        <w:tblStyle w:val="LightList-Accent11"/>
        <w:tblW w:w="5000" w:type="pct"/>
        <w:tblLook w:val="00A0" w:firstRow="1" w:lastRow="0" w:firstColumn="1" w:lastColumn="0" w:noHBand="0" w:noVBand="0"/>
      </w:tblPr>
      <w:tblGrid>
        <w:gridCol w:w="1910"/>
        <w:gridCol w:w="1155"/>
        <w:gridCol w:w="1155"/>
        <w:gridCol w:w="1161"/>
        <w:gridCol w:w="1216"/>
        <w:gridCol w:w="1161"/>
        <w:gridCol w:w="1163"/>
        <w:gridCol w:w="1159"/>
      </w:tblGrid>
      <w:tr w:rsidR="00B85C59" w:rsidRPr="0019406C" w:rsidTr="00B85C59">
        <w:trPr>
          <w:cnfStyle w:val="100000000000" w:firstRow="1" w:lastRow="0" w:firstColumn="0" w:lastColumn="0" w:oddVBand="0" w:evenVBand="0" w:oddHBand="0" w:evenHBand="0" w:firstRowFirstColumn="0" w:firstRowLastColumn="0" w:lastRowFirstColumn="0" w:lastRowLastColumn="0"/>
          <w:trHeight w:val="190"/>
        </w:trPr>
        <w:tc>
          <w:tcPr>
            <w:cnfStyle w:val="001000000000" w:firstRow="0" w:lastRow="0" w:firstColumn="1" w:lastColumn="0" w:oddVBand="0" w:evenVBand="0" w:oddHBand="0" w:evenHBand="0" w:firstRowFirstColumn="0" w:firstRowLastColumn="0" w:lastRowFirstColumn="0" w:lastRowLastColumn="0"/>
            <w:tcW w:w="947" w:type="pct"/>
            <w:vAlign w:val="center"/>
          </w:tcPr>
          <w:p w:rsidR="00B85C59" w:rsidRPr="0019406C" w:rsidRDefault="00B85C59" w:rsidP="002B6871">
            <w:pPr>
              <w:rPr>
                <w:rFonts w:asciiTheme="majorHAnsi" w:eastAsia="Cambria" w:hAnsiTheme="majorHAnsi" w:cs="Times New Roman"/>
                <w:lang w:val="lv-LV"/>
              </w:rPr>
            </w:pPr>
            <w:r w:rsidRPr="0019406C">
              <w:rPr>
                <w:rFonts w:asciiTheme="majorHAnsi" w:eastAsia="Cambria" w:hAnsiTheme="majorHAnsi" w:cs="Times New Roman"/>
                <w:lang w:val="lv-LV"/>
              </w:rPr>
              <w:t>Kritērijs</w:t>
            </w:r>
          </w:p>
        </w:tc>
        <w:tc>
          <w:tcPr>
            <w:cnfStyle w:val="000010000000" w:firstRow="0" w:lastRow="0" w:firstColumn="0" w:lastColumn="0" w:oddVBand="1" w:evenVBand="0" w:oddHBand="0" w:evenHBand="0" w:firstRowFirstColumn="0" w:firstRowLastColumn="0" w:lastRowFirstColumn="0" w:lastRowLastColumn="0"/>
            <w:tcW w:w="573" w:type="pct"/>
            <w:vAlign w:val="center"/>
          </w:tcPr>
          <w:p w:rsidR="00B85C59" w:rsidRPr="0019406C" w:rsidRDefault="00742A74" w:rsidP="00B85C59">
            <w:pPr>
              <w:jc w:val="center"/>
              <w:rPr>
                <w:rFonts w:asciiTheme="majorHAnsi" w:eastAsia="Cambria" w:hAnsiTheme="majorHAnsi" w:cs="Times New Roman"/>
                <w:lang w:val="lv-LV"/>
              </w:rPr>
            </w:pPr>
            <w:r w:rsidRPr="0019406C">
              <w:rPr>
                <w:rFonts w:asciiTheme="majorHAnsi" w:eastAsia="Cambria" w:hAnsiTheme="majorHAnsi" w:cs="Times New Roman"/>
                <w:lang w:val="lv-LV"/>
              </w:rPr>
              <w:t xml:space="preserve">Latvijā </w:t>
            </w:r>
            <w:r w:rsidR="00B85C59" w:rsidRPr="0019406C">
              <w:rPr>
                <w:rFonts w:asciiTheme="majorHAnsi" w:eastAsia="Cambria" w:hAnsiTheme="majorHAnsi" w:cs="Times New Roman"/>
                <w:lang w:val="lv-LV"/>
              </w:rPr>
              <w:t>DB 2013</w:t>
            </w:r>
          </w:p>
        </w:tc>
        <w:tc>
          <w:tcPr>
            <w:tcW w:w="573" w:type="pct"/>
            <w:vAlign w:val="center"/>
          </w:tcPr>
          <w:p w:rsidR="00B85C59" w:rsidRPr="0019406C" w:rsidRDefault="00742A74" w:rsidP="00B85C59">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 xml:space="preserve">Latvijā </w:t>
            </w:r>
            <w:r w:rsidR="00B85C59" w:rsidRPr="0019406C">
              <w:rPr>
                <w:rFonts w:asciiTheme="majorHAnsi" w:eastAsia="Cambria" w:hAnsiTheme="majorHAnsi" w:cs="Times New Roman"/>
                <w:lang w:val="lv-LV"/>
              </w:rPr>
              <w:t>DB 2014</w:t>
            </w:r>
          </w:p>
        </w:tc>
        <w:tc>
          <w:tcPr>
            <w:cnfStyle w:val="000010000000" w:firstRow="0" w:lastRow="0" w:firstColumn="0" w:lastColumn="0" w:oddVBand="1" w:evenVBand="0" w:oddHBand="0" w:evenHBand="0" w:firstRowFirstColumn="0" w:firstRowLastColumn="0" w:lastRowFirstColumn="0" w:lastRowLastColumn="0"/>
            <w:tcW w:w="576" w:type="pct"/>
            <w:vAlign w:val="center"/>
          </w:tcPr>
          <w:p w:rsidR="00B85C59" w:rsidRPr="0019406C" w:rsidRDefault="00B85C59" w:rsidP="00B85C59">
            <w:pPr>
              <w:jc w:val="center"/>
              <w:rPr>
                <w:rFonts w:asciiTheme="majorHAnsi" w:eastAsia="Cambria" w:hAnsiTheme="majorHAnsi" w:cs="Times New Roman"/>
                <w:lang w:val="lv-LV"/>
              </w:rPr>
            </w:pPr>
            <w:r w:rsidRPr="0019406C">
              <w:rPr>
                <w:rFonts w:asciiTheme="majorHAnsi" w:eastAsia="Cambria" w:hAnsiTheme="majorHAnsi" w:cs="Times New Roman"/>
                <w:lang w:val="lv-LV"/>
              </w:rPr>
              <w:t>Dānija</w:t>
            </w:r>
          </w:p>
        </w:tc>
        <w:tc>
          <w:tcPr>
            <w:tcW w:w="603" w:type="pct"/>
            <w:vAlign w:val="center"/>
          </w:tcPr>
          <w:p w:rsidR="00B85C59" w:rsidRPr="0019406C" w:rsidRDefault="00B85C59" w:rsidP="00B85C59">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Igaunija</w:t>
            </w:r>
          </w:p>
        </w:tc>
        <w:tc>
          <w:tcPr>
            <w:cnfStyle w:val="000010000000" w:firstRow="0" w:lastRow="0" w:firstColumn="0" w:lastColumn="0" w:oddVBand="1" w:evenVBand="0" w:oddHBand="0" w:evenHBand="0" w:firstRowFirstColumn="0" w:firstRowLastColumn="0" w:lastRowFirstColumn="0" w:lastRowLastColumn="0"/>
            <w:tcW w:w="576" w:type="pct"/>
            <w:vAlign w:val="center"/>
          </w:tcPr>
          <w:p w:rsidR="00B85C59" w:rsidRPr="0019406C" w:rsidRDefault="00B85C59" w:rsidP="00B85C59">
            <w:pPr>
              <w:jc w:val="center"/>
              <w:rPr>
                <w:rFonts w:asciiTheme="majorHAnsi" w:eastAsia="Cambria" w:hAnsiTheme="majorHAnsi" w:cs="Times New Roman"/>
                <w:lang w:val="lv-LV"/>
              </w:rPr>
            </w:pPr>
            <w:r w:rsidRPr="0019406C">
              <w:rPr>
                <w:rFonts w:asciiTheme="majorHAnsi" w:eastAsia="Cambria" w:hAnsiTheme="majorHAnsi" w:cs="Times New Roman"/>
                <w:lang w:val="lv-LV"/>
              </w:rPr>
              <w:t>Somija</w:t>
            </w:r>
          </w:p>
        </w:tc>
        <w:tc>
          <w:tcPr>
            <w:tcW w:w="577" w:type="pct"/>
            <w:vAlign w:val="center"/>
          </w:tcPr>
          <w:p w:rsidR="00B85C59" w:rsidRPr="0019406C" w:rsidRDefault="00B85C59" w:rsidP="00B85C59">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Lietuva</w:t>
            </w:r>
          </w:p>
        </w:tc>
        <w:tc>
          <w:tcPr>
            <w:cnfStyle w:val="000010000000" w:firstRow="0" w:lastRow="0" w:firstColumn="0" w:lastColumn="0" w:oddVBand="1" w:evenVBand="0" w:oddHBand="0" w:evenHBand="0" w:firstRowFirstColumn="0" w:firstRowLastColumn="0" w:lastRowFirstColumn="0" w:lastRowLastColumn="0"/>
            <w:tcW w:w="575" w:type="pct"/>
          </w:tcPr>
          <w:p w:rsidR="00B85C59" w:rsidRPr="0019406C" w:rsidRDefault="00B85C59" w:rsidP="00B85C59">
            <w:pPr>
              <w:jc w:val="center"/>
              <w:rPr>
                <w:rFonts w:asciiTheme="majorHAnsi" w:eastAsia="Cambria" w:hAnsiTheme="majorHAnsi" w:cs="Times New Roman"/>
                <w:lang w:val="lv-LV"/>
              </w:rPr>
            </w:pPr>
            <w:r w:rsidRPr="0019406C">
              <w:rPr>
                <w:rFonts w:asciiTheme="majorHAnsi" w:eastAsia="Cambria" w:hAnsiTheme="majorHAnsi" w:cs="Times New Roman"/>
                <w:lang w:val="lv-LV"/>
              </w:rPr>
              <w:t>OECD 2014</w:t>
            </w:r>
          </w:p>
        </w:tc>
      </w:tr>
      <w:tr w:rsidR="00B85C59" w:rsidRPr="0019406C" w:rsidTr="00B85C5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47" w:type="pct"/>
            <w:vAlign w:val="center"/>
          </w:tcPr>
          <w:p w:rsidR="00B85C59" w:rsidRPr="0019406C" w:rsidRDefault="00B85C59" w:rsidP="00B85C59">
            <w:pPr>
              <w:rPr>
                <w:rFonts w:asciiTheme="majorHAnsi" w:eastAsia="Cambria" w:hAnsiTheme="majorHAnsi" w:cs="Times New Roman"/>
                <w:b w:val="0"/>
                <w:lang w:val="lv-LV"/>
              </w:rPr>
            </w:pPr>
            <w:r w:rsidRPr="0019406C">
              <w:rPr>
                <w:rFonts w:asciiTheme="majorHAnsi" w:eastAsia="Cambria" w:hAnsiTheme="majorHAnsi" w:cs="Times New Roman"/>
                <w:b w:val="0"/>
                <w:lang w:val="lv-LV"/>
              </w:rPr>
              <w:t>Ilgums, dienas</w:t>
            </w:r>
          </w:p>
        </w:tc>
        <w:tc>
          <w:tcPr>
            <w:cnfStyle w:val="000010000000" w:firstRow="0" w:lastRow="0" w:firstColumn="0" w:lastColumn="0" w:oddVBand="1" w:evenVBand="0" w:oddHBand="0" w:evenHBand="0" w:firstRowFirstColumn="0" w:firstRowLastColumn="0" w:lastRowFirstColumn="0" w:lastRowLastColumn="0"/>
            <w:tcW w:w="573" w:type="pct"/>
            <w:vAlign w:val="center"/>
          </w:tcPr>
          <w:p w:rsidR="00B85C59" w:rsidRPr="0019406C" w:rsidRDefault="00410806" w:rsidP="00B85C59">
            <w:pPr>
              <w:jc w:val="center"/>
              <w:rPr>
                <w:rFonts w:asciiTheme="majorHAnsi" w:eastAsia="Cambria" w:hAnsiTheme="majorHAnsi" w:cs="Times New Roman"/>
                <w:lang w:val="lv-LV"/>
              </w:rPr>
            </w:pPr>
            <w:r w:rsidRPr="0019406C">
              <w:rPr>
                <w:rFonts w:asciiTheme="majorHAnsi" w:eastAsia="Cambria" w:hAnsiTheme="majorHAnsi" w:cs="Times New Roman"/>
                <w:lang w:val="lv-LV"/>
              </w:rPr>
              <w:t>18</w:t>
            </w:r>
          </w:p>
        </w:tc>
        <w:tc>
          <w:tcPr>
            <w:tcW w:w="573" w:type="pct"/>
            <w:vAlign w:val="center"/>
          </w:tcPr>
          <w:p w:rsidR="00B85C59" w:rsidRPr="0019406C" w:rsidRDefault="00410806" w:rsidP="00410806">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18</w:t>
            </w:r>
          </w:p>
        </w:tc>
        <w:tc>
          <w:tcPr>
            <w:cnfStyle w:val="000010000000" w:firstRow="0" w:lastRow="0" w:firstColumn="0" w:lastColumn="0" w:oddVBand="1" w:evenVBand="0" w:oddHBand="0" w:evenHBand="0" w:firstRowFirstColumn="0" w:firstRowLastColumn="0" w:lastRowFirstColumn="0" w:lastRowLastColumn="0"/>
            <w:tcW w:w="576" w:type="pct"/>
          </w:tcPr>
          <w:p w:rsidR="00B85C59" w:rsidRPr="0019406C" w:rsidRDefault="00B85C59" w:rsidP="00B85C59">
            <w:pPr>
              <w:jc w:val="center"/>
              <w:rPr>
                <w:rFonts w:asciiTheme="majorHAnsi" w:eastAsia="Cambria" w:hAnsiTheme="majorHAnsi" w:cs="Times New Roman"/>
                <w:lang w:val="lv-LV"/>
              </w:rPr>
            </w:pPr>
            <w:r w:rsidRPr="0019406C">
              <w:rPr>
                <w:rFonts w:asciiTheme="majorHAnsi" w:eastAsia="Cambria" w:hAnsiTheme="majorHAnsi" w:cs="Times New Roman"/>
                <w:lang w:val="lv-LV"/>
              </w:rPr>
              <w:t>4</w:t>
            </w:r>
          </w:p>
        </w:tc>
        <w:tc>
          <w:tcPr>
            <w:tcW w:w="603" w:type="pct"/>
          </w:tcPr>
          <w:p w:rsidR="00B85C59" w:rsidRPr="0019406C" w:rsidRDefault="00410806" w:rsidP="00B85C59">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17,</w:t>
            </w:r>
            <w:r w:rsidR="00B85C59" w:rsidRPr="0019406C">
              <w:rPr>
                <w:rFonts w:asciiTheme="majorHAnsi" w:eastAsia="Cambria" w:hAnsiTheme="majorHAnsi" w:cs="Times New Roman"/>
                <w:lang w:val="lv-LV"/>
              </w:rPr>
              <w:t>5</w:t>
            </w:r>
          </w:p>
        </w:tc>
        <w:tc>
          <w:tcPr>
            <w:cnfStyle w:val="000010000000" w:firstRow="0" w:lastRow="0" w:firstColumn="0" w:lastColumn="0" w:oddVBand="1" w:evenVBand="0" w:oddHBand="0" w:evenHBand="0" w:firstRowFirstColumn="0" w:firstRowLastColumn="0" w:lastRowFirstColumn="0" w:lastRowLastColumn="0"/>
            <w:tcW w:w="576" w:type="pct"/>
          </w:tcPr>
          <w:p w:rsidR="00B85C59" w:rsidRPr="0019406C" w:rsidRDefault="00B85C59" w:rsidP="00B85C59">
            <w:pPr>
              <w:jc w:val="center"/>
              <w:rPr>
                <w:rFonts w:asciiTheme="majorHAnsi" w:eastAsia="Cambria" w:hAnsiTheme="majorHAnsi" w:cs="Times New Roman"/>
                <w:lang w:val="lv-LV"/>
              </w:rPr>
            </w:pPr>
            <w:r w:rsidRPr="0019406C">
              <w:rPr>
                <w:rFonts w:asciiTheme="majorHAnsi" w:eastAsia="Cambria" w:hAnsiTheme="majorHAnsi" w:cs="Times New Roman"/>
                <w:lang w:val="lv-LV"/>
              </w:rPr>
              <w:t>14</w:t>
            </w:r>
          </w:p>
        </w:tc>
        <w:tc>
          <w:tcPr>
            <w:tcW w:w="577" w:type="pct"/>
          </w:tcPr>
          <w:p w:rsidR="00B85C59" w:rsidRPr="0019406C" w:rsidRDefault="00410806" w:rsidP="00B85C59">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2,</w:t>
            </w:r>
            <w:r w:rsidR="00B85C59" w:rsidRPr="0019406C">
              <w:rPr>
                <w:rFonts w:asciiTheme="majorHAnsi" w:eastAsia="Cambria" w:hAnsiTheme="majorHAnsi" w:cs="Times New Roman"/>
                <w:lang w:val="lv-LV"/>
              </w:rPr>
              <w:t>5</w:t>
            </w:r>
          </w:p>
        </w:tc>
        <w:tc>
          <w:tcPr>
            <w:cnfStyle w:val="000010000000" w:firstRow="0" w:lastRow="0" w:firstColumn="0" w:lastColumn="0" w:oddVBand="1" w:evenVBand="0" w:oddHBand="0" w:evenHBand="0" w:firstRowFirstColumn="0" w:firstRowLastColumn="0" w:lastRowFirstColumn="0" w:lastRowLastColumn="0"/>
            <w:tcW w:w="575" w:type="pct"/>
          </w:tcPr>
          <w:p w:rsidR="00B85C59" w:rsidRPr="0019406C" w:rsidRDefault="00410806" w:rsidP="00B85C59">
            <w:pPr>
              <w:jc w:val="center"/>
              <w:rPr>
                <w:rFonts w:asciiTheme="majorHAnsi" w:eastAsia="Cambria" w:hAnsiTheme="majorHAnsi" w:cs="Times New Roman"/>
                <w:highlight w:val="yellow"/>
                <w:lang w:val="lv-LV"/>
              </w:rPr>
            </w:pPr>
            <w:r w:rsidRPr="0019406C">
              <w:rPr>
                <w:rFonts w:asciiTheme="majorHAnsi" w:eastAsia="Cambria" w:hAnsiTheme="majorHAnsi" w:cs="Times New Roman"/>
                <w:lang w:val="lv-LV"/>
              </w:rPr>
              <w:t>24,</w:t>
            </w:r>
            <w:r w:rsidR="00B85C59" w:rsidRPr="0019406C">
              <w:rPr>
                <w:rFonts w:asciiTheme="majorHAnsi" w:eastAsia="Cambria" w:hAnsiTheme="majorHAnsi" w:cs="Times New Roman"/>
                <w:lang w:val="lv-LV"/>
              </w:rPr>
              <w:t>1</w:t>
            </w:r>
          </w:p>
        </w:tc>
      </w:tr>
    </w:tbl>
    <w:p w:rsidR="00B85C59" w:rsidRPr="0019406C" w:rsidRDefault="00B85C59" w:rsidP="00B85C59">
      <w:pPr>
        <w:pStyle w:val="BodyText"/>
        <w:jc w:val="both"/>
        <w:rPr>
          <w:rFonts w:asciiTheme="majorHAnsi" w:hAnsiTheme="majorHAnsi"/>
          <w:b/>
          <w:lang w:val="lv-LV"/>
        </w:rPr>
      </w:pPr>
    </w:p>
    <w:p w:rsidR="00B85C59" w:rsidRPr="0019406C" w:rsidRDefault="00B85C59" w:rsidP="00B85C59">
      <w:pPr>
        <w:pStyle w:val="BodyText"/>
        <w:jc w:val="both"/>
        <w:rPr>
          <w:rFonts w:asciiTheme="majorHAnsi" w:hAnsiTheme="majorHAnsi"/>
          <w:b/>
          <w:sz w:val="22"/>
          <w:szCs w:val="22"/>
          <w:lang w:val="lv-LV"/>
        </w:rPr>
      </w:pPr>
      <w:r w:rsidRPr="0019406C">
        <w:rPr>
          <w:rFonts w:asciiTheme="majorHAnsi" w:hAnsiTheme="majorHAnsi"/>
          <w:b/>
          <w:sz w:val="22"/>
          <w:szCs w:val="22"/>
          <w:lang w:val="lv-LV"/>
        </w:rPr>
        <w:t>Iepriekšējos gados veiktās izmaiņas</w:t>
      </w:r>
    </w:p>
    <w:p w:rsidR="00B85C59" w:rsidRPr="0019406C" w:rsidRDefault="00B85C59" w:rsidP="006B022F">
      <w:pPr>
        <w:pStyle w:val="BodyText"/>
        <w:spacing w:line="276" w:lineRule="auto"/>
        <w:jc w:val="both"/>
        <w:rPr>
          <w:rFonts w:asciiTheme="majorHAnsi" w:hAnsiTheme="majorHAnsi"/>
          <w:lang w:val="lv-LV"/>
        </w:rPr>
      </w:pPr>
      <w:r w:rsidRPr="0019406C">
        <w:rPr>
          <w:rFonts w:asciiTheme="majorHAnsi" w:hAnsiTheme="majorHAnsi"/>
          <w:lang w:val="lv-LV"/>
        </w:rPr>
        <w:t>2009. gadā pieņemtās koncepcijas par nekustamā īpašuma tiesību nostiprināšanas procedūru vienkāršošanas procedūr</w:t>
      </w:r>
      <w:r w:rsidR="0072729F">
        <w:rPr>
          <w:rFonts w:asciiTheme="majorHAnsi" w:hAnsiTheme="majorHAnsi"/>
          <w:lang w:val="lv-LV"/>
        </w:rPr>
        <w:t xml:space="preserve">u (MK rīkojums </w:t>
      </w:r>
      <w:proofErr w:type="spellStart"/>
      <w:r w:rsidR="0072729F">
        <w:rPr>
          <w:rFonts w:asciiTheme="majorHAnsi" w:hAnsiTheme="majorHAnsi"/>
          <w:lang w:val="lv-LV"/>
        </w:rPr>
        <w:t>N</w:t>
      </w:r>
      <w:r w:rsidRPr="0019406C">
        <w:rPr>
          <w:rFonts w:asciiTheme="majorHAnsi" w:hAnsiTheme="majorHAnsi"/>
          <w:lang w:val="lv-LV"/>
        </w:rPr>
        <w:t>r</w:t>
      </w:r>
      <w:proofErr w:type="spellEnd"/>
      <w:r w:rsidRPr="0019406C">
        <w:rPr>
          <w:rFonts w:asciiTheme="majorHAnsi" w:hAnsiTheme="majorHAnsi"/>
          <w:lang w:val="lv-LV"/>
        </w:rPr>
        <w:t>.</w:t>
      </w:r>
      <w:r w:rsidR="00822892" w:rsidRPr="0019406C">
        <w:rPr>
          <w:rFonts w:asciiTheme="majorHAnsi" w:hAnsiTheme="majorHAnsi"/>
          <w:lang w:val="lv-LV"/>
        </w:rPr>
        <w:t xml:space="preserve"> </w:t>
      </w:r>
      <w:r w:rsidRPr="0019406C">
        <w:rPr>
          <w:rFonts w:asciiTheme="majorHAnsi" w:hAnsiTheme="majorHAnsi"/>
          <w:lang w:val="lv-LV"/>
        </w:rPr>
        <w:t xml:space="preserve">98) rezultātā tika ieviestas vairākas izmaiņas pirmpirkumu tiesību procedūru jomā – piemēram, tās ierobežojot un attiecinot uz gadījumiem, kad pašvaldībai atsavinātais īpašums ir nepieciešams, bet tā neparedzēja termiņa maiņu pirmpirkuma tiesību gadījumos. 2010. gada 28. septembra MK noteikumi </w:t>
      </w:r>
      <w:proofErr w:type="spellStart"/>
      <w:r w:rsidRPr="0019406C">
        <w:rPr>
          <w:rFonts w:asciiTheme="majorHAnsi" w:hAnsiTheme="majorHAnsi"/>
          <w:lang w:val="lv-LV"/>
        </w:rPr>
        <w:t>Nr</w:t>
      </w:r>
      <w:proofErr w:type="spellEnd"/>
      <w:r w:rsidRPr="0019406C">
        <w:rPr>
          <w:rFonts w:asciiTheme="majorHAnsi" w:hAnsiTheme="majorHAnsi"/>
          <w:lang w:val="lv-LV"/>
        </w:rPr>
        <w:t>.</w:t>
      </w:r>
      <w:r w:rsidR="00822892" w:rsidRPr="0019406C">
        <w:rPr>
          <w:rFonts w:asciiTheme="majorHAnsi" w:hAnsiTheme="majorHAnsi"/>
          <w:lang w:val="lv-LV"/>
        </w:rPr>
        <w:t xml:space="preserve"> </w:t>
      </w:r>
      <w:r w:rsidRPr="0019406C">
        <w:rPr>
          <w:rFonts w:asciiTheme="majorHAnsi" w:hAnsiTheme="majorHAnsi"/>
          <w:lang w:val="lv-LV"/>
        </w:rPr>
        <w:t>919 „Noteikumi par vietējo pašvaldību pirmpirkuma tiesību izmantošanas kārtību un termiņiem” izdala divus lēmuma pieņemšanas gadījumus</w:t>
      </w:r>
      <w:r w:rsidR="00822892" w:rsidRPr="0019406C">
        <w:rPr>
          <w:rFonts w:asciiTheme="majorHAnsi" w:hAnsiTheme="majorHAnsi"/>
          <w:lang w:val="lv-LV"/>
        </w:rPr>
        <w:t xml:space="preserve"> –</w:t>
      </w:r>
      <w:r w:rsidRPr="0019406C">
        <w:rPr>
          <w:rFonts w:asciiTheme="majorHAnsi" w:hAnsiTheme="majorHAnsi"/>
          <w:lang w:val="lv-LV"/>
        </w:rPr>
        <w:t xml:space="preserve"> kad vietējai pašvaldībai atsavinātais nekustamais īpašums ir vajadzīgs, lai pildītu visas nepieciešamās funkcijas (20 dienas lēmuma pieņemšanai), un kad nav nepieciešams (5 darbdienas lēmuma pieņemšanai).</w:t>
      </w:r>
    </w:p>
    <w:p w:rsidR="00487884" w:rsidRPr="0019406C" w:rsidRDefault="00487884" w:rsidP="00444A73">
      <w:pPr>
        <w:pStyle w:val="BodyText"/>
        <w:spacing w:line="276" w:lineRule="auto"/>
        <w:rPr>
          <w:rFonts w:asciiTheme="majorHAnsi" w:hAnsiTheme="majorHAnsi"/>
          <w:b/>
          <w:sz w:val="22"/>
          <w:lang w:val="lv-LV"/>
        </w:rPr>
      </w:pPr>
      <w:r w:rsidRPr="0019406C">
        <w:rPr>
          <w:rFonts w:asciiTheme="majorHAnsi" w:hAnsiTheme="majorHAnsi"/>
          <w:b/>
          <w:sz w:val="22"/>
          <w:lang w:val="lv-LV"/>
        </w:rPr>
        <w:t>Citu valstu pieredze</w:t>
      </w:r>
    </w:p>
    <w:p w:rsidR="00487884" w:rsidRPr="0019406C" w:rsidRDefault="00487884" w:rsidP="00444A73">
      <w:pPr>
        <w:pStyle w:val="BodyText"/>
        <w:spacing w:line="276" w:lineRule="auto"/>
        <w:jc w:val="both"/>
        <w:rPr>
          <w:rFonts w:asciiTheme="majorHAnsi" w:hAnsiTheme="majorHAnsi"/>
          <w:lang w:val="lv-LV"/>
        </w:rPr>
      </w:pPr>
      <w:r w:rsidRPr="0019406C">
        <w:rPr>
          <w:rFonts w:asciiTheme="majorHAnsi" w:hAnsiTheme="majorHAnsi"/>
          <w:lang w:val="lv-LV"/>
        </w:rPr>
        <w:t>Analīzes ietvaros veicām intervijas ar citu ES dalībvalstu speciālistiem, kuri sniedza komentārus par savās valstīs pastāvošajiem procesiem un veiktajām reformām saistībā ar nekustamā īpašuma reģistrācijas procesu. Galvenais kritērijs šo valstu izvēlē bija to augstā pozīcija Doing Business pētījumā nekustamā īpašuma reģistrācijas jomā (</w:t>
      </w:r>
      <w:proofErr w:type="spellStart"/>
      <w:r w:rsidRPr="0019406C">
        <w:rPr>
          <w:rFonts w:asciiTheme="majorHAnsi" w:hAnsiTheme="majorHAnsi"/>
          <w:lang w:val="lv-LV"/>
        </w:rPr>
        <w:t>skat</w:t>
      </w:r>
      <w:proofErr w:type="spellEnd"/>
      <w:r w:rsidRPr="0019406C">
        <w:rPr>
          <w:rFonts w:asciiTheme="majorHAnsi" w:hAnsiTheme="majorHAnsi"/>
          <w:lang w:val="lv-LV"/>
        </w:rPr>
        <w:t>.</w:t>
      </w:r>
      <w:r w:rsidR="000C3914" w:rsidRPr="0019406C">
        <w:rPr>
          <w:rFonts w:asciiTheme="majorHAnsi" w:hAnsiTheme="majorHAnsi"/>
          <w:lang w:val="lv-LV"/>
        </w:rPr>
        <w:t xml:space="preserve"> </w:t>
      </w:r>
      <w:r w:rsidR="0072729F">
        <w:rPr>
          <w:rFonts w:asciiTheme="majorHAnsi" w:hAnsiTheme="majorHAnsi"/>
          <w:lang w:val="lv-LV"/>
        </w:rPr>
        <w:t xml:space="preserve">tabulu </w:t>
      </w:r>
      <w:proofErr w:type="spellStart"/>
      <w:r w:rsidR="0072729F">
        <w:rPr>
          <w:rFonts w:asciiTheme="majorHAnsi" w:hAnsiTheme="majorHAnsi"/>
          <w:lang w:val="lv-LV"/>
        </w:rPr>
        <w:t>N</w:t>
      </w:r>
      <w:r w:rsidR="000D54D0" w:rsidRPr="0019406C">
        <w:rPr>
          <w:rFonts w:asciiTheme="majorHAnsi" w:hAnsiTheme="majorHAnsi"/>
          <w:lang w:val="lv-LV"/>
        </w:rPr>
        <w:t>r</w:t>
      </w:r>
      <w:proofErr w:type="spellEnd"/>
      <w:r w:rsidR="000D54D0" w:rsidRPr="0019406C">
        <w:rPr>
          <w:rFonts w:asciiTheme="majorHAnsi" w:hAnsiTheme="majorHAnsi"/>
          <w:lang w:val="lv-LV"/>
        </w:rPr>
        <w:t>.</w:t>
      </w:r>
      <w:r w:rsidR="00822892" w:rsidRPr="0019406C">
        <w:rPr>
          <w:rFonts w:asciiTheme="majorHAnsi" w:hAnsiTheme="majorHAnsi"/>
          <w:lang w:val="lv-LV"/>
        </w:rPr>
        <w:t xml:space="preserve"> </w:t>
      </w:r>
      <w:r w:rsidR="000D54D0" w:rsidRPr="0019406C">
        <w:rPr>
          <w:rFonts w:asciiTheme="majorHAnsi" w:hAnsiTheme="majorHAnsi"/>
          <w:lang w:val="lv-LV"/>
        </w:rPr>
        <w:t>10</w:t>
      </w:r>
      <w:r w:rsidRPr="0019406C">
        <w:rPr>
          <w:rFonts w:asciiTheme="majorHAnsi" w:hAnsiTheme="majorHAnsi"/>
          <w:lang w:val="lv-LV"/>
        </w:rPr>
        <w:t>).</w:t>
      </w:r>
    </w:p>
    <w:p w:rsidR="00487884" w:rsidRPr="0019406C" w:rsidRDefault="00487884" w:rsidP="00444A73">
      <w:pPr>
        <w:pStyle w:val="BodyText"/>
        <w:spacing w:line="276" w:lineRule="auto"/>
        <w:jc w:val="both"/>
        <w:rPr>
          <w:rFonts w:asciiTheme="majorHAnsi" w:hAnsiTheme="majorHAnsi"/>
          <w:i/>
          <w:lang w:val="lv-LV"/>
        </w:rPr>
      </w:pPr>
      <w:r w:rsidRPr="0019406C">
        <w:rPr>
          <w:rFonts w:asciiTheme="majorHAnsi" w:hAnsiTheme="majorHAnsi"/>
          <w:b/>
          <w:i/>
          <w:u w:val="single"/>
          <w:lang w:val="lv-LV"/>
        </w:rPr>
        <w:t>Lietuva</w:t>
      </w:r>
      <w:r w:rsidRPr="0019406C">
        <w:rPr>
          <w:rFonts w:asciiTheme="majorHAnsi" w:hAnsiTheme="majorHAnsi"/>
          <w:lang w:val="lv-LV"/>
        </w:rPr>
        <w:t xml:space="preserve">. </w:t>
      </w:r>
      <w:r w:rsidRPr="0019406C">
        <w:rPr>
          <w:rFonts w:asciiTheme="majorHAnsi" w:hAnsiTheme="majorHAnsi"/>
          <w:i/>
          <w:lang w:val="lv-LV"/>
        </w:rPr>
        <w:t>Lietuvā nekustamā īpašuma reģistrāciju, kā arī izmaiņas reģistrā veic zvērināts notārs. Tādējādi, ja uzņēmējs vēlas veikt izmaiņas vai reģistrēt nekustamo īpašumu, viņam ir jāgriežas pie jebkura no zvērinātiem notāriem. Notāriem ir piekļuve IT sistēmai, kurā viņi var iesniegt un apstiprināt attiecīgos dokumentus. Pēc eksperta viedokļa, šāda sistēma no uzņēmēju viedokļa tiek uzskatīta par ātru un efektīvu.</w:t>
      </w:r>
    </w:p>
    <w:p w:rsidR="00487884" w:rsidRPr="0019406C" w:rsidRDefault="00487884" w:rsidP="00444A73">
      <w:pPr>
        <w:pStyle w:val="BodyText"/>
        <w:spacing w:line="276" w:lineRule="auto"/>
        <w:jc w:val="both"/>
        <w:rPr>
          <w:rFonts w:asciiTheme="majorHAnsi" w:hAnsiTheme="majorHAnsi"/>
          <w:i/>
          <w:lang w:val="lv-LV"/>
        </w:rPr>
      </w:pPr>
      <w:r w:rsidRPr="0019406C">
        <w:rPr>
          <w:rFonts w:asciiTheme="majorHAnsi" w:hAnsiTheme="majorHAnsi"/>
          <w:b/>
          <w:i/>
          <w:u w:val="single"/>
          <w:lang w:val="lv-LV"/>
        </w:rPr>
        <w:t>Dānija.</w:t>
      </w:r>
      <w:r w:rsidRPr="0019406C">
        <w:rPr>
          <w:rFonts w:asciiTheme="majorHAnsi" w:hAnsiTheme="majorHAnsi"/>
          <w:i/>
          <w:lang w:val="lv-LV"/>
        </w:rPr>
        <w:t xml:space="preserve"> Dānijā nekustamā īpašuma reģistrāciju var veikt jebkura fiziska persona internetā, izmantojot savu e-parakstu un fiziski neapmeklējot zvērinātu notāru vai atbildīgo institūciju.  </w:t>
      </w:r>
    </w:p>
    <w:p w:rsidR="00811CA0" w:rsidRPr="0019406C" w:rsidRDefault="00811CA0" w:rsidP="00487884">
      <w:pPr>
        <w:pStyle w:val="BodyText"/>
        <w:spacing w:line="276" w:lineRule="auto"/>
        <w:jc w:val="both"/>
        <w:rPr>
          <w:rFonts w:asciiTheme="majorHAnsi" w:hAnsiTheme="majorHAnsi"/>
          <w:i/>
          <w:lang w:val="lv-LV"/>
        </w:rPr>
      </w:pPr>
    </w:p>
    <w:p w:rsidR="00AD5781" w:rsidRPr="0019406C" w:rsidRDefault="00AD5781" w:rsidP="00487884">
      <w:pPr>
        <w:pStyle w:val="BodyText"/>
        <w:spacing w:line="276" w:lineRule="auto"/>
        <w:jc w:val="both"/>
        <w:rPr>
          <w:rFonts w:asciiTheme="majorHAnsi" w:hAnsiTheme="majorHAnsi"/>
          <w:b/>
          <w:sz w:val="22"/>
          <w:lang w:val="lv-LV"/>
        </w:rPr>
      </w:pPr>
      <w:r w:rsidRPr="0019406C">
        <w:rPr>
          <w:rFonts w:asciiTheme="majorHAnsi" w:hAnsiTheme="majorHAnsi"/>
          <w:b/>
          <w:sz w:val="22"/>
          <w:lang w:val="lv-LV"/>
        </w:rPr>
        <w:t>Secinājumi un priekšlikumi</w:t>
      </w:r>
    </w:p>
    <w:p w:rsidR="00487884" w:rsidRPr="0019406C" w:rsidRDefault="00C226BC" w:rsidP="00487884">
      <w:pPr>
        <w:pStyle w:val="BodyText"/>
        <w:spacing w:line="276" w:lineRule="auto"/>
        <w:jc w:val="both"/>
        <w:rPr>
          <w:rFonts w:asciiTheme="majorHAnsi" w:hAnsiTheme="majorHAnsi"/>
          <w:lang w:val="lv-LV"/>
        </w:rPr>
      </w:pPr>
      <w:r w:rsidRPr="0019406C">
        <w:rPr>
          <w:rFonts w:asciiTheme="majorHAnsi" w:hAnsiTheme="majorHAnsi"/>
          <w:lang w:val="lv-LV"/>
        </w:rPr>
        <w:t xml:space="preserve">Analizējot uzņēmēju aptaujas rezultātus, tika ņemts vērā tas, ka respondentu skaits daudzos jautājumus nebija pietiekams, lai rezultātus varētu vispārināt, tādēļ situācijas analīzei tika izmantoti gan DB pētījums, gan arī ekspertu intervijas. </w:t>
      </w:r>
      <w:r w:rsidR="00487884" w:rsidRPr="0019406C">
        <w:rPr>
          <w:rFonts w:asciiTheme="majorHAnsi" w:hAnsiTheme="majorHAnsi"/>
          <w:lang w:val="lv-LV"/>
        </w:rPr>
        <w:t>Kopumā ir iespējams secināt, ka</w:t>
      </w:r>
      <w:r w:rsidRPr="0019406C">
        <w:rPr>
          <w:rFonts w:asciiTheme="majorHAnsi" w:hAnsiTheme="majorHAnsi"/>
          <w:lang w:val="lv-LV"/>
        </w:rPr>
        <w:t>,</w:t>
      </w:r>
      <w:r w:rsidR="00487884" w:rsidRPr="0019406C">
        <w:rPr>
          <w:rFonts w:asciiTheme="majorHAnsi" w:hAnsiTheme="majorHAnsi"/>
          <w:lang w:val="lv-LV"/>
        </w:rPr>
        <w:t xml:space="preserve"> salīdzin</w:t>
      </w:r>
      <w:r w:rsidRPr="0019406C">
        <w:rPr>
          <w:rFonts w:asciiTheme="majorHAnsi" w:hAnsiTheme="majorHAnsi"/>
          <w:lang w:val="lv-LV"/>
        </w:rPr>
        <w:t xml:space="preserve">ot Latviju </w:t>
      </w:r>
      <w:r w:rsidR="00487884" w:rsidRPr="0019406C">
        <w:rPr>
          <w:rFonts w:asciiTheme="majorHAnsi" w:hAnsiTheme="majorHAnsi"/>
          <w:lang w:val="lv-LV"/>
        </w:rPr>
        <w:t xml:space="preserve">ar citām valstīm, nekustamā īpašuma reģistrācijas procesā ir vajadzīgas izmaiņas, </w:t>
      </w:r>
      <w:r w:rsidRPr="0019406C">
        <w:rPr>
          <w:rFonts w:asciiTheme="majorHAnsi" w:hAnsiTheme="majorHAnsi"/>
          <w:lang w:val="lv-LV"/>
        </w:rPr>
        <w:t xml:space="preserve">kas varētu arī nodrošināt </w:t>
      </w:r>
      <w:r w:rsidR="00487884" w:rsidRPr="0019406C">
        <w:rPr>
          <w:rFonts w:asciiTheme="majorHAnsi" w:hAnsiTheme="majorHAnsi"/>
          <w:lang w:val="lv-LV"/>
        </w:rPr>
        <w:t xml:space="preserve">augstāku vietu DB pētījumā. </w:t>
      </w:r>
    </w:p>
    <w:p w:rsidR="00487884" w:rsidRPr="0019406C" w:rsidRDefault="00487884" w:rsidP="00487884">
      <w:pPr>
        <w:pStyle w:val="BodyText"/>
        <w:spacing w:line="276" w:lineRule="auto"/>
        <w:jc w:val="both"/>
        <w:rPr>
          <w:rFonts w:asciiTheme="majorHAnsi" w:hAnsiTheme="majorHAnsi"/>
          <w:lang w:val="lv-LV"/>
        </w:rPr>
      </w:pPr>
      <w:r w:rsidRPr="0019406C">
        <w:rPr>
          <w:rFonts w:asciiTheme="majorHAnsi" w:hAnsiTheme="majorHAnsi"/>
          <w:lang w:val="lv-LV"/>
        </w:rPr>
        <w:lastRenderedPageBreak/>
        <w:t>Tas īpaši attiecas uz pašvaldību pirmpirkuma tiesībām, kur gadījumos, kad pašvaldībai nepieciešams nekustamais īpašums, lēmums jāpieņem 20 dienu laikā, bet, ja tas nav nepieciešams - 5 darbdienu laikā. Pamatojoties uz intervijās ie</w:t>
      </w:r>
      <w:r w:rsidR="00740524" w:rsidRPr="0019406C">
        <w:rPr>
          <w:rFonts w:asciiTheme="majorHAnsi" w:hAnsiTheme="majorHAnsi"/>
          <w:lang w:val="lv-LV"/>
        </w:rPr>
        <w:t>g</w:t>
      </w:r>
      <w:r w:rsidRPr="0019406C">
        <w:rPr>
          <w:rFonts w:asciiTheme="majorHAnsi" w:hAnsiTheme="majorHAnsi"/>
          <w:lang w:val="lv-LV"/>
        </w:rPr>
        <w:t>ūto informāciju pašvaldības pirmpirkuma tiesības izmanto reti, tāpēc būtu pārvērtējams un analizējams</w:t>
      </w:r>
      <w:r w:rsidR="00C40154" w:rsidRPr="0019406C">
        <w:rPr>
          <w:rFonts w:asciiTheme="majorHAnsi" w:hAnsiTheme="majorHAnsi"/>
          <w:lang w:val="lv-LV"/>
        </w:rPr>
        <w:t>, ilgais termiņš – 20 dienas, l</w:t>
      </w:r>
      <w:r w:rsidRPr="0019406C">
        <w:rPr>
          <w:rFonts w:asciiTheme="majorHAnsi" w:hAnsiTheme="majorHAnsi"/>
          <w:lang w:val="lv-LV"/>
        </w:rPr>
        <w:t>ai tādējādi izvairītos gan no pārāk ilgas procedūras,. Vienlaicīgi būtu pārvērtējams, vai nav iespējams diferencēt vienkāršākus un sarežģītākus gadījumus normatīvajos aktos, kas padarītu procedūru efektīvāku.</w:t>
      </w:r>
    </w:p>
    <w:p w:rsidR="00487884" w:rsidRPr="0019406C" w:rsidRDefault="00487884" w:rsidP="00487884">
      <w:pPr>
        <w:pStyle w:val="BodyText"/>
        <w:spacing w:line="276" w:lineRule="auto"/>
        <w:jc w:val="both"/>
        <w:rPr>
          <w:rFonts w:asciiTheme="majorHAnsi" w:hAnsiTheme="majorHAnsi"/>
          <w:lang w:val="lv-LV"/>
        </w:rPr>
      </w:pPr>
      <w:r w:rsidRPr="0019406C">
        <w:rPr>
          <w:rFonts w:asciiTheme="majorHAnsi" w:hAnsiTheme="majorHAnsi"/>
          <w:lang w:val="lv-LV"/>
        </w:rPr>
        <w:t xml:space="preserve">Lai arī iepriekšējos gados ir bijušas pozitīvas izmaiņas procesos, kas saistīti ar nekustamā īpašuma reģistrēšanu Zemesgrāmatā, tomēr uzņēmēji intervijās norāda, ka būtu pārvērtējams un analizējams LR Zemesgrāmatas likumā noteiktais termiņš nostiprinājuma lūgumu izskatīšanai (kas pašlaik ir līdz 10 dienām), jo praksē ir izšķirami gadījumi (piemēram, hipotēkas dzēšana, īpašumtiesību </w:t>
      </w:r>
      <w:r w:rsidR="0072729F" w:rsidRPr="0019406C">
        <w:rPr>
          <w:rFonts w:asciiTheme="majorHAnsi" w:hAnsiTheme="majorHAnsi"/>
          <w:lang w:val="lv-LV"/>
        </w:rPr>
        <w:t>pārreģistrēšana</w:t>
      </w:r>
      <w:r w:rsidRPr="0019406C">
        <w:rPr>
          <w:rFonts w:asciiTheme="majorHAnsi" w:hAnsiTheme="majorHAnsi"/>
          <w:lang w:val="lv-LV"/>
        </w:rPr>
        <w:t>), kuri pēc būtības ir vienkāršāki un būtu veicami īsākā termiņā. Vienlaicīgi sarežģītiem gadījumiem termiņš - 10 dienas būtu optimāls.</w:t>
      </w:r>
    </w:p>
    <w:p w:rsidR="00487884" w:rsidRPr="0019406C" w:rsidRDefault="00487884" w:rsidP="00D02E0E">
      <w:pPr>
        <w:pStyle w:val="BodyText"/>
        <w:spacing w:line="276" w:lineRule="auto"/>
        <w:jc w:val="both"/>
        <w:rPr>
          <w:rFonts w:asciiTheme="majorHAnsi" w:eastAsia="Times New Roman" w:hAnsiTheme="majorHAnsi" w:cs="Times New Roman"/>
          <w:bCs/>
          <w:color w:val="000000"/>
          <w:lang w:val="lv-LV" w:eastAsia="lv-LV"/>
        </w:rPr>
      </w:pPr>
      <w:r w:rsidRPr="0019406C">
        <w:rPr>
          <w:rFonts w:asciiTheme="majorHAnsi" w:hAnsiTheme="majorHAnsi"/>
          <w:lang w:val="lv-LV"/>
        </w:rPr>
        <w:t>No nekustamā īpašuma reģistrācijas procesa analīzes</w:t>
      </w:r>
      <w:r w:rsidR="007A79A8" w:rsidRPr="0019406C">
        <w:rPr>
          <w:rFonts w:asciiTheme="majorHAnsi" w:hAnsiTheme="majorHAnsi"/>
          <w:lang w:val="lv-LV"/>
        </w:rPr>
        <w:t xml:space="preserve"> (</w:t>
      </w:r>
      <w:proofErr w:type="spellStart"/>
      <w:r w:rsidR="007A79A8" w:rsidRPr="0019406C">
        <w:rPr>
          <w:rFonts w:asciiTheme="majorHAnsi" w:hAnsiTheme="majorHAnsi"/>
          <w:lang w:val="lv-LV"/>
        </w:rPr>
        <w:t>t.sk</w:t>
      </w:r>
      <w:proofErr w:type="spellEnd"/>
      <w:r w:rsidR="007A79A8" w:rsidRPr="0019406C">
        <w:rPr>
          <w:rFonts w:asciiTheme="majorHAnsi" w:hAnsiTheme="majorHAnsi"/>
          <w:lang w:val="lv-LV"/>
        </w:rPr>
        <w:t xml:space="preserve">., ņemot vērā </w:t>
      </w:r>
      <w:r w:rsidR="00B12D80" w:rsidRPr="0019406C">
        <w:rPr>
          <w:rFonts w:asciiTheme="majorHAnsi" w:hAnsiTheme="majorHAnsi"/>
          <w:lang w:val="lv-LV"/>
        </w:rPr>
        <w:t>papildu</w:t>
      </w:r>
      <w:r w:rsidR="007A79A8" w:rsidRPr="0019406C">
        <w:rPr>
          <w:rFonts w:asciiTheme="majorHAnsi" w:hAnsiTheme="majorHAnsi"/>
          <w:lang w:val="lv-LV"/>
        </w:rPr>
        <w:t xml:space="preserve"> </w:t>
      </w:r>
      <w:r w:rsidR="00B12D80" w:rsidRPr="0019406C">
        <w:rPr>
          <w:rFonts w:asciiTheme="majorHAnsi" w:hAnsiTheme="majorHAnsi"/>
          <w:lang w:val="lv-LV"/>
        </w:rPr>
        <w:t xml:space="preserve">intervijās ar nozares </w:t>
      </w:r>
      <w:r w:rsidR="007A79A8" w:rsidRPr="0019406C">
        <w:rPr>
          <w:rFonts w:asciiTheme="majorHAnsi" w:hAnsiTheme="majorHAnsi"/>
          <w:lang w:val="lv-LV"/>
        </w:rPr>
        <w:t>ekspert</w:t>
      </w:r>
      <w:r w:rsidR="00B12D80" w:rsidRPr="0019406C">
        <w:rPr>
          <w:rFonts w:asciiTheme="majorHAnsi" w:hAnsiTheme="majorHAnsi"/>
          <w:lang w:val="lv-LV"/>
        </w:rPr>
        <w:t>iem</w:t>
      </w:r>
      <w:r w:rsidR="007A79A8" w:rsidRPr="0019406C">
        <w:rPr>
          <w:rFonts w:asciiTheme="majorHAnsi" w:hAnsiTheme="majorHAnsi"/>
          <w:lang w:val="lv-LV"/>
        </w:rPr>
        <w:t xml:space="preserve"> sniegto viedokli) </w:t>
      </w:r>
      <w:r w:rsidRPr="0019406C">
        <w:rPr>
          <w:rFonts w:asciiTheme="majorHAnsi" w:hAnsiTheme="majorHAnsi"/>
          <w:lang w:val="lv-LV"/>
        </w:rPr>
        <w:t>izvirzām sekojoš</w:t>
      </w:r>
      <w:r w:rsidR="00FD0374" w:rsidRPr="0019406C">
        <w:rPr>
          <w:rFonts w:asciiTheme="majorHAnsi" w:hAnsiTheme="majorHAnsi"/>
          <w:lang w:val="lv-LV"/>
        </w:rPr>
        <w:t>us ieteikumus ekspertu diskusijām</w:t>
      </w:r>
      <w:r w:rsidRPr="0019406C">
        <w:rPr>
          <w:rFonts w:asciiTheme="majorHAnsi" w:hAnsiTheme="majorHAnsi"/>
          <w:lang w:val="lv-LV"/>
        </w:rPr>
        <w:t>:</w:t>
      </w:r>
    </w:p>
    <w:p w:rsidR="00487884" w:rsidRPr="0019406C" w:rsidRDefault="00487884" w:rsidP="00E521EE">
      <w:pPr>
        <w:pStyle w:val="BodyText"/>
        <w:numPr>
          <w:ilvl w:val="0"/>
          <w:numId w:val="79"/>
        </w:numPr>
        <w:spacing w:after="0" w:line="276" w:lineRule="auto"/>
        <w:jc w:val="both"/>
        <w:rPr>
          <w:rFonts w:asciiTheme="majorHAnsi" w:eastAsia="Times New Roman" w:hAnsiTheme="majorHAnsi" w:cs="Times New Roman"/>
          <w:bCs/>
          <w:color w:val="000000"/>
          <w:lang w:val="lv-LV" w:eastAsia="lv-LV"/>
        </w:rPr>
      </w:pPr>
      <w:r w:rsidRPr="0019406C">
        <w:rPr>
          <w:rFonts w:asciiTheme="majorHAnsi" w:eastAsia="Times New Roman" w:hAnsiTheme="majorHAnsi" w:cs="Times New Roman"/>
          <w:bCs/>
          <w:color w:val="000000"/>
          <w:lang w:val="lv-LV" w:eastAsia="lv-LV"/>
        </w:rPr>
        <w:t>Izskatīt iespēju samazināt termiņus, kas saistīti ar pašvaldību pirmpirkuma tiesībām</w:t>
      </w:r>
      <w:r w:rsidR="00FF1A23" w:rsidRPr="0019406C">
        <w:rPr>
          <w:rFonts w:asciiTheme="majorHAnsi" w:eastAsia="Times New Roman" w:hAnsiTheme="majorHAnsi" w:cs="Times New Roman"/>
          <w:bCs/>
          <w:color w:val="000000"/>
          <w:lang w:val="lv-LV" w:eastAsia="lv-LV"/>
        </w:rPr>
        <w:t>.</w:t>
      </w:r>
      <w:r w:rsidR="0084342C" w:rsidRPr="0019406C">
        <w:rPr>
          <w:rFonts w:asciiTheme="majorHAnsi" w:eastAsia="Times New Roman" w:hAnsiTheme="majorHAnsi" w:cs="Times New Roman"/>
          <w:bCs/>
          <w:color w:val="000000"/>
          <w:lang w:val="lv-LV" w:eastAsia="lv-LV"/>
        </w:rPr>
        <w:t xml:space="preserve"> </w:t>
      </w:r>
      <w:r w:rsidR="0084342C" w:rsidRPr="0019406C">
        <w:rPr>
          <w:rFonts w:asciiTheme="majorHAnsi" w:hAnsiTheme="majorHAnsi"/>
          <w:lang w:val="lv-LV"/>
        </w:rPr>
        <w:t>Detalizētu priekšlikumu skatīt 1. pielikuma 6.1. punktā</w:t>
      </w:r>
      <w:r w:rsidR="002228C2" w:rsidRPr="0019406C">
        <w:rPr>
          <w:rFonts w:asciiTheme="majorHAnsi" w:hAnsiTheme="majorHAnsi"/>
          <w:lang w:val="lv-LV"/>
        </w:rPr>
        <w:t>.</w:t>
      </w:r>
    </w:p>
    <w:p w:rsidR="00487884" w:rsidRPr="0019406C" w:rsidRDefault="00487884" w:rsidP="00E521EE">
      <w:pPr>
        <w:pStyle w:val="ListParagraph"/>
        <w:numPr>
          <w:ilvl w:val="0"/>
          <w:numId w:val="79"/>
        </w:numPr>
        <w:spacing w:after="240" w:line="276" w:lineRule="auto"/>
        <w:jc w:val="both"/>
        <w:rPr>
          <w:rFonts w:asciiTheme="majorHAnsi" w:hAnsiTheme="majorHAnsi"/>
          <w:sz w:val="20"/>
          <w:lang w:val="lv-LV"/>
        </w:rPr>
      </w:pPr>
      <w:r w:rsidRPr="0019406C">
        <w:rPr>
          <w:rFonts w:asciiTheme="majorHAnsi" w:hAnsiTheme="majorHAnsi"/>
          <w:bCs/>
          <w:color w:val="000000"/>
          <w:sz w:val="20"/>
          <w:lang w:val="lv-LV"/>
        </w:rPr>
        <w:t>Izskatīt iespēju diferencēt termiņus nostiprinājuma lūgumu izskatīšanai Zemesgrāmatā, izšķirot vienkāršus un s</w:t>
      </w:r>
      <w:r w:rsidR="0052752A" w:rsidRPr="0019406C">
        <w:rPr>
          <w:rFonts w:asciiTheme="majorHAnsi" w:hAnsiTheme="majorHAnsi"/>
          <w:bCs/>
          <w:color w:val="000000"/>
          <w:sz w:val="20"/>
          <w:lang w:val="lv-LV"/>
        </w:rPr>
        <w:t>arežģītus gadījumus</w:t>
      </w:r>
      <w:r w:rsidR="002228C2" w:rsidRPr="0019406C">
        <w:rPr>
          <w:rFonts w:asciiTheme="majorHAnsi" w:hAnsiTheme="majorHAnsi"/>
          <w:bCs/>
          <w:color w:val="000000"/>
          <w:sz w:val="20"/>
          <w:lang w:val="lv-LV"/>
        </w:rPr>
        <w:t>.</w:t>
      </w:r>
      <w:r w:rsidR="0019016B" w:rsidRPr="0019406C">
        <w:rPr>
          <w:rFonts w:asciiTheme="majorHAnsi" w:hAnsiTheme="majorHAnsi"/>
          <w:bCs/>
          <w:color w:val="000000"/>
          <w:sz w:val="20"/>
          <w:lang w:val="lv-LV"/>
        </w:rPr>
        <w:t xml:space="preserve"> LR Zemesgrāmatu likumā izvērtēt un atsevišķi izdalīt sarežģītos, kā arī vienkāršos gadījumus, kas saistīti ar nekustamā īpašuma nostiprinājuma lūgumu izskatīšanu Zemesgrāmatā. Vienkāršākiem gadījumiem samazināt termiņu nostiprinājuma lūgumu izskatīšanai.</w:t>
      </w:r>
      <w:r w:rsidR="0084342C" w:rsidRPr="0019406C">
        <w:rPr>
          <w:rFonts w:asciiTheme="majorHAnsi" w:hAnsiTheme="majorHAnsi"/>
          <w:bCs/>
          <w:color w:val="000000"/>
          <w:sz w:val="20"/>
          <w:lang w:val="lv-LV"/>
        </w:rPr>
        <w:t xml:space="preserve"> Detalizētu pr</w:t>
      </w:r>
      <w:r w:rsidR="00B12D80" w:rsidRPr="0019406C">
        <w:rPr>
          <w:rFonts w:asciiTheme="majorHAnsi" w:hAnsiTheme="majorHAnsi"/>
          <w:bCs/>
          <w:color w:val="000000"/>
          <w:sz w:val="20"/>
          <w:lang w:val="lv-LV"/>
        </w:rPr>
        <w:t>iekšlikumu skatīt 2</w:t>
      </w:r>
      <w:r w:rsidR="0084342C" w:rsidRPr="0019406C">
        <w:rPr>
          <w:rFonts w:asciiTheme="majorHAnsi" w:hAnsiTheme="majorHAnsi"/>
          <w:bCs/>
          <w:color w:val="000000"/>
          <w:sz w:val="20"/>
          <w:lang w:val="lv-LV"/>
        </w:rPr>
        <w:t xml:space="preserve">. pielikuma </w:t>
      </w:r>
      <w:r w:rsidR="00C1288D" w:rsidRPr="0019406C">
        <w:rPr>
          <w:rFonts w:asciiTheme="majorHAnsi" w:hAnsiTheme="majorHAnsi"/>
          <w:bCs/>
          <w:color w:val="000000"/>
          <w:sz w:val="20"/>
          <w:lang w:val="lv-LV"/>
        </w:rPr>
        <w:t>3</w:t>
      </w:r>
      <w:r w:rsidR="00B12D80" w:rsidRPr="0019406C">
        <w:rPr>
          <w:rFonts w:asciiTheme="majorHAnsi" w:hAnsiTheme="majorHAnsi"/>
          <w:bCs/>
          <w:color w:val="000000"/>
          <w:sz w:val="20"/>
          <w:lang w:val="lv-LV"/>
        </w:rPr>
        <w:t>.1.</w:t>
      </w:r>
      <w:r w:rsidR="0084342C" w:rsidRPr="0019406C">
        <w:rPr>
          <w:rFonts w:asciiTheme="majorHAnsi" w:hAnsiTheme="majorHAnsi"/>
          <w:bCs/>
          <w:color w:val="000000"/>
          <w:sz w:val="20"/>
          <w:lang w:val="lv-LV"/>
        </w:rPr>
        <w:t xml:space="preserve"> punktā</w:t>
      </w:r>
      <w:r w:rsidR="0052752A" w:rsidRPr="0019406C">
        <w:rPr>
          <w:rFonts w:asciiTheme="majorHAnsi" w:hAnsiTheme="majorHAnsi"/>
          <w:bCs/>
          <w:color w:val="000000"/>
          <w:sz w:val="20"/>
          <w:lang w:val="lv-LV"/>
        </w:rPr>
        <w:t>.</w:t>
      </w:r>
    </w:p>
    <w:p w:rsidR="00AD5781" w:rsidRPr="0019406C" w:rsidRDefault="00AD5781" w:rsidP="00487884">
      <w:pPr>
        <w:pStyle w:val="BodyText"/>
        <w:spacing w:line="276" w:lineRule="auto"/>
        <w:jc w:val="both"/>
        <w:rPr>
          <w:rFonts w:asciiTheme="majorHAnsi" w:hAnsiTheme="majorHAnsi"/>
          <w:b/>
          <w:sz w:val="22"/>
          <w:szCs w:val="22"/>
          <w:lang w:val="lv-LV"/>
        </w:rPr>
      </w:pPr>
      <w:r w:rsidRPr="0019406C">
        <w:rPr>
          <w:rFonts w:asciiTheme="majorHAnsi" w:hAnsiTheme="majorHAnsi"/>
          <w:b/>
          <w:sz w:val="22"/>
          <w:szCs w:val="22"/>
          <w:lang w:val="lv-LV"/>
        </w:rPr>
        <w:t>Ekspertu diskusija</w:t>
      </w:r>
    </w:p>
    <w:p w:rsidR="005F098C" w:rsidRPr="0019406C" w:rsidRDefault="00FD0374" w:rsidP="00487884">
      <w:pPr>
        <w:pStyle w:val="BodyText"/>
        <w:spacing w:line="276" w:lineRule="auto"/>
        <w:jc w:val="both"/>
        <w:rPr>
          <w:rFonts w:asciiTheme="majorHAnsi" w:hAnsiTheme="majorHAnsi"/>
          <w:szCs w:val="22"/>
          <w:lang w:val="lv-LV"/>
        </w:rPr>
      </w:pPr>
      <w:r w:rsidRPr="0019406C">
        <w:rPr>
          <w:rFonts w:asciiTheme="majorHAnsi" w:hAnsiTheme="majorHAnsi"/>
          <w:szCs w:val="22"/>
          <w:lang w:val="lv-LV"/>
        </w:rPr>
        <w:t>Ekspertu diskusij</w:t>
      </w:r>
      <w:r w:rsidR="00BF4216" w:rsidRPr="0019406C">
        <w:rPr>
          <w:rFonts w:asciiTheme="majorHAnsi" w:hAnsiTheme="majorHAnsi"/>
          <w:szCs w:val="22"/>
          <w:lang w:val="lv-LV"/>
        </w:rPr>
        <w:t>as</w:t>
      </w:r>
      <w:r w:rsidRPr="0019406C">
        <w:rPr>
          <w:rFonts w:asciiTheme="majorHAnsi" w:hAnsiTheme="majorHAnsi"/>
          <w:szCs w:val="22"/>
          <w:lang w:val="lv-LV"/>
        </w:rPr>
        <w:t xml:space="preserve"> </w:t>
      </w:r>
      <w:r w:rsidR="00BF4216" w:rsidRPr="0019406C">
        <w:rPr>
          <w:rFonts w:asciiTheme="majorHAnsi" w:hAnsiTheme="majorHAnsi"/>
          <w:szCs w:val="22"/>
          <w:lang w:val="lv-LV"/>
        </w:rPr>
        <w:t>laikā</w:t>
      </w:r>
      <w:r w:rsidRPr="0019406C">
        <w:rPr>
          <w:rFonts w:asciiTheme="majorHAnsi" w:hAnsiTheme="majorHAnsi"/>
          <w:szCs w:val="22"/>
          <w:lang w:val="lv-LV"/>
        </w:rPr>
        <w:t xml:space="preserve"> tika </w:t>
      </w:r>
      <w:r w:rsidR="0019016B" w:rsidRPr="0019406C">
        <w:rPr>
          <w:rFonts w:asciiTheme="majorHAnsi" w:hAnsiTheme="majorHAnsi"/>
          <w:szCs w:val="22"/>
          <w:lang w:val="lv-LV"/>
        </w:rPr>
        <w:t xml:space="preserve">pārrunāti kā aptaujas rezultāti, tā iepriekš izvirzītie priekšlikumi un nekustamā īpašuma reģistrācijas process kopskatā. </w:t>
      </w:r>
      <w:r w:rsidR="005F098C" w:rsidRPr="0019406C">
        <w:rPr>
          <w:rFonts w:asciiTheme="majorHAnsi" w:hAnsiTheme="majorHAnsi"/>
          <w:szCs w:val="22"/>
          <w:lang w:val="lv-LV"/>
        </w:rPr>
        <w:t>Diskusiju rezultātā tika secināts sekojošais:</w:t>
      </w:r>
    </w:p>
    <w:p w:rsidR="005F098C" w:rsidRPr="0019406C" w:rsidRDefault="007A79A8" w:rsidP="00E521EE">
      <w:pPr>
        <w:pStyle w:val="BodyText"/>
        <w:numPr>
          <w:ilvl w:val="0"/>
          <w:numId w:val="80"/>
        </w:numPr>
        <w:spacing w:line="276" w:lineRule="auto"/>
        <w:jc w:val="both"/>
        <w:rPr>
          <w:rFonts w:asciiTheme="majorHAnsi" w:hAnsiTheme="majorHAnsi"/>
          <w:szCs w:val="22"/>
          <w:lang w:val="lv-LV"/>
        </w:rPr>
      </w:pPr>
      <w:r w:rsidRPr="0019406C">
        <w:rPr>
          <w:rFonts w:asciiTheme="majorHAnsi" w:hAnsiTheme="majorHAnsi"/>
          <w:szCs w:val="22"/>
          <w:lang w:val="lv-LV"/>
        </w:rPr>
        <w:t>N</w:t>
      </w:r>
      <w:r w:rsidR="005F098C" w:rsidRPr="0019406C">
        <w:rPr>
          <w:rFonts w:asciiTheme="majorHAnsi" w:hAnsiTheme="majorHAnsi"/>
          <w:szCs w:val="22"/>
          <w:lang w:val="lv-LV"/>
        </w:rPr>
        <w:t>oteiktie termiņi nav primārais šķērslis proces</w:t>
      </w:r>
      <w:r w:rsidRPr="0019406C">
        <w:rPr>
          <w:rFonts w:asciiTheme="majorHAnsi" w:hAnsiTheme="majorHAnsi"/>
          <w:szCs w:val="22"/>
          <w:lang w:val="lv-LV"/>
        </w:rPr>
        <w:t>ā</w:t>
      </w:r>
      <w:r w:rsidR="005F098C" w:rsidRPr="0019406C">
        <w:rPr>
          <w:rFonts w:asciiTheme="majorHAnsi" w:hAnsiTheme="majorHAnsi"/>
          <w:szCs w:val="22"/>
          <w:lang w:val="lv-LV"/>
        </w:rPr>
        <w:t xml:space="preserve">, kas saistīts ar pašvaldības pirmpirkuma tiesību izskatīšanu. Eksperti piedāvāja pārformulēt pirmo ieteikumu par pašvaldību pirmpirkuma tiesību izskatīšanas termiņa samazinājumu, piedāvājot sekojošu risinājumu: pirmpirkuma tiesību objektu iekļaušanu teritoriju plānojumos. Tādējādi dodot iespēju interesentiem jau laicīgi redzēt uz kurām zemēm pašvaldība pretendē un varētu izmantot pirmpirkuma tiesības un uz kurām tās netiks izmantotas. Šāds risinājums dotu iespēju atsevišķos gadījumos izlaist procesu, kur pašvaldība izskata savu pirmpirkuma tiesību izmantošanu un tādējādi varētu </w:t>
      </w:r>
      <w:r w:rsidR="009B618B" w:rsidRPr="0019406C">
        <w:rPr>
          <w:rFonts w:asciiTheme="majorHAnsi" w:hAnsiTheme="majorHAnsi"/>
          <w:szCs w:val="22"/>
          <w:lang w:val="lv-LV"/>
        </w:rPr>
        <w:t xml:space="preserve">panākt procesa diferenciāciju un atsevišķos gadījumos to </w:t>
      </w:r>
      <w:r w:rsidR="005F098C" w:rsidRPr="0019406C">
        <w:rPr>
          <w:rFonts w:asciiTheme="majorHAnsi" w:hAnsiTheme="majorHAnsi"/>
          <w:szCs w:val="22"/>
          <w:lang w:val="lv-LV"/>
        </w:rPr>
        <w:t>paātrināt.</w:t>
      </w:r>
    </w:p>
    <w:p w:rsidR="00331FBA" w:rsidRPr="0019406C" w:rsidRDefault="007A79A8" w:rsidP="00E521EE">
      <w:pPr>
        <w:pStyle w:val="ListParagraph"/>
        <w:numPr>
          <w:ilvl w:val="0"/>
          <w:numId w:val="80"/>
        </w:numPr>
        <w:spacing w:line="276" w:lineRule="auto"/>
        <w:jc w:val="both"/>
        <w:rPr>
          <w:rFonts w:ascii="Georgia" w:eastAsiaTheme="minorHAnsi" w:hAnsi="Georgia" w:cstheme="minorBidi"/>
          <w:sz w:val="20"/>
          <w:szCs w:val="22"/>
          <w:lang w:val="lv-LV" w:eastAsia="en-US"/>
        </w:rPr>
      </w:pPr>
      <w:r w:rsidRPr="0019406C">
        <w:rPr>
          <w:rFonts w:ascii="Georgia" w:hAnsi="Georgia"/>
          <w:sz w:val="20"/>
          <w:lang w:val="lv-LV"/>
        </w:rPr>
        <w:t>O</w:t>
      </w:r>
      <w:r w:rsidR="0019016B" w:rsidRPr="0019406C">
        <w:rPr>
          <w:rFonts w:ascii="Georgia" w:hAnsi="Georgia"/>
          <w:sz w:val="20"/>
          <w:lang w:val="lv-LV"/>
        </w:rPr>
        <w:t xml:space="preserve">tro no izvirzītajiem priekšlikumiem </w:t>
      </w:r>
      <w:r w:rsidR="00B916FF" w:rsidRPr="0019406C">
        <w:rPr>
          <w:rFonts w:ascii="Georgia" w:hAnsi="Georgia"/>
          <w:sz w:val="20"/>
          <w:lang w:val="lv-LV"/>
        </w:rPr>
        <w:t>U</w:t>
      </w:r>
      <w:r w:rsidR="0019016B" w:rsidRPr="0019406C">
        <w:rPr>
          <w:rFonts w:ascii="Georgia" w:hAnsi="Georgia"/>
          <w:sz w:val="20"/>
          <w:lang w:val="lv-LV"/>
        </w:rPr>
        <w:t xml:space="preserve">zņēmējdarbības </w:t>
      </w:r>
      <w:r w:rsidR="00B916FF" w:rsidRPr="0019406C">
        <w:rPr>
          <w:rFonts w:ascii="Georgia" w:hAnsi="Georgia"/>
          <w:sz w:val="20"/>
          <w:lang w:val="lv-LV"/>
        </w:rPr>
        <w:t xml:space="preserve">vides uzlabošanas pasākumu </w:t>
      </w:r>
      <w:r w:rsidR="0019016B" w:rsidRPr="0019406C">
        <w:rPr>
          <w:rFonts w:ascii="Georgia" w:hAnsi="Georgia"/>
          <w:sz w:val="20"/>
          <w:lang w:val="lv-LV"/>
        </w:rPr>
        <w:t>plānā neiek</w:t>
      </w:r>
      <w:r w:rsidR="00331FBA" w:rsidRPr="0019406C">
        <w:rPr>
          <w:rFonts w:ascii="Georgia" w:hAnsi="Georgia"/>
          <w:sz w:val="20"/>
          <w:lang w:val="lv-LV"/>
        </w:rPr>
        <w:t>ļaut</w:t>
      </w:r>
      <w:r w:rsidR="0019016B" w:rsidRPr="0019406C">
        <w:rPr>
          <w:rFonts w:ascii="Georgia" w:hAnsi="Georgia"/>
          <w:sz w:val="20"/>
          <w:lang w:val="lv-LV"/>
        </w:rPr>
        <w:t xml:space="preserve"> </w:t>
      </w:r>
      <w:r w:rsidR="00331FBA" w:rsidRPr="0019406C">
        <w:rPr>
          <w:rFonts w:ascii="Georgia" w:hAnsi="Georgia"/>
          <w:sz w:val="20"/>
          <w:lang w:val="lv-LV"/>
        </w:rPr>
        <w:t>minot</w:t>
      </w:r>
      <w:r w:rsidR="00331FBA" w:rsidRPr="0019406C">
        <w:rPr>
          <w:rFonts w:ascii="Georgia" w:eastAsiaTheme="minorHAnsi" w:hAnsi="Georgia" w:cstheme="minorBidi"/>
          <w:sz w:val="20"/>
          <w:lang w:val="lv-LV" w:eastAsia="en-US"/>
        </w:rPr>
        <w:t>, ka nav pamata grozīt normatīvos aktus iespējamā dienu samazinājuma dēļ, jo šobrīd process notiek ātrāk kā tas ir noteikts atbilstoši spēkā</w:t>
      </w:r>
      <w:r w:rsidR="00331FBA" w:rsidRPr="0019406C">
        <w:rPr>
          <w:rFonts w:ascii="Georgia" w:eastAsiaTheme="minorHAnsi" w:hAnsi="Georgia" w:cstheme="minorBidi"/>
          <w:sz w:val="20"/>
          <w:szCs w:val="22"/>
          <w:lang w:val="lv-LV" w:eastAsia="en-US"/>
        </w:rPr>
        <w:t xml:space="preserve"> esošajiem normatīvajiem aktiem.</w:t>
      </w:r>
    </w:p>
    <w:p w:rsidR="00B85C59" w:rsidRPr="0019406C" w:rsidRDefault="00B85C59" w:rsidP="00D02E0E">
      <w:pPr>
        <w:pStyle w:val="BodyText"/>
        <w:spacing w:line="276" w:lineRule="auto"/>
        <w:jc w:val="both"/>
        <w:rPr>
          <w:rFonts w:asciiTheme="majorHAnsi" w:hAnsiTheme="majorHAnsi"/>
          <w:lang w:val="lv-LV"/>
        </w:rPr>
      </w:pPr>
    </w:p>
    <w:p w:rsidR="008302E0" w:rsidRPr="0019406C" w:rsidRDefault="0029580E" w:rsidP="004C51AE">
      <w:pPr>
        <w:pStyle w:val="Heading2"/>
        <w:numPr>
          <w:ilvl w:val="1"/>
          <w:numId w:val="11"/>
        </w:numPr>
        <w:rPr>
          <w:lang w:val="lv-LV"/>
        </w:rPr>
      </w:pPr>
      <w:bookmarkStart w:id="74" w:name="_Toc389226082"/>
      <w:r w:rsidRPr="0019406C">
        <w:rPr>
          <w:lang w:val="lv-LV"/>
        </w:rPr>
        <w:t>Nodokļu administrēšana</w:t>
      </w:r>
      <w:bookmarkEnd w:id="68"/>
      <w:bookmarkEnd w:id="74"/>
    </w:p>
    <w:p w:rsidR="002A2698" w:rsidRPr="0019406C" w:rsidRDefault="002A2698" w:rsidP="002A2698">
      <w:pPr>
        <w:pStyle w:val="BodyText"/>
        <w:rPr>
          <w:lang w:val="lv-LV"/>
        </w:rPr>
      </w:pPr>
    </w:p>
    <w:p w:rsidR="005A643D" w:rsidRPr="0019406C" w:rsidRDefault="005A643D" w:rsidP="005A643D">
      <w:pPr>
        <w:pStyle w:val="BodyText"/>
        <w:rPr>
          <w:rFonts w:asciiTheme="majorHAnsi" w:hAnsiTheme="majorHAnsi"/>
          <w:b/>
          <w:sz w:val="22"/>
          <w:lang w:val="lv-LV"/>
        </w:rPr>
      </w:pPr>
      <w:bookmarkStart w:id="75" w:name="_Toc381343946"/>
      <w:bookmarkStart w:id="76" w:name="_Toc381717282"/>
      <w:r w:rsidRPr="0019406C">
        <w:rPr>
          <w:rFonts w:asciiTheme="majorHAnsi" w:hAnsiTheme="majorHAnsi"/>
          <w:b/>
          <w:sz w:val="22"/>
          <w:lang w:val="lv-LV"/>
        </w:rPr>
        <w:t>Uzņēmēju aptauja</w:t>
      </w:r>
    </w:p>
    <w:p w:rsidR="005A643D" w:rsidRPr="0019406C" w:rsidRDefault="005A643D" w:rsidP="00E521EE">
      <w:pPr>
        <w:pStyle w:val="BodyText"/>
        <w:numPr>
          <w:ilvl w:val="0"/>
          <w:numId w:val="31"/>
        </w:numPr>
        <w:spacing w:line="276" w:lineRule="auto"/>
        <w:jc w:val="both"/>
        <w:rPr>
          <w:rFonts w:asciiTheme="majorHAnsi" w:hAnsiTheme="majorHAnsi"/>
          <w:lang w:val="lv-LV"/>
        </w:rPr>
      </w:pPr>
      <w:r w:rsidRPr="0019406C">
        <w:rPr>
          <w:rFonts w:asciiTheme="majorHAnsi" w:hAnsiTheme="majorHAnsi"/>
          <w:lang w:val="lv-LV"/>
        </w:rPr>
        <w:t>72,6% aptaujāto atzīst, ka ar nodokļu administrēšanu saistītās problēmas rada šķēršļus uzņēmuma darbībā salīdzinājumā ar 2011. gadu, kad šie aspekti šķita problemātiski 82% uzņēmumu;</w:t>
      </w:r>
    </w:p>
    <w:p w:rsidR="005A643D" w:rsidRPr="0019406C" w:rsidRDefault="005A643D" w:rsidP="00E521EE">
      <w:pPr>
        <w:pStyle w:val="BodyText"/>
        <w:numPr>
          <w:ilvl w:val="0"/>
          <w:numId w:val="31"/>
        </w:numPr>
        <w:spacing w:line="276" w:lineRule="auto"/>
        <w:jc w:val="both"/>
        <w:rPr>
          <w:rFonts w:asciiTheme="majorHAnsi" w:hAnsiTheme="majorHAnsi"/>
          <w:lang w:val="lv-LV"/>
        </w:rPr>
      </w:pPr>
      <w:r w:rsidRPr="0019406C">
        <w:rPr>
          <w:rFonts w:asciiTheme="majorHAnsi" w:hAnsiTheme="majorHAnsi"/>
          <w:lang w:val="lv-LV"/>
        </w:rPr>
        <w:lastRenderedPageBreak/>
        <w:t>55,9% atzīst, ka nodokļu likmes rada vislielākās problēmas nodokļu jomā</w:t>
      </w:r>
      <w:r w:rsidRPr="0019406C">
        <w:rPr>
          <w:rStyle w:val="FootnoteReference"/>
          <w:rFonts w:asciiTheme="majorHAnsi" w:hAnsiTheme="majorHAnsi"/>
          <w:lang w:val="lv-LV"/>
        </w:rPr>
        <w:footnoteReference w:id="1"/>
      </w:r>
      <w:r w:rsidRPr="0019406C">
        <w:rPr>
          <w:rFonts w:asciiTheme="majorHAnsi" w:hAnsiTheme="majorHAnsi"/>
          <w:lang w:val="lv-LV"/>
        </w:rPr>
        <w:t xml:space="preserve"> (66% 2011. gadā), norādot 2,8 punktu intensitāti 4 ballu skalā</w:t>
      </w:r>
      <w:r w:rsidR="00F06F70" w:rsidRPr="0019406C">
        <w:rPr>
          <w:rFonts w:asciiTheme="majorHAnsi" w:hAnsiTheme="majorHAnsi"/>
          <w:lang w:val="lv-LV"/>
        </w:rPr>
        <w:t xml:space="preserve"> </w:t>
      </w:r>
      <w:r w:rsidRPr="0019406C">
        <w:rPr>
          <w:rFonts w:asciiTheme="majorHAnsi" w:hAnsiTheme="majorHAnsi"/>
          <w:lang w:val="lv-LV"/>
        </w:rPr>
        <w:t>(lielākā problēmas intensitāte vērojama sekojošās uzņēmumu grupās – Kurzemes (3,1) un Latgales (3,0) uzņēmumu vidū, IU/ IK (2,9), kā arī jaundibināto (pēc 01.01.2012.) uzņēmumu grupā (2,9)), nodokļu likumu nestabilitāte un mainīgums – 53,4% (intensitāte - 2,7; lielākā problēmas intensitāte vērojama Kurzemes (3,1), Latgales (3,0) un Vidzemes (2,9), vidējo (50</w:t>
      </w:r>
      <w:r w:rsidR="00F06F70" w:rsidRPr="0019406C">
        <w:rPr>
          <w:rFonts w:asciiTheme="majorHAnsi" w:hAnsiTheme="majorHAnsi"/>
          <w:lang w:val="lv-LV"/>
        </w:rPr>
        <w:t xml:space="preserve"> – </w:t>
      </w:r>
      <w:r w:rsidRPr="0019406C">
        <w:rPr>
          <w:rFonts w:asciiTheme="majorHAnsi" w:hAnsiTheme="majorHAnsi"/>
          <w:lang w:val="lv-LV"/>
        </w:rPr>
        <w:t>249 darbinieki) (3,2) un lielo (&gt;250 darbinieki) (2,8), kā arī būvniecības (2,8) uzņēmumu vidū) (66% 2011. gadā), pretrunas nodokļu likumos un noteikumos – 38,4% (intensitāte - 2,5; lielākā problēmas intensitāte vērojama vidējo (50</w:t>
      </w:r>
      <w:r w:rsidR="00F06F70" w:rsidRPr="0019406C">
        <w:rPr>
          <w:rFonts w:asciiTheme="majorHAnsi" w:hAnsiTheme="majorHAnsi"/>
          <w:lang w:val="lv-LV"/>
        </w:rPr>
        <w:t xml:space="preserve"> – </w:t>
      </w:r>
      <w:r w:rsidRPr="0019406C">
        <w:rPr>
          <w:rFonts w:asciiTheme="majorHAnsi" w:hAnsiTheme="majorHAnsi"/>
          <w:lang w:val="lv-LV"/>
        </w:rPr>
        <w:t>249 darbinieki) (2,8), kā arī jaundibināto (pēc 01.01.2012.) (2,6) uzņēmumu vidū) (41% 2011. gadā). Šīs trīs minētās problēmas saglabājušas savu augsto negatīvo ietekmi visu laiku kopš aptaujas sākšanas. Kā nākamā saistībā problēma minēta informācijas pieejamība par nodokļu likumiem un noteikumiem:</w:t>
      </w:r>
    </w:p>
    <w:p w:rsidR="005A643D" w:rsidRPr="0019406C" w:rsidRDefault="005A643D" w:rsidP="005A643D">
      <w:pPr>
        <w:pStyle w:val="BodyText"/>
        <w:spacing w:line="276" w:lineRule="auto"/>
        <w:ind w:left="360"/>
        <w:jc w:val="both"/>
        <w:rPr>
          <w:rFonts w:asciiTheme="majorHAnsi" w:hAnsiTheme="majorHAnsi"/>
          <w:lang w:val="lv-LV"/>
        </w:rPr>
      </w:pPr>
      <w:r w:rsidRPr="0019406C">
        <w:rPr>
          <w:noProof/>
          <w:lang w:eastAsia="en-GB"/>
        </w:rPr>
        <w:drawing>
          <wp:inline distT="0" distB="0" distL="0" distR="0" wp14:anchorId="155889DB" wp14:editId="00AD6397">
            <wp:extent cx="5486400" cy="2066307"/>
            <wp:effectExtent l="0" t="0" r="0" b="0"/>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5A643D" w:rsidRPr="0019406C" w:rsidRDefault="005A643D" w:rsidP="005A643D">
      <w:pPr>
        <w:pStyle w:val="Caption"/>
        <w:rPr>
          <w:rFonts w:asciiTheme="majorHAnsi" w:hAnsiTheme="majorHAnsi"/>
          <w:sz w:val="16"/>
          <w:lang w:val="lv-LV"/>
        </w:rPr>
      </w:pPr>
      <w:r w:rsidRPr="0019406C">
        <w:rPr>
          <w:rFonts w:asciiTheme="majorHAnsi" w:hAnsiTheme="majorHAnsi"/>
          <w:sz w:val="16"/>
          <w:lang w:val="lv-LV"/>
        </w:rPr>
        <w:t xml:space="preserve">Ilustrācija </w:t>
      </w:r>
      <w:r w:rsidRPr="0019406C">
        <w:rPr>
          <w:rFonts w:asciiTheme="majorHAnsi" w:hAnsiTheme="majorHAnsi"/>
          <w:sz w:val="16"/>
          <w:lang w:val="lv-LV"/>
        </w:rPr>
        <w:fldChar w:fldCharType="begin"/>
      </w:r>
      <w:r w:rsidRPr="0019406C">
        <w:rPr>
          <w:rFonts w:asciiTheme="majorHAnsi" w:hAnsiTheme="majorHAnsi"/>
          <w:sz w:val="16"/>
          <w:lang w:val="lv-LV"/>
        </w:rPr>
        <w:instrText xml:space="preserve"> SEQ Ilustrācija \* ARABIC </w:instrText>
      </w:r>
      <w:r w:rsidRPr="0019406C">
        <w:rPr>
          <w:rFonts w:asciiTheme="majorHAnsi" w:hAnsiTheme="majorHAnsi"/>
          <w:sz w:val="16"/>
          <w:lang w:val="lv-LV"/>
        </w:rPr>
        <w:fldChar w:fldCharType="separate"/>
      </w:r>
      <w:r w:rsidR="00410806" w:rsidRPr="0019406C">
        <w:rPr>
          <w:rFonts w:asciiTheme="majorHAnsi" w:hAnsiTheme="majorHAnsi"/>
          <w:noProof/>
          <w:sz w:val="16"/>
          <w:lang w:val="lv-LV"/>
        </w:rPr>
        <w:t>5</w:t>
      </w:r>
      <w:r w:rsidRPr="0019406C">
        <w:rPr>
          <w:rFonts w:asciiTheme="majorHAnsi" w:hAnsiTheme="majorHAnsi"/>
          <w:sz w:val="16"/>
          <w:lang w:val="lv-LV"/>
        </w:rPr>
        <w:fldChar w:fldCharType="end"/>
      </w:r>
      <w:r w:rsidRPr="0019406C">
        <w:rPr>
          <w:rFonts w:asciiTheme="majorHAnsi" w:hAnsiTheme="majorHAnsi"/>
          <w:sz w:val="16"/>
          <w:lang w:val="lv-LV"/>
        </w:rPr>
        <w:t xml:space="preserve"> Lielākās uzņēmēju minētās problēmas nodokļu jomā (n=734)</w:t>
      </w:r>
    </w:p>
    <w:p w:rsidR="005A643D" w:rsidRPr="0019406C" w:rsidRDefault="005A643D" w:rsidP="00E521EE">
      <w:pPr>
        <w:pStyle w:val="BodyText"/>
        <w:numPr>
          <w:ilvl w:val="0"/>
          <w:numId w:val="30"/>
        </w:numPr>
        <w:spacing w:line="276" w:lineRule="auto"/>
        <w:jc w:val="both"/>
        <w:rPr>
          <w:rFonts w:asciiTheme="majorHAnsi" w:hAnsiTheme="majorHAnsi"/>
          <w:lang w:val="lv-LV"/>
        </w:rPr>
      </w:pPr>
      <w:r w:rsidRPr="0019406C">
        <w:rPr>
          <w:rFonts w:asciiTheme="majorHAnsi" w:hAnsiTheme="majorHAnsi"/>
          <w:lang w:val="lv-LV"/>
        </w:rPr>
        <w:t>Pie saistītiem faktoriem var minēt, ka 24% aptaujāto atzīst, ka konkurence ar pelēko/ ēnu ekonomiku ir šķērslis to uzņēmējdarbībai;</w:t>
      </w:r>
    </w:p>
    <w:p w:rsidR="005A643D" w:rsidRPr="0019406C" w:rsidRDefault="005A643D" w:rsidP="00E521EE">
      <w:pPr>
        <w:pStyle w:val="BodyText"/>
        <w:numPr>
          <w:ilvl w:val="0"/>
          <w:numId w:val="30"/>
        </w:numPr>
        <w:spacing w:line="276" w:lineRule="auto"/>
        <w:jc w:val="both"/>
        <w:rPr>
          <w:rFonts w:asciiTheme="majorHAnsi" w:hAnsiTheme="majorHAnsi"/>
          <w:lang w:val="lv-LV"/>
        </w:rPr>
      </w:pPr>
      <w:r w:rsidRPr="0019406C">
        <w:rPr>
          <w:rFonts w:asciiTheme="majorHAnsi" w:hAnsiTheme="majorHAnsi"/>
          <w:lang w:val="lv-LV"/>
        </w:rPr>
        <w:t>Citas problēmas nodokļu jomā, kas būtiskas lielai daļai uzņēmumu (norādījuši vairāk kā 10% aptaujāto) un ir saistītas ar atskaitīšanos VID, ir pārbaudes, auditi, atskaitīšanās biežums VID, nodokļu grāmatvedība, nodokļu maksāšanas biežums, nodokļu deklarāciju aizpildīšana;</w:t>
      </w:r>
    </w:p>
    <w:p w:rsidR="005A643D" w:rsidRPr="0019406C" w:rsidRDefault="005A643D" w:rsidP="00E521EE">
      <w:pPr>
        <w:pStyle w:val="BodyText"/>
        <w:numPr>
          <w:ilvl w:val="0"/>
          <w:numId w:val="30"/>
        </w:numPr>
        <w:spacing w:line="276" w:lineRule="auto"/>
        <w:jc w:val="both"/>
        <w:rPr>
          <w:rFonts w:asciiTheme="majorHAnsi" w:hAnsiTheme="majorHAnsi"/>
          <w:lang w:val="lv-LV"/>
        </w:rPr>
      </w:pPr>
      <w:r w:rsidRPr="0019406C">
        <w:rPr>
          <w:rFonts w:asciiTheme="majorHAnsi" w:hAnsiTheme="majorHAnsi"/>
          <w:lang w:val="lv-LV"/>
        </w:rPr>
        <w:t>10,1% uzņēmumu saskaras ar statistikas datu iesniegšanas problēmu;</w:t>
      </w:r>
    </w:p>
    <w:p w:rsidR="005A643D" w:rsidRPr="0019406C" w:rsidRDefault="005A643D" w:rsidP="00E521EE">
      <w:pPr>
        <w:pStyle w:val="BodyText"/>
        <w:numPr>
          <w:ilvl w:val="0"/>
          <w:numId w:val="30"/>
        </w:numPr>
        <w:spacing w:line="276" w:lineRule="auto"/>
        <w:jc w:val="both"/>
        <w:rPr>
          <w:rFonts w:asciiTheme="majorHAnsi" w:hAnsiTheme="majorHAnsi"/>
          <w:lang w:val="lv-LV"/>
        </w:rPr>
      </w:pPr>
      <w:r w:rsidRPr="0019406C">
        <w:rPr>
          <w:rFonts w:asciiTheme="majorHAnsi" w:hAnsiTheme="majorHAnsi"/>
          <w:lang w:val="lv-LV"/>
        </w:rPr>
        <w:t>Soda naudu apjoms un piemērošanas konsekvence rada šķēršļus 8,7% un 6,3% uzņēmumu ar 2,7 un 3,0 lielu intensitāti (attiecīgi aptuveni 16% un 11% 2011. gadā);</w:t>
      </w:r>
    </w:p>
    <w:p w:rsidR="005A643D" w:rsidRPr="0019406C" w:rsidRDefault="005A643D" w:rsidP="00E521EE">
      <w:pPr>
        <w:pStyle w:val="BodyText"/>
        <w:numPr>
          <w:ilvl w:val="0"/>
          <w:numId w:val="30"/>
        </w:numPr>
        <w:spacing w:line="276" w:lineRule="auto"/>
        <w:jc w:val="both"/>
        <w:rPr>
          <w:rFonts w:asciiTheme="majorHAnsi" w:hAnsiTheme="majorHAnsi"/>
          <w:lang w:val="lv-LV"/>
        </w:rPr>
      </w:pPr>
      <w:r w:rsidRPr="0019406C">
        <w:rPr>
          <w:rFonts w:asciiTheme="majorHAnsi" w:hAnsiTheme="majorHAnsi"/>
          <w:lang w:val="lv-LV"/>
        </w:rPr>
        <w:t>Aptaujā tika iekļauts arī jautājums par to, vai uzņēmumu darbību atvieglotu standartizētas grāmatvedības programmas izmantošana, kas integrēta ar VID sistēmām. Lielākā daļa uzņēmumu jeb 54,6%</w:t>
      </w:r>
      <w:r w:rsidR="0072729F">
        <w:rPr>
          <w:rFonts w:asciiTheme="majorHAnsi" w:hAnsiTheme="majorHAnsi"/>
          <w:lang w:val="lv-LV"/>
        </w:rPr>
        <w:t xml:space="preserve"> atzīst, ka uzņēmuma darbību atv</w:t>
      </w:r>
      <w:r w:rsidRPr="0019406C">
        <w:rPr>
          <w:rFonts w:asciiTheme="majorHAnsi" w:hAnsiTheme="majorHAnsi"/>
          <w:lang w:val="lv-LV"/>
        </w:rPr>
        <w:t>ie</w:t>
      </w:r>
      <w:r w:rsidR="0072729F">
        <w:rPr>
          <w:rFonts w:asciiTheme="majorHAnsi" w:hAnsiTheme="majorHAnsi"/>
          <w:lang w:val="lv-LV"/>
        </w:rPr>
        <w:t>g</w:t>
      </w:r>
      <w:r w:rsidRPr="0019406C">
        <w:rPr>
          <w:rFonts w:asciiTheme="majorHAnsi" w:hAnsiTheme="majorHAnsi"/>
          <w:lang w:val="lv-LV"/>
        </w:rPr>
        <w:t xml:space="preserve">lotu iespēja izmantot standartizētu grāmatvedības programmu, kas ir integrēta ar VID sistēmām, līdz ar ko nebūtu nepieciešamība sagatavot pārskatus VID. </w:t>
      </w:r>
    </w:p>
    <w:p w:rsidR="005A643D" w:rsidRPr="0019406C" w:rsidRDefault="005A643D" w:rsidP="00E521EE">
      <w:pPr>
        <w:pStyle w:val="BodyText"/>
        <w:numPr>
          <w:ilvl w:val="0"/>
          <w:numId w:val="30"/>
        </w:numPr>
        <w:spacing w:line="276" w:lineRule="auto"/>
        <w:jc w:val="both"/>
        <w:rPr>
          <w:rFonts w:asciiTheme="majorHAnsi" w:hAnsiTheme="majorHAnsi"/>
          <w:lang w:val="lv-LV"/>
        </w:rPr>
      </w:pPr>
      <w:r w:rsidRPr="0019406C">
        <w:rPr>
          <w:rFonts w:asciiTheme="majorHAnsi" w:hAnsiTheme="majorHAnsi"/>
          <w:lang w:val="lv-LV"/>
        </w:rPr>
        <w:t>Attiecībā uz dažādu nodokļu (PV</w:t>
      </w:r>
      <w:r w:rsidR="00F06F70" w:rsidRPr="0019406C">
        <w:rPr>
          <w:rFonts w:asciiTheme="majorHAnsi" w:hAnsiTheme="majorHAnsi"/>
          <w:lang w:val="lv-LV"/>
        </w:rPr>
        <w:t>N</w:t>
      </w:r>
      <w:r w:rsidRPr="0019406C">
        <w:rPr>
          <w:rFonts w:asciiTheme="majorHAnsi" w:hAnsiTheme="majorHAnsi"/>
          <w:lang w:val="lv-LV"/>
        </w:rPr>
        <w:t xml:space="preserve">, UIN, IIN, DRN, VSAOI) deklarāciju aizpildīšanai patērēto laiku uzņēmēju aptaujas rezultāti norāda uz to, ka patērētais laiks kopumā ir samazinājies, visvairāk PVN deklarācijas aizpildīšanai – vidēji par 23 stundām, kas varētu būt daļēji skaidrojams arī ar to, ka ir palielinājies izmantoto grāmatvedības ārpakalpojumu apjoms. Pamatojoties uz iepriekš minēto, var </w:t>
      </w:r>
      <w:r w:rsidRPr="0019406C">
        <w:rPr>
          <w:rFonts w:asciiTheme="majorHAnsi" w:hAnsiTheme="majorHAnsi"/>
          <w:lang w:val="lv-LV"/>
        </w:rPr>
        <w:lastRenderedPageBreak/>
        <w:t>secināt, ka dažādu deklarāciju sagatavošana uzņēmējiem pašlaik rada mazāk problēmas nekā tas bija 2011.</w:t>
      </w:r>
      <w:r w:rsidR="007C4D87" w:rsidRPr="0019406C">
        <w:rPr>
          <w:rFonts w:asciiTheme="majorHAnsi" w:hAnsiTheme="majorHAnsi"/>
          <w:lang w:val="lv-LV"/>
        </w:rPr>
        <w:t xml:space="preserve"> </w:t>
      </w:r>
      <w:r w:rsidRPr="0019406C">
        <w:rPr>
          <w:rFonts w:asciiTheme="majorHAnsi" w:hAnsiTheme="majorHAnsi"/>
          <w:lang w:val="lv-LV"/>
        </w:rPr>
        <w:t>g</w:t>
      </w:r>
      <w:r w:rsidR="007C4D87" w:rsidRPr="0019406C">
        <w:rPr>
          <w:rFonts w:asciiTheme="majorHAnsi" w:hAnsiTheme="majorHAnsi"/>
          <w:lang w:val="lv-LV"/>
        </w:rPr>
        <w:t>adā</w:t>
      </w:r>
      <w:r w:rsidRPr="0019406C">
        <w:rPr>
          <w:rFonts w:asciiTheme="majorHAnsi" w:hAnsiTheme="majorHAnsi"/>
          <w:lang w:val="lv-LV"/>
        </w:rPr>
        <w:t xml:space="preserve">, </w:t>
      </w:r>
      <w:proofErr w:type="spellStart"/>
      <w:r w:rsidRPr="0019406C">
        <w:rPr>
          <w:rFonts w:asciiTheme="majorHAnsi" w:hAnsiTheme="majorHAnsi"/>
          <w:lang w:val="lv-LV"/>
        </w:rPr>
        <w:t>t.sk</w:t>
      </w:r>
      <w:proofErr w:type="spellEnd"/>
      <w:r w:rsidRPr="0019406C">
        <w:rPr>
          <w:rFonts w:asciiTheme="majorHAnsi" w:hAnsiTheme="majorHAnsi"/>
          <w:lang w:val="lv-LV"/>
        </w:rPr>
        <w:t>., visām deklarācijām, kas bija iekļautas 2011.</w:t>
      </w:r>
      <w:r w:rsidR="007C4D87" w:rsidRPr="0019406C">
        <w:rPr>
          <w:rFonts w:asciiTheme="majorHAnsi" w:hAnsiTheme="majorHAnsi"/>
          <w:lang w:val="lv-LV"/>
        </w:rPr>
        <w:t xml:space="preserve"> </w:t>
      </w:r>
      <w:r w:rsidRPr="0019406C">
        <w:rPr>
          <w:rFonts w:asciiTheme="majorHAnsi" w:hAnsiTheme="majorHAnsi"/>
          <w:lang w:val="lv-LV"/>
        </w:rPr>
        <w:t>gada pētījumā, ir mazāks vidējais laika patēriņš to sagatavošanai.</w:t>
      </w:r>
    </w:p>
    <w:p w:rsidR="005A643D" w:rsidRPr="0019406C" w:rsidRDefault="005A643D" w:rsidP="00E521EE">
      <w:pPr>
        <w:pStyle w:val="BodyText"/>
        <w:numPr>
          <w:ilvl w:val="0"/>
          <w:numId w:val="30"/>
        </w:numPr>
        <w:spacing w:line="276" w:lineRule="auto"/>
        <w:jc w:val="both"/>
        <w:rPr>
          <w:rFonts w:asciiTheme="majorHAnsi" w:hAnsiTheme="majorHAnsi"/>
          <w:lang w:val="lv-LV"/>
        </w:rPr>
      </w:pPr>
      <w:r w:rsidRPr="0019406C">
        <w:rPr>
          <w:rFonts w:asciiTheme="majorHAnsi" w:hAnsiTheme="majorHAnsi"/>
          <w:lang w:val="lv-LV"/>
        </w:rPr>
        <w:t xml:space="preserve">Apkopojot atbildes uz atvērto jautājumu ar uzņēmēju ierosinājumiem, tika iegūti līdzīgi secinājumi, pirmkārt, nodokļu nasta būtu jāsamazina un, otrkārt, nepieciešami skaidrojumi par izmaiņām </w:t>
      </w:r>
      <w:r w:rsidR="0014461E" w:rsidRPr="0019406C">
        <w:rPr>
          <w:rFonts w:asciiTheme="majorHAnsi" w:hAnsiTheme="majorHAnsi"/>
          <w:lang w:val="lv-LV"/>
        </w:rPr>
        <w:t>normatīvajos aktos</w:t>
      </w:r>
      <w:r w:rsidRPr="0019406C">
        <w:rPr>
          <w:rFonts w:asciiTheme="majorHAnsi" w:hAnsiTheme="majorHAnsi"/>
          <w:lang w:val="lv-LV"/>
        </w:rPr>
        <w:t>. Aptaujas atvērtajā jautājumi tika norādīts arī, ka CSP pieprasītā statistika ir pārāk liels slogs uzņēmējiem;</w:t>
      </w:r>
    </w:p>
    <w:p w:rsidR="005A643D" w:rsidRPr="0019406C" w:rsidRDefault="005A643D" w:rsidP="00E521EE">
      <w:pPr>
        <w:pStyle w:val="BodyText"/>
        <w:numPr>
          <w:ilvl w:val="0"/>
          <w:numId w:val="30"/>
        </w:numPr>
        <w:spacing w:line="276" w:lineRule="auto"/>
        <w:jc w:val="both"/>
        <w:rPr>
          <w:rFonts w:asciiTheme="majorHAnsi" w:hAnsiTheme="majorHAnsi"/>
          <w:lang w:val="lv-LV"/>
        </w:rPr>
      </w:pPr>
      <w:r w:rsidRPr="0019406C">
        <w:rPr>
          <w:rFonts w:asciiTheme="majorHAnsi" w:hAnsiTheme="majorHAnsi"/>
          <w:lang w:val="lv-LV"/>
        </w:rPr>
        <w:t>Salīdzinājumā ar 2011. gadu vidējās grāmatvedības ārpakalpojumu izmaksas mēnesī ir pieaugušas no EUR 157 (Ls</w:t>
      </w:r>
      <w:r w:rsidR="007F6244" w:rsidRPr="0019406C">
        <w:rPr>
          <w:rFonts w:asciiTheme="majorHAnsi" w:hAnsiTheme="majorHAnsi"/>
          <w:lang w:val="lv-LV"/>
        </w:rPr>
        <w:t xml:space="preserve"> </w:t>
      </w:r>
      <w:r w:rsidRPr="0019406C">
        <w:rPr>
          <w:rFonts w:asciiTheme="majorHAnsi" w:hAnsiTheme="majorHAnsi"/>
          <w:lang w:val="lv-LV"/>
        </w:rPr>
        <w:t>110) līdz EUR 240 (Ls</w:t>
      </w:r>
      <w:r w:rsidR="007F6244" w:rsidRPr="0019406C">
        <w:rPr>
          <w:rFonts w:asciiTheme="majorHAnsi" w:hAnsiTheme="majorHAnsi"/>
          <w:lang w:val="lv-LV"/>
        </w:rPr>
        <w:t xml:space="preserve"> </w:t>
      </w:r>
      <w:r w:rsidRPr="0019406C">
        <w:rPr>
          <w:rFonts w:asciiTheme="majorHAnsi" w:hAnsiTheme="majorHAnsi"/>
          <w:lang w:val="lv-LV"/>
        </w:rPr>
        <w:t>168).</w:t>
      </w:r>
    </w:p>
    <w:p w:rsidR="002A2698" w:rsidRPr="0019406C" w:rsidRDefault="002A2698" w:rsidP="002A2698">
      <w:pPr>
        <w:pStyle w:val="BodyText"/>
        <w:rPr>
          <w:rFonts w:asciiTheme="majorHAnsi" w:hAnsiTheme="majorHAnsi"/>
          <w:b/>
          <w:sz w:val="22"/>
          <w:lang w:val="lv-LV"/>
        </w:rPr>
      </w:pPr>
      <w:r w:rsidRPr="0019406C">
        <w:rPr>
          <w:rFonts w:asciiTheme="majorHAnsi" w:hAnsiTheme="majorHAnsi"/>
          <w:b/>
          <w:sz w:val="22"/>
          <w:lang w:val="lv-LV"/>
        </w:rPr>
        <w:t>Doing Business pētījums</w:t>
      </w:r>
    </w:p>
    <w:p w:rsidR="002A2698" w:rsidRPr="0019406C" w:rsidRDefault="002A2698" w:rsidP="002A2698">
      <w:pPr>
        <w:pStyle w:val="BodyText"/>
        <w:spacing w:line="276" w:lineRule="auto"/>
        <w:jc w:val="both"/>
        <w:rPr>
          <w:rFonts w:asciiTheme="majorHAnsi" w:hAnsiTheme="majorHAnsi"/>
          <w:lang w:val="lv-LV"/>
        </w:rPr>
      </w:pPr>
      <w:r w:rsidRPr="0019406C">
        <w:rPr>
          <w:rFonts w:asciiTheme="majorHAnsi" w:hAnsiTheme="majorHAnsi"/>
          <w:lang w:val="lv-LV"/>
        </w:rPr>
        <w:t>Nodokļu administrēšanas jomā Latvija ierindojas 49. vietā, un tās pozīcija, salīdzinot ar 2013. gadu, ir uzlabojusies par 3 pozīcijām.</w:t>
      </w:r>
    </w:p>
    <w:p w:rsidR="002A2698" w:rsidRPr="0019406C" w:rsidRDefault="002A2698" w:rsidP="002A2698">
      <w:pPr>
        <w:pStyle w:val="Caption"/>
        <w:keepNext/>
        <w:rPr>
          <w:rFonts w:asciiTheme="majorHAnsi" w:hAnsiTheme="majorHAnsi"/>
          <w:sz w:val="16"/>
          <w:lang w:val="lv-LV"/>
        </w:rPr>
      </w:pPr>
      <w:bookmarkStart w:id="77" w:name="_Toc381343977"/>
      <w:bookmarkStart w:id="78" w:name="_Toc381717286"/>
      <w:bookmarkStart w:id="79" w:name="_Toc389225086"/>
      <w:r w:rsidRPr="0019406C">
        <w:rPr>
          <w:rFonts w:asciiTheme="majorHAnsi" w:hAnsiTheme="majorHAnsi"/>
          <w:sz w:val="16"/>
          <w:lang w:val="lv-LV"/>
        </w:rPr>
        <w:t xml:space="preserve">Tabula </w:t>
      </w:r>
      <w:r w:rsidRPr="0019406C">
        <w:rPr>
          <w:rFonts w:asciiTheme="majorHAnsi" w:hAnsiTheme="majorHAnsi"/>
          <w:sz w:val="16"/>
          <w:lang w:val="lv-LV"/>
        </w:rPr>
        <w:fldChar w:fldCharType="begin"/>
      </w:r>
      <w:r w:rsidRPr="0019406C">
        <w:rPr>
          <w:rFonts w:asciiTheme="majorHAnsi" w:hAnsiTheme="majorHAnsi"/>
          <w:sz w:val="16"/>
          <w:lang w:val="lv-LV"/>
        </w:rPr>
        <w:instrText xml:space="preserve"> SEQ Tabula \* ARABIC </w:instrText>
      </w:r>
      <w:r w:rsidRPr="0019406C">
        <w:rPr>
          <w:rFonts w:asciiTheme="majorHAnsi" w:hAnsiTheme="majorHAnsi"/>
          <w:sz w:val="16"/>
          <w:lang w:val="lv-LV"/>
        </w:rPr>
        <w:fldChar w:fldCharType="separate"/>
      </w:r>
      <w:r w:rsidR="00410806" w:rsidRPr="0019406C">
        <w:rPr>
          <w:rFonts w:asciiTheme="majorHAnsi" w:hAnsiTheme="majorHAnsi"/>
          <w:noProof/>
          <w:sz w:val="16"/>
          <w:lang w:val="lv-LV"/>
        </w:rPr>
        <w:t>12</w:t>
      </w:r>
      <w:r w:rsidRPr="0019406C">
        <w:rPr>
          <w:rFonts w:asciiTheme="majorHAnsi" w:hAnsiTheme="majorHAnsi"/>
          <w:sz w:val="16"/>
          <w:lang w:val="lv-LV"/>
        </w:rPr>
        <w:fldChar w:fldCharType="end"/>
      </w:r>
      <w:r w:rsidRPr="0019406C">
        <w:rPr>
          <w:rFonts w:asciiTheme="majorHAnsi" w:hAnsiTheme="majorHAnsi"/>
          <w:sz w:val="16"/>
          <w:lang w:val="lv-LV"/>
        </w:rPr>
        <w:t xml:space="preserve"> "</w:t>
      </w:r>
      <w:proofErr w:type="spellStart"/>
      <w:r w:rsidRPr="0019406C">
        <w:rPr>
          <w:rFonts w:asciiTheme="majorHAnsi" w:hAnsiTheme="majorHAnsi"/>
          <w:sz w:val="16"/>
          <w:lang w:val="lv-LV"/>
        </w:rPr>
        <w:t>Paying</w:t>
      </w:r>
      <w:proofErr w:type="spellEnd"/>
      <w:r w:rsidRPr="0019406C">
        <w:rPr>
          <w:rFonts w:asciiTheme="majorHAnsi" w:hAnsiTheme="majorHAnsi"/>
          <w:sz w:val="16"/>
          <w:lang w:val="lv-LV"/>
        </w:rPr>
        <w:t xml:space="preserve"> </w:t>
      </w:r>
      <w:proofErr w:type="spellStart"/>
      <w:r w:rsidRPr="0019406C">
        <w:rPr>
          <w:rFonts w:asciiTheme="majorHAnsi" w:hAnsiTheme="majorHAnsi"/>
          <w:sz w:val="16"/>
          <w:lang w:val="lv-LV"/>
        </w:rPr>
        <w:t>Taxes</w:t>
      </w:r>
      <w:proofErr w:type="spellEnd"/>
      <w:r w:rsidRPr="0019406C">
        <w:rPr>
          <w:rFonts w:asciiTheme="majorHAnsi" w:hAnsiTheme="majorHAnsi"/>
          <w:sz w:val="16"/>
          <w:lang w:val="lv-LV"/>
        </w:rPr>
        <w:t>", nodokļu sloga indekss</w:t>
      </w:r>
      <w:bookmarkEnd w:id="77"/>
      <w:bookmarkEnd w:id="78"/>
      <w:bookmarkEnd w:id="79"/>
    </w:p>
    <w:tbl>
      <w:tblPr>
        <w:tblStyle w:val="LightList-Accent11"/>
        <w:tblW w:w="5000" w:type="pct"/>
        <w:tblLook w:val="00A0" w:firstRow="1" w:lastRow="0" w:firstColumn="1" w:lastColumn="0" w:noHBand="0" w:noVBand="0"/>
      </w:tblPr>
      <w:tblGrid>
        <w:gridCol w:w="1314"/>
        <w:gridCol w:w="1115"/>
        <w:gridCol w:w="1117"/>
        <w:gridCol w:w="1169"/>
        <w:gridCol w:w="5365"/>
      </w:tblGrid>
      <w:tr w:rsidR="002A2698" w:rsidRPr="0019406C" w:rsidTr="00AE0B1D">
        <w:trPr>
          <w:cnfStyle w:val="100000000000" w:firstRow="1" w:lastRow="0" w:firstColumn="0" w:lastColumn="0" w:oddVBand="0" w:evenVBand="0" w:oddHBand="0" w:evenHBand="0" w:firstRowFirstColumn="0" w:firstRowLastColumn="0" w:lastRowFirstColumn="0" w:lastRowLastColumn="0"/>
          <w:trHeight w:val="190"/>
        </w:trPr>
        <w:tc>
          <w:tcPr>
            <w:cnfStyle w:val="001000000000" w:firstRow="0" w:lastRow="0" w:firstColumn="1" w:lastColumn="0" w:oddVBand="0" w:evenVBand="0" w:oddHBand="0" w:evenHBand="0" w:firstRowFirstColumn="0" w:firstRowLastColumn="0" w:lastRowFirstColumn="0" w:lastRowLastColumn="0"/>
            <w:tcW w:w="652" w:type="pct"/>
            <w:vAlign w:val="center"/>
          </w:tcPr>
          <w:p w:rsidR="002A2698" w:rsidRPr="0019406C" w:rsidRDefault="002A2698" w:rsidP="00AE0B1D">
            <w:pPr>
              <w:rPr>
                <w:rFonts w:asciiTheme="majorHAnsi" w:eastAsia="Cambria" w:hAnsiTheme="majorHAnsi" w:cs="Times New Roman"/>
                <w:lang w:val="lv-LV"/>
              </w:rPr>
            </w:pPr>
            <w:r w:rsidRPr="0019406C">
              <w:rPr>
                <w:rFonts w:asciiTheme="majorHAnsi" w:eastAsia="Cambria" w:hAnsiTheme="majorHAnsi" w:cs="Times New Roman"/>
                <w:lang w:val="lv-LV"/>
              </w:rPr>
              <w:t>Valsts</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2013</w:t>
            </w:r>
          </w:p>
        </w:tc>
        <w:tc>
          <w:tcPr>
            <w:tcW w:w="554" w:type="pct"/>
            <w:vAlign w:val="center"/>
          </w:tcPr>
          <w:p w:rsidR="002A2698" w:rsidRPr="0019406C" w:rsidRDefault="002A2698" w:rsidP="00AE0B1D">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2014</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Izmaiņas</w:t>
            </w:r>
          </w:p>
        </w:tc>
        <w:tc>
          <w:tcPr>
            <w:tcW w:w="2661" w:type="pct"/>
          </w:tcPr>
          <w:p w:rsidR="002A2698" w:rsidRPr="0019406C" w:rsidRDefault="002A2698" w:rsidP="00AE0B1D">
            <w:pP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Veiktās reformas</w:t>
            </w:r>
          </w:p>
        </w:tc>
      </w:tr>
      <w:tr w:rsidR="002A2698" w:rsidRPr="0019406C" w:rsidTr="00AE0B1D">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2A2698" w:rsidRPr="0019406C" w:rsidRDefault="002A2698" w:rsidP="00AE0B1D">
            <w:pPr>
              <w:rPr>
                <w:rFonts w:asciiTheme="majorHAnsi" w:hAnsiTheme="majorHAnsi"/>
                <w:b w:val="0"/>
                <w:lang w:val="lv-LV"/>
              </w:rPr>
            </w:pPr>
            <w:r w:rsidRPr="0019406C">
              <w:rPr>
                <w:rFonts w:asciiTheme="majorHAnsi" w:hAnsiTheme="majorHAnsi"/>
                <w:b w:val="0"/>
                <w:lang w:val="lv-LV"/>
              </w:rPr>
              <w:t>Dānija</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13</w:t>
            </w:r>
          </w:p>
        </w:tc>
        <w:tc>
          <w:tcPr>
            <w:tcW w:w="554" w:type="pct"/>
            <w:vAlign w:val="center"/>
          </w:tcPr>
          <w:p w:rsidR="002A2698" w:rsidRPr="0019406C" w:rsidRDefault="002A2698" w:rsidP="00AE0B1D">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12</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2A2698" w:rsidRPr="0019406C" w:rsidRDefault="002A2698" w:rsidP="00AE0B1D">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w:t>
            </w:r>
          </w:p>
        </w:tc>
        <w:tc>
          <w:tcPr>
            <w:tcW w:w="2661" w:type="pct"/>
          </w:tcPr>
          <w:p w:rsidR="002A2698" w:rsidRPr="0019406C" w:rsidRDefault="002A2698" w:rsidP="00AE0B1D">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2A2698" w:rsidRPr="00BB0049" w:rsidTr="00AE0B1D">
        <w:trPr>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2A2698" w:rsidRPr="0019406C" w:rsidRDefault="002A2698" w:rsidP="00AE0B1D">
            <w:pPr>
              <w:rPr>
                <w:rFonts w:asciiTheme="majorHAnsi" w:hAnsiTheme="majorHAnsi"/>
                <w:b w:val="0"/>
                <w:lang w:val="lv-LV"/>
              </w:rPr>
            </w:pPr>
            <w:r w:rsidRPr="0019406C">
              <w:rPr>
                <w:rFonts w:asciiTheme="majorHAnsi" w:hAnsiTheme="majorHAnsi"/>
                <w:b w:val="0"/>
                <w:lang w:val="lv-LV"/>
              </w:rPr>
              <w:t>Lielbritānija</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17</w:t>
            </w:r>
          </w:p>
        </w:tc>
        <w:tc>
          <w:tcPr>
            <w:tcW w:w="554" w:type="pct"/>
            <w:vAlign w:val="center"/>
          </w:tcPr>
          <w:p w:rsidR="002A2698" w:rsidRPr="0019406C" w:rsidRDefault="002A2698" w:rsidP="00AE0B1D">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14</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2A2698" w:rsidRPr="0019406C" w:rsidRDefault="002A2698" w:rsidP="00AE0B1D">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3</w:t>
            </w:r>
          </w:p>
        </w:tc>
        <w:tc>
          <w:tcPr>
            <w:tcW w:w="2661" w:type="pct"/>
          </w:tcPr>
          <w:p w:rsidR="002A2698" w:rsidRPr="0019406C" w:rsidRDefault="002A2698" w:rsidP="00AE0B1D">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Samazināta uzņēmumu ienākumu nodokļa likme (2013)</w:t>
            </w:r>
          </w:p>
        </w:tc>
      </w:tr>
      <w:tr w:rsidR="002A2698" w:rsidRPr="0019406C" w:rsidTr="00AE0B1D">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2A2698" w:rsidRPr="0019406C" w:rsidRDefault="002A2698" w:rsidP="00AE0B1D">
            <w:pPr>
              <w:rPr>
                <w:rFonts w:asciiTheme="majorHAnsi" w:hAnsiTheme="majorHAnsi"/>
                <w:b w:val="0"/>
                <w:lang w:val="lv-LV"/>
              </w:rPr>
            </w:pPr>
            <w:r w:rsidRPr="0019406C">
              <w:rPr>
                <w:rFonts w:asciiTheme="majorHAnsi" w:hAnsiTheme="majorHAnsi"/>
                <w:b w:val="0"/>
                <w:lang w:val="lv-LV"/>
              </w:rPr>
              <w:t>Somija</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23</w:t>
            </w:r>
          </w:p>
        </w:tc>
        <w:tc>
          <w:tcPr>
            <w:tcW w:w="554" w:type="pct"/>
            <w:vAlign w:val="center"/>
          </w:tcPr>
          <w:p w:rsidR="002A2698" w:rsidRPr="0019406C" w:rsidRDefault="002A2698" w:rsidP="00AE0B1D">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21</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2A2698" w:rsidRPr="0019406C" w:rsidRDefault="002A2698" w:rsidP="00AE0B1D">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2</w:t>
            </w:r>
          </w:p>
        </w:tc>
        <w:tc>
          <w:tcPr>
            <w:tcW w:w="2661" w:type="pct"/>
          </w:tcPr>
          <w:p w:rsidR="002A2698" w:rsidRPr="0019406C" w:rsidRDefault="002A2698" w:rsidP="00AE0B1D">
            <w:pPr>
              <w:tabs>
                <w:tab w:val="left" w:pos="1110"/>
              </w:tabs>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2A2698" w:rsidRPr="0019406C" w:rsidTr="00AE0B1D">
        <w:trPr>
          <w:trHeight w:val="274"/>
        </w:trPr>
        <w:tc>
          <w:tcPr>
            <w:cnfStyle w:val="001000000000" w:firstRow="0" w:lastRow="0" w:firstColumn="1" w:lastColumn="0" w:oddVBand="0" w:evenVBand="0" w:oddHBand="0" w:evenHBand="0" w:firstRowFirstColumn="0" w:firstRowLastColumn="0" w:lastRowFirstColumn="0" w:lastRowLastColumn="0"/>
            <w:tcW w:w="652" w:type="pct"/>
            <w:vAlign w:val="center"/>
          </w:tcPr>
          <w:p w:rsidR="002A2698" w:rsidRPr="0019406C" w:rsidRDefault="002A2698" w:rsidP="00AE0B1D">
            <w:pPr>
              <w:rPr>
                <w:rFonts w:asciiTheme="majorHAnsi" w:eastAsia="Cambria" w:hAnsiTheme="majorHAnsi" w:cs="Times New Roman"/>
                <w:b w:val="0"/>
                <w:lang w:val="lv-LV"/>
              </w:rPr>
            </w:pPr>
            <w:r w:rsidRPr="0019406C">
              <w:rPr>
                <w:rFonts w:asciiTheme="majorHAnsi" w:hAnsiTheme="majorHAnsi"/>
                <w:b w:val="0"/>
                <w:lang w:val="lv-LV"/>
              </w:rPr>
              <w:t>Igaunija</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44</w:t>
            </w:r>
          </w:p>
        </w:tc>
        <w:tc>
          <w:tcPr>
            <w:tcW w:w="554" w:type="pct"/>
            <w:vAlign w:val="center"/>
          </w:tcPr>
          <w:p w:rsidR="002A2698" w:rsidRPr="0019406C" w:rsidRDefault="002A2698" w:rsidP="00AE0B1D">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32</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2A2698" w:rsidRPr="0019406C" w:rsidRDefault="002A2698" w:rsidP="00AE0B1D">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12</w:t>
            </w:r>
          </w:p>
        </w:tc>
        <w:tc>
          <w:tcPr>
            <w:tcW w:w="2661" w:type="pct"/>
          </w:tcPr>
          <w:p w:rsidR="002A2698" w:rsidRPr="0019406C" w:rsidRDefault="002A2698" w:rsidP="00AE0B1D">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2A2698" w:rsidRPr="00BB0049" w:rsidTr="00AE0B1D">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2A2698" w:rsidRPr="0019406C" w:rsidRDefault="002A2698" w:rsidP="00AE0B1D">
            <w:pPr>
              <w:rPr>
                <w:rFonts w:asciiTheme="majorHAnsi" w:hAnsiTheme="majorHAnsi"/>
                <w:b w:val="0"/>
                <w:lang w:val="lv-LV"/>
              </w:rPr>
            </w:pPr>
            <w:r w:rsidRPr="0019406C">
              <w:rPr>
                <w:rFonts w:asciiTheme="majorHAnsi" w:hAnsiTheme="majorHAnsi"/>
                <w:b w:val="0"/>
                <w:lang w:val="lv-LV"/>
              </w:rPr>
              <w:t>Zviedrija</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38</w:t>
            </w:r>
          </w:p>
        </w:tc>
        <w:tc>
          <w:tcPr>
            <w:tcW w:w="554" w:type="pct"/>
            <w:vAlign w:val="center"/>
          </w:tcPr>
          <w:p w:rsidR="002A2698" w:rsidRPr="0019406C" w:rsidRDefault="002A2698" w:rsidP="00AE0B1D">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41</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2A2698" w:rsidRPr="0019406C" w:rsidRDefault="002A2698" w:rsidP="00AE0B1D">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-3</w:t>
            </w:r>
          </w:p>
        </w:tc>
        <w:tc>
          <w:tcPr>
            <w:tcW w:w="2661" w:type="pct"/>
          </w:tcPr>
          <w:p w:rsidR="002A2698" w:rsidRPr="0019406C" w:rsidRDefault="002A2698" w:rsidP="00AE0B1D">
            <w:pPr>
              <w:tabs>
                <w:tab w:val="left" w:pos="1815"/>
              </w:tabs>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Samazināta uzņēmumu ienākuma nodokļu likme</w:t>
            </w:r>
          </w:p>
        </w:tc>
      </w:tr>
      <w:tr w:rsidR="002A2698" w:rsidRPr="0019406C" w:rsidTr="00AE0B1D">
        <w:trPr>
          <w:trHeight w:val="280"/>
        </w:trPr>
        <w:tc>
          <w:tcPr>
            <w:cnfStyle w:val="001000000000" w:firstRow="0" w:lastRow="0" w:firstColumn="1" w:lastColumn="0" w:oddVBand="0" w:evenVBand="0" w:oddHBand="0" w:evenHBand="0" w:firstRowFirstColumn="0" w:firstRowLastColumn="0" w:lastRowFirstColumn="0" w:lastRowLastColumn="0"/>
            <w:tcW w:w="652" w:type="pct"/>
            <w:shd w:val="clear" w:color="auto" w:fill="FFE199" w:themeFill="accent2" w:themeFillTint="66"/>
            <w:vAlign w:val="center"/>
          </w:tcPr>
          <w:p w:rsidR="002A2698" w:rsidRPr="0019406C" w:rsidRDefault="002A2698" w:rsidP="00AE0B1D">
            <w:pPr>
              <w:rPr>
                <w:rFonts w:asciiTheme="majorHAnsi" w:eastAsia="Cambria" w:hAnsiTheme="majorHAnsi" w:cs="Times New Roman"/>
                <w:b w:val="0"/>
                <w:lang w:val="lv-LV"/>
              </w:rPr>
            </w:pPr>
            <w:r w:rsidRPr="0019406C">
              <w:rPr>
                <w:rFonts w:asciiTheme="majorHAnsi" w:eastAsia="Cambria" w:hAnsiTheme="majorHAnsi" w:cs="Times New Roman"/>
                <w:b w:val="0"/>
                <w:lang w:val="lv-LV"/>
              </w:rPr>
              <w:t>Latvija</w:t>
            </w:r>
          </w:p>
        </w:tc>
        <w:tc>
          <w:tcPr>
            <w:cnfStyle w:val="000010000000" w:firstRow="0" w:lastRow="0" w:firstColumn="0" w:lastColumn="0" w:oddVBand="1" w:evenVBand="0" w:oddHBand="0" w:evenHBand="0" w:firstRowFirstColumn="0" w:firstRowLastColumn="0" w:lastRowFirstColumn="0" w:lastRowLastColumn="0"/>
            <w:tcW w:w="553" w:type="pct"/>
            <w:shd w:val="clear" w:color="auto" w:fill="FFE199" w:themeFill="accent2" w:themeFillTint="66"/>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52</w:t>
            </w:r>
          </w:p>
        </w:tc>
        <w:tc>
          <w:tcPr>
            <w:tcW w:w="554" w:type="pct"/>
            <w:shd w:val="clear" w:color="auto" w:fill="FFE199" w:themeFill="accent2" w:themeFillTint="66"/>
            <w:vAlign w:val="center"/>
          </w:tcPr>
          <w:p w:rsidR="002A2698" w:rsidRPr="0019406C" w:rsidRDefault="002A2698" w:rsidP="00AE0B1D">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49</w:t>
            </w:r>
          </w:p>
        </w:tc>
        <w:tc>
          <w:tcPr>
            <w:cnfStyle w:val="000010000000" w:firstRow="0" w:lastRow="0" w:firstColumn="0" w:lastColumn="0" w:oddVBand="1" w:evenVBand="0" w:oddHBand="0" w:evenHBand="0" w:firstRowFirstColumn="0" w:firstRowLastColumn="0" w:lastRowFirstColumn="0" w:lastRowLastColumn="0"/>
            <w:tcW w:w="580" w:type="pct"/>
            <w:shd w:val="clear" w:color="auto" w:fill="FFE199" w:themeFill="accent2" w:themeFillTint="66"/>
            <w:vAlign w:val="center"/>
          </w:tcPr>
          <w:p w:rsidR="002A2698" w:rsidRPr="0019406C" w:rsidRDefault="002A2698" w:rsidP="00AE0B1D">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3</w:t>
            </w:r>
          </w:p>
        </w:tc>
        <w:tc>
          <w:tcPr>
            <w:tcW w:w="2661" w:type="pct"/>
            <w:shd w:val="clear" w:color="auto" w:fill="FFE199" w:themeFill="accent2" w:themeFillTint="66"/>
          </w:tcPr>
          <w:p w:rsidR="002A2698" w:rsidRPr="0019406C" w:rsidRDefault="002A2698" w:rsidP="00AE0B1D">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2A2698" w:rsidRPr="0019406C" w:rsidTr="00AE0B1D">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52" w:type="pct"/>
            <w:vAlign w:val="center"/>
          </w:tcPr>
          <w:p w:rsidR="002A2698" w:rsidRPr="0019406C" w:rsidRDefault="002A2698" w:rsidP="00AE0B1D">
            <w:pPr>
              <w:rPr>
                <w:rFonts w:asciiTheme="majorHAnsi" w:eastAsia="Cambria" w:hAnsiTheme="majorHAnsi" w:cs="Times New Roman"/>
                <w:b w:val="0"/>
                <w:lang w:val="lv-LV"/>
              </w:rPr>
            </w:pPr>
            <w:r w:rsidRPr="0019406C">
              <w:rPr>
                <w:rFonts w:asciiTheme="majorHAnsi" w:hAnsiTheme="majorHAnsi"/>
                <w:b w:val="0"/>
                <w:lang w:val="lv-LV"/>
              </w:rPr>
              <w:t xml:space="preserve">Lietuva </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59</w:t>
            </w:r>
          </w:p>
        </w:tc>
        <w:tc>
          <w:tcPr>
            <w:tcW w:w="554" w:type="pct"/>
            <w:vAlign w:val="center"/>
          </w:tcPr>
          <w:p w:rsidR="002A2698" w:rsidRPr="0019406C" w:rsidRDefault="002A2698" w:rsidP="00AE0B1D">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56</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2A2698" w:rsidRPr="0019406C" w:rsidRDefault="002A2698" w:rsidP="00AE0B1D">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3</w:t>
            </w:r>
          </w:p>
        </w:tc>
        <w:tc>
          <w:tcPr>
            <w:tcW w:w="2661" w:type="pct"/>
          </w:tcPr>
          <w:p w:rsidR="002A2698" w:rsidRPr="0019406C" w:rsidRDefault="002A2698" w:rsidP="00AE0B1D">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2A2698" w:rsidRPr="00BB0049" w:rsidTr="00AE0B1D">
        <w:trPr>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2A2698" w:rsidRPr="0019406C" w:rsidRDefault="002A2698" w:rsidP="00AE0B1D">
            <w:pPr>
              <w:rPr>
                <w:rFonts w:asciiTheme="majorHAnsi" w:eastAsia="Cambria" w:hAnsiTheme="majorHAnsi" w:cs="Times New Roman"/>
                <w:b w:val="0"/>
                <w:lang w:val="lv-LV"/>
              </w:rPr>
            </w:pPr>
            <w:r w:rsidRPr="0019406C">
              <w:rPr>
                <w:rFonts w:asciiTheme="majorHAnsi" w:hAnsiTheme="majorHAnsi"/>
                <w:b w:val="0"/>
                <w:lang w:val="lv-LV"/>
              </w:rPr>
              <w:t>Polija</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104</w:t>
            </w:r>
          </w:p>
        </w:tc>
        <w:tc>
          <w:tcPr>
            <w:tcW w:w="554" w:type="pct"/>
            <w:vAlign w:val="center"/>
          </w:tcPr>
          <w:p w:rsidR="002A2698" w:rsidRPr="0019406C" w:rsidRDefault="002A2698" w:rsidP="00AE0B1D">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113</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2A2698" w:rsidRPr="0019406C" w:rsidRDefault="002A2698" w:rsidP="00AE0B1D">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-9</w:t>
            </w:r>
          </w:p>
        </w:tc>
        <w:tc>
          <w:tcPr>
            <w:tcW w:w="2661" w:type="pct"/>
          </w:tcPr>
          <w:p w:rsidR="002A2698" w:rsidRPr="0019406C" w:rsidRDefault="002A2698" w:rsidP="00AE0B1D">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Atvieglota nodokļu maksāšana uzņēmumiem caur elektronisko pieteikumu un maksāšanas sistēmu (2013)</w:t>
            </w:r>
          </w:p>
        </w:tc>
      </w:tr>
      <w:tr w:rsidR="002A2698" w:rsidRPr="0019406C" w:rsidTr="00AE0B1D">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2A2698" w:rsidRPr="0019406C" w:rsidRDefault="002A2698" w:rsidP="00AE0B1D">
            <w:pPr>
              <w:rPr>
                <w:rFonts w:asciiTheme="majorHAnsi" w:hAnsiTheme="majorHAnsi"/>
                <w:b w:val="0"/>
                <w:lang w:val="lv-LV"/>
              </w:rPr>
            </w:pPr>
            <w:r w:rsidRPr="0019406C">
              <w:rPr>
                <w:rFonts w:asciiTheme="majorHAnsi" w:hAnsiTheme="majorHAnsi"/>
                <w:b w:val="0"/>
                <w:lang w:val="lv-LV"/>
              </w:rPr>
              <w:t>Čehija</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119</w:t>
            </w:r>
          </w:p>
        </w:tc>
        <w:tc>
          <w:tcPr>
            <w:tcW w:w="554" w:type="pct"/>
            <w:vAlign w:val="center"/>
          </w:tcPr>
          <w:p w:rsidR="002A2698" w:rsidRPr="0019406C" w:rsidRDefault="002A2698" w:rsidP="00AE0B1D">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122</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2A2698" w:rsidRPr="0019406C" w:rsidRDefault="002A2698" w:rsidP="00AE0B1D">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-3</w:t>
            </w:r>
          </w:p>
        </w:tc>
        <w:tc>
          <w:tcPr>
            <w:tcW w:w="2661" w:type="pct"/>
          </w:tcPr>
          <w:p w:rsidR="002A2698" w:rsidRPr="0019406C" w:rsidRDefault="002A2698" w:rsidP="00AE0B1D">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Atvieglota nodokļu samaksa kompānijām (2013)</w:t>
            </w:r>
          </w:p>
        </w:tc>
      </w:tr>
    </w:tbl>
    <w:p w:rsidR="002A2698" w:rsidRPr="0019406C" w:rsidRDefault="002A2698" w:rsidP="002A2698">
      <w:pPr>
        <w:pStyle w:val="BodyText"/>
        <w:rPr>
          <w:rFonts w:asciiTheme="majorHAnsi" w:hAnsiTheme="majorHAnsi"/>
          <w:lang w:val="lv-LV"/>
        </w:rPr>
      </w:pPr>
    </w:p>
    <w:p w:rsidR="002A2698" w:rsidRPr="0019406C" w:rsidRDefault="002A2698" w:rsidP="002A2698">
      <w:pPr>
        <w:pStyle w:val="BodyText"/>
        <w:spacing w:line="276" w:lineRule="auto"/>
        <w:jc w:val="both"/>
        <w:rPr>
          <w:rFonts w:asciiTheme="majorHAnsi" w:hAnsiTheme="majorHAnsi"/>
          <w:lang w:val="lv-LV"/>
        </w:rPr>
      </w:pPr>
      <w:r w:rsidRPr="0019406C">
        <w:rPr>
          <w:rFonts w:asciiTheme="majorHAnsi" w:hAnsiTheme="majorHAnsi"/>
          <w:lang w:val="lv-LV"/>
        </w:rPr>
        <w:t>Igaunijas sniegums ir īpaši nozīmīgs: gada laikā tā ir ievērojami uzlabojusi savu pozīciju (par 12 vietām) un tagad atrodas par 17 vietām augstāk nekā Latvija. Tas varētu būt skaidrojams ar nodokļu administrēšanai patērēto laiku, kas Igaunijā ir aptuveni 3 reizes mazāks nekā Latvijā, atbilstoši DB2014 rezultātiem.</w:t>
      </w:r>
    </w:p>
    <w:p w:rsidR="002A2698" w:rsidRPr="0019406C" w:rsidRDefault="002A2698" w:rsidP="002A2698">
      <w:pPr>
        <w:pStyle w:val="BodyText"/>
        <w:spacing w:line="276" w:lineRule="auto"/>
        <w:jc w:val="both"/>
        <w:rPr>
          <w:rFonts w:asciiTheme="majorHAnsi" w:hAnsiTheme="majorHAnsi"/>
          <w:lang w:val="lv-LV"/>
        </w:rPr>
      </w:pPr>
      <w:r w:rsidRPr="0019406C">
        <w:rPr>
          <w:rFonts w:asciiTheme="majorHAnsi" w:hAnsiTheme="majorHAnsi"/>
          <w:lang w:val="lv-LV"/>
        </w:rPr>
        <w:t xml:space="preserve">DB vērtējums nodokļu administrēšanas jomā ietver šādus rādītājus: procedūru skaitu gadā, veltīto laiku stundās gada laikā un kopējo nodokļu likmi (% no </w:t>
      </w:r>
      <w:r w:rsidR="00007C3D" w:rsidRPr="0019406C">
        <w:rPr>
          <w:rFonts w:asciiTheme="majorHAnsi" w:hAnsiTheme="majorHAnsi"/>
          <w:lang w:val="lv-LV"/>
        </w:rPr>
        <w:t>peļņas</w:t>
      </w:r>
      <w:r w:rsidR="002C5ED8" w:rsidRPr="0019406C">
        <w:rPr>
          <w:rStyle w:val="FootnoteReference"/>
          <w:rFonts w:asciiTheme="majorHAnsi" w:hAnsiTheme="majorHAnsi"/>
          <w:lang w:val="lv-LV"/>
        </w:rPr>
        <w:footnoteReference w:id="2"/>
      </w:r>
      <w:r w:rsidRPr="0019406C">
        <w:rPr>
          <w:rFonts w:asciiTheme="majorHAnsi" w:hAnsiTheme="majorHAnsi"/>
          <w:lang w:val="lv-LV"/>
        </w:rPr>
        <w:t>).</w:t>
      </w:r>
    </w:p>
    <w:p w:rsidR="002A2698" w:rsidRPr="0019406C" w:rsidRDefault="002A2698" w:rsidP="002A2698">
      <w:pPr>
        <w:pStyle w:val="Caption"/>
        <w:keepNext/>
        <w:rPr>
          <w:rFonts w:asciiTheme="majorHAnsi" w:hAnsiTheme="majorHAnsi"/>
          <w:sz w:val="16"/>
          <w:lang w:val="lv-LV"/>
        </w:rPr>
      </w:pPr>
      <w:bookmarkStart w:id="80" w:name="_Toc381343978"/>
      <w:bookmarkStart w:id="81" w:name="_Toc381717287"/>
      <w:bookmarkStart w:id="82" w:name="_Toc389225087"/>
      <w:r w:rsidRPr="0019406C">
        <w:rPr>
          <w:rFonts w:asciiTheme="majorHAnsi" w:hAnsiTheme="majorHAnsi"/>
          <w:sz w:val="16"/>
          <w:lang w:val="lv-LV"/>
        </w:rPr>
        <w:t xml:space="preserve">Tabula </w:t>
      </w:r>
      <w:r w:rsidRPr="0019406C">
        <w:rPr>
          <w:rFonts w:asciiTheme="majorHAnsi" w:hAnsiTheme="majorHAnsi"/>
          <w:sz w:val="16"/>
          <w:lang w:val="lv-LV"/>
        </w:rPr>
        <w:fldChar w:fldCharType="begin"/>
      </w:r>
      <w:r w:rsidRPr="0019406C">
        <w:rPr>
          <w:rFonts w:asciiTheme="majorHAnsi" w:hAnsiTheme="majorHAnsi"/>
          <w:sz w:val="16"/>
          <w:lang w:val="lv-LV"/>
        </w:rPr>
        <w:instrText xml:space="preserve"> SEQ Tabula \* ARABIC </w:instrText>
      </w:r>
      <w:r w:rsidRPr="0019406C">
        <w:rPr>
          <w:rFonts w:asciiTheme="majorHAnsi" w:hAnsiTheme="majorHAnsi"/>
          <w:sz w:val="16"/>
          <w:lang w:val="lv-LV"/>
        </w:rPr>
        <w:fldChar w:fldCharType="separate"/>
      </w:r>
      <w:r w:rsidR="00410806" w:rsidRPr="0019406C">
        <w:rPr>
          <w:rFonts w:asciiTheme="majorHAnsi" w:hAnsiTheme="majorHAnsi"/>
          <w:noProof/>
          <w:sz w:val="16"/>
          <w:lang w:val="lv-LV"/>
        </w:rPr>
        <w:t>13</w:t>
      </w:r>
      <w:r w:rsidRPr="0019406C">
        <w:rPr>
          <w:rFonts w:asciiTheme="majorHAnsi" w:hAnsiTheme="majorHAnsi"/>
          <w:sz w:val="16"/>
          <w:lang w:val="lv-LV"/>
        </w:rPr>
        <w:fldChar w:fldCharType="end"/>
      </w:r>
      <w:r w:rsidRPr="0019406C">
        <w:rPr>
          <w:rFonts w:asciiTheme="majorHAnsi" w:hAnsiTheme="majorHAnsi"/>
          <w:sz w:val="16"/>
          <w:lang w:val="lv-LV"/>
        </w:rPr>
        <w:t xml:space="preserve"> Nodokļu reģistrēšanas procesa rādītāju salīdzinājums 2014. gadā</w:t>
      </w:r>
      <w:bookmarkEnd w:id="80"/>
      <w:bookmarkEnd w:id="81"/>
      <w:bookmarkEnd w:id="82"/>
    </w:p>
    <w:tbl>
      <w:tblPr>
        <w:tblStyle w:val="LightList-Accent11"/>
        <w:tblW w:w="4954" w:type="pct"/>
        <w:tblBorders>
          <w:insideH w:val="single" w:sz="8" w:space="0" w:color="DC6900" w:themeColor="accent1"/>
          <w:insideV w:val="single" w:sz="8" w:space="0" w:color="DC6900" w:themeColor="accent1"/>
        </w:tblBorders>
        <w:tblLook w:val="04A0" w:firstRow="1" w:lastRow="0" w:firstColumn="1" w:lastColumn="0" w:noHBand="0" w:noVBand="1"/>
      </w:tblPr>
      <w:tblGrid>
        <w:gridCol w:w="1704"/>
        <w:gridCol w:w="1023"/>
        <w:gridCol w:w="1061"/>
        <w:gridCol w:w="900"/>
        <w:gridCol w:w="1109"/>
        <w:gridCol w:w="969"/>
        <w:gridCol w:w="1379"/>
        <w:gridCol w:w="986"/>
        <w:gridCol w:w="856"/>
      </w:tblGrid>
      <w:tr w:rsidR="002A2698" w:rsidRPr="0019406C" w:rsidTr="00AE0B1D">
        <w:trPr>
          <w:cnfStyle w:val="100000000000" w:firstRow="1" w:lastRow="0" w:firstColumn="0" w:lastColumn="0" w:oddVBand="0" w:evenVBand="0" w:oddHBand="0"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875" w:type="pct"/>
            <w:vAlign w:val="center"/>
          </w:tcPr>
          <w:p w:rsidR="002A2698" w:rsidRPr="0019406C" w:rsidRDefault="002A2698" w:rsidP="00D02E0E">
            <w:pPr>
              <w:rPr>
                <w:rFonts w:asciiTheme="majorHAnsi" w:eastAsia="Cambria" w:hAnsiTheme="majorHAnsi" w:cs="Times New Roman"/>
                <w:lang w:val="lv-LV"/>
              </w:rPr>
            </w:pPr>
            <w:r w:rsidRPr="0019406C">
              <w:rPr>
                <w:rFonts w:asciiTheme="majorHAnsi" w:eastAsia="Cambria" w:hAnsiTheme="majorHAnsi" w:cs="Times New Roman"/>
                <w:lang w:val="lv-LV"/>
              </w:rPr>
              <w:t>Kritērijs</w:t>
            </w:r>
          </w:p>
        </w:tc>
        <w:tc>
          <w:tcPr>
            <w:tcW w:w="533" w:type="pct"/>
            <w:vAlign w:val="center"/>
          </w:tcPr>
          <w:p w:rsidR="002A2698" w:rsidRPr="0019406C" w:rsidRDefault="002A2698" w:rsidP="00AE0B1D">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Latvijā DB2013</w:t>
            </w:r>
          </w:p>
        </w:tc>
        <w:tc>
          <w:tcPr>
            <w:tcW w:w="554" w:type="pct"/>
            <w:vAlign w:val="center"/>
          </w:tcPr>
          <w:p w:rsidR="002A2698" w:rsidRPr="0019406C" w:rsidRDefault="002A2698" w:rsidP="00AE0B1D">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Latvijā DB2014</w:t>
            </w:r>
          </w:p>
        </w:tc>
        <w:tc>
          <w:tcPr>
            <w:tcW w:w="470" w:type="pct"/>
            <w:vAlign w:val="center"/>
          </w:tcPr>
          <w:p w:rsidR="002A2698" w:rsidRPr="0019406C" w:rsidRDefault="002A2698" w:rsidP="00AE0B1D">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Dānija</w:t>
            </w:r>
          </w:p>
        </w:tc>
        <w:tc>
          <w:tcPr>
            <w:tcW w:w="580" w:type="pct"/>
            <w:vAlign w:val="center"/>
          </w:tcPr>
          <w:p w:rsidR="002A2698" w:rsidRPr="0019406C" w:rsidRDefault="002A2698" w:rsidP="00AE0B1D">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Igaunija</w:t>
            </w:r>
          </w:p>
        </w:tc>
        <w:tc>
          <w:tcPr>
            <w:tcW w:w="507" w:type="pct"/>
            <w:vAlign w:val="center"/>
          </w:tcPr>
          <w:p w:rsidR="002A2698" w:rsidRPr="0019406C" w:rsidRDefault="002A2698" w:rsidP="00AE0B1D">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Somija</w:t>
            </w:r>
          </w:p>
        </w:tc>
        <w:tc>
          <w:tcPr>
            <w:tcW w:w="515" w:type="pct"/>
            <w:vAlign w:val="center"/>
          </w:tcPr>
          <w:p w:rsidR="002A2698" w:rsidRPr="0019406C" w:rsidRDefault="002A2698" w:rsidP="00AE0B1D">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Nīderlande</w:t>
            </w:r>
          </w:p>
        </w:tc>
        <w:tc>
          <w:tcPr>
            <w:tcW w:w="515" w:type="pct"/>
            <w:vAlign w:val="center"/>
          </w:tcPr>
          <w:p w:rsidR="002A2698" w:rsidRPr="0019406C" w:rsidRDefault="002A2698" w:rsidP="00AE0B1D">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Lietuva</w:t>
            </w:r>
          </w:p>
        </w:tc>
        <w:tc>
          <w:tcPr>
            <w:tcW w:w="450" w:type="pct"/>
            <w:vAlign w:val="center"/>
          </w:tcPr>
          <w:p w:rsidR="002A2698" w:rsidRPr="0019406C" w:rsidRDefault="002A2698" w:rsidP="00AE0B1D">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OECD</w:t>
            </w:r>
          </w:p>
        </w:tc>
      </w:tr>
      <w:tr w:rsidR="002A2698" w:rsidRPr="0019406C" w:rsidTr="00AE0B1D">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875" w:type="pct"/>
          </w:tcPr>
          <w:p w:rsidR="002A2698" w:rsidRPr="0019406C" w:rsidRDefault="002A2698" w:rsidP="00AE0B1D">
            <w:pPr>
              <w:pStyle w:val="BodyText"/>
              <w:rPr>
                <w:rFonts w:asciiTheme="majorHAnsi" w:hAnsiTheme="majorHAnsi"/>
                <w:b w:val="0"/>
                <w:lang w:val="lv-LV"/>
              </w:rPr>
            </w:pPr>
            <w:r w:rsidRPr="0019406C">
              <w:rPr>
                <w:rFonts w:asciiTheme="majorHAnsi" w:hAnsiTheme="majorHAnsi"/>
                <w:b w:val="0"/>
                <w:lang w:val="lv-LV"/>
              </w:rPr>
              <w:t>Maksājumu skaits gadā</w:t>
            </w:r>
          </w:p>
        </w:tc>
        <w:tc>
          <w:tcPr>
            <w:tcW w:w="533" w:type="pct"/>
            <w:vAlign w:val="center"/>
          </w:tcPr>
          <w:p w:rsidR="002A2698" w:rsidRPr="0019406C" w:rsidRDefault="002A2698" w:rsidP="00AE0B1D">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7</w:t>
            </w:r>
          </w:p>
        </w:tc>
        <w:tc>
          <w:tcPr>
            <w:tcW w:w="554" w:type="pct"/>
            <w:vAlign w:val="center"/>
          </w:tcPr>
          <w:p w:rsidR="002A2698" w:rsidRPr="0019406C" w:rsidRDefault="002A2698" w:rsidP="00AE0B1D">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7</w:t>
            </w:r>
          </w:p>
        </w:tc>
        <w:tc>
          <w:tcPr>
            <w:tcW w:w="470" w:type="pct"/>
            <w:vAlign w:val="center"/>
          </w:tcPr>
          <w:p w:rsidR="002A2698" w:rsidRPr="0019406C" w:rsidRDefault="002A2698" w:rsidP="00AE0B1D">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10</w:t>
            </w:r>
          </w:p>
        </w:tc>
        <w:tc>
          <w:tcPr>
            <w:tcW w:w="580" w:type="pct"/>
            <w:vAlign w:val="center"/>
          </w:tcPr>
          <w:p w:rsidR="002A2698" w:rsidRPr="0019406C" w:rsidRDefault="002A2698" w:rsidP="00AE0B1D">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7</w:t>
            </w:r>
          </w:p>
        </w:tc>
        <w:tc>
          <w:tcPr>
            <w:tcW w:w="507" w:type="pct"/>
            <w:vAlign w:val="center"/>
          </w:tcPr>
          <w:p w:rsidR="002A2698" w:rsidRPr="0019406C" w:rsidRDefault="002A2698" w:rsidP="00AE0B1D">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8</w:t>
            </w:r>
          </w:p>
        </w:tc>
        <w:tc>
          <w:tcPr>
            <w:tcW w:w="515" w:type="pct"/>
            <w:vAlign w:val="center"/>
          </w:tcPr>
          <w:p w:rsidR="002A2698" w:rsidRPr="0019406C" w:rsidRDefault="002A2698" w:rsidP="00AE0B1D">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9</w:t>
            </w:r>
          </w:p>
        </w:tc>
        <w:tc>
          <w:tcPr>
            <w:tcW w:w="515" w:type="pct"/>
            <w:vAlign w:val="center"/>
          </w:tcPr>
          <w:p w:rsidR="002A2698" w:rsidRPr="0019406C" w:rsidRDefault="002A2698" w:rsidP="00AE0B1D">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11</w:t>
            </w:r>
          </w:p>
        </w:tc>
        <w:tc>
          <w:tcPr>
            <w:tcW w:w="450" w:type="pct"/>
            <w:vAlign w:val="center"/>
          </w:tcPr>
          <w:p w:rsidR="002A2698" w:rsidRPr="0019406C" w:rsidRDefault="002A2698" w:rsidP="00AE0B1D">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12</w:t>
            </w:r>
          </w:p>
        </w:tc>
      </w:tr>
      <w:tr w:rsidR="002A2698" w:rsidRPr="0019406C" w:rsidTr="00AE0B1D">
        <w:trPr>
          <w:trHeight w:val="57"/>
        </w:trPr>
        <w:tc>
          <w:tcPr>
            <w:cnfStyle w:val="001000000000" w:firstRow="0" w:lastRow="0" w:firstColumn="1" w:lastColumn="0" w:oddVBand="0" w:evenVBand="0" w:oddHBand="0" w:evenHBand="0" w:firstRowFirstColumn="0" w:firstRowLastColumn="0" w:lastRowFirstColumn="0" w:lastRowLastColumn="0"/>
            <w:tcW w:w="875" w:type="pct"/>
          </w:tcPr>
          <w:p w:rsidR="002A2698" w:rsidRPr="0019406C" w:rsidRDefault="002A2698" w:rsidP="00AE0B1D">
            <w:pPr>
              <w:pStyle w:val="BodyText"/>
              <w:rPr>
                <w:rFonts w:asciiTheme="majorHAnsi" w:hAnsiTheme="majorHAnsi"/>
                <w:b w:val="0"/>
                <w:lang w:val="lv-LV"/>
              </w:rPr>
            </w:pPr>
            <w:r w:rsidRPr="0019406C">
              <w:rPr>
                <w:rFonts w:asciiTheme="majorHAnsi" w:hAnsiTheme="majorHAnsi"/>
                <w:b w:val="0"/>
                <w:lang w:val="lv-LV"/>
              </w:rPr>
              <w:t>Patērētais laiks gadā, stundas</w:t>
            </w:r>
          </w:p>
        </w:tc>
        <w:tc>
          <w:tcPr>
            <w:tcW w:w="533" w:type="pct"/>
            <w:vAlign w:val="center"/>
          </w:tcPr>
          <w:p w:rsidR="002A2698" w:rsidRPr="0019406C" w:rsidRDefault="002A2698" w:rsidP="00AE0B1D">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264</w:t>
            </w:r>
          </w:p>
        </w:tc>
        <w:tc>
          <w:tcPr>
            <w:tcW w:w="554" w:type="pct"/>
            <w:vAlign w:val="center"/>
          </w:tcPr>
          <w:p w:rsidR="002A2698" w:rsidRPr="0019406C" w:rsidRDefault="002A2698" w:rsidP="00AE0B1D">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264</w:t>
            </w:r>
          </w:p>
        </w:tc>
        <w:tc>
          <w:tcPr>
            <w:tcW w:w="470" w:type="pct"/>
            <w:vAlign w:val="center"/>
          </w:tcPr>
          <w:p w:rsidR="002A2698" w:rsidRPr="0019406C" w:rsidRDefault="002A2698" w:rsidP="00AE0B1D">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130</w:t>
            </w:r>
          </w:p>
        </w:tc>
        <w:tc>
          <w:tcPr>
            <w:tcW w:w="580" w:type="pct"/>
            <w:vAlign w:val="center"/>
          </w:tcPr>
          <w:p w:rsidR="002A2698" w:rsidRPr="0019406C" w:rsidRDefault="002A2698" w:rsidP="00AE0B1D">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81</w:t>
            </w:r>
          </w:p>
        </w:tc>
        <w:tc>
          <w:tcPr>
            <w:tcW w:w="507" w:type="pct"/>
            <w:vAlign w:val="center"/>
          </w:tcPr>
          <w:p w:rsidR="002A2698" w:rsidRPr="0019406C" w:rsidRDefault="002A2698" w:rsidP="00AE0B1D">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93</w:t>
            </w:r>
          </w:p>
        </w:tc>
        <w:tc>
          <w:tcPr>
            <w:tcW w:w="515" w:type="pct"/>
            <w:vAlign w:val="center"/>
          </w:tcPr>
          <w:p w:rsidR="002A2698" w:rsidRPr="0019406C" w:rsidRDefault="002A2698" w:rsidP="00AE0B1D">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123</w:t>
            </w:r>
          </w:p>
        </w:tc>
        <w:tc>
          <w:tcPr>
            <w:tcW w:w="515" w:type="pct"/>
            <w:vAlign w:val="center"/>
          </w:tcPr>
          <w:p w:rsidR="002A2698" w:rsidRPr="0019406C" w:rsidRDefault="002A2698" w:rsidP="00AE0B1D">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175</w:t>
            </w:r>
          </w:p>
        </w:tc>
        <w:tc>
          <w:tcPr>
            <w:tcW w:w="450" w:type="pct"/>
            <w:vAlign w:val="center"/>
          </w:tcPr>
          <w:p w:rsidR="002A2698" w:rsidRPr="0019406C" w:rsidRDefault="002A2698" w:rsidP="00AE0B1D">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175</w:t>
            </w:r>
          </w:p>
        </w:tc>
      </w:tr>
    </w:tbl>
    <w:p w:rsidR="002A2698" w:rsidRPr="0019406C" w:rsidRDefault="002A2698" w:rsidP="002A2698">
      <w:pPr>
        <w:pStyle w:val="BodyText"/>
        <w:jc w:val="both"/>
        <w:rPr>
          <w:rFonts w:asciiTheme="majorHAnsi" w:hAnsiTheme="majorHAnsi"/>
          <w:lang w:val="lv-LV"/>
        </w:rPr>
      </w:pPr>
    </w:p>
    <w:p w:rsidR="002A2698" w:rsidRPr="0019406C" w:rsidRDefault="002A2698" w:rsidP="002A2698">
      <w:pPr>
        <w:pStyle w:val="BodyText"/>
        <w:spacing w:line="276" w:lineRule="auto"/>
        <w:jc w:val="both"/>
        <w:rPr>
          <w:rFonts w:asciiTheme="majorHAnsi" w:hAnsiTheme="majorHAnsi"/>
          <w:lang w:val="lv-LV"/>
        </w:rPr>
      </w:pPr>
      <w:r w:rsidRPr="0019406C">
        <w:rPr>
          <w:rFonts w:asciiTheme="majorHAnsi" w:hAnsiTheme="majorHAnsi"/>
          <w:lang w:val="lv-LV"/>
        </w:rPr>
        <w:lastRenderedPageBreak/>
        <w:t xml:space="preserve">Pēc DB rezultātiem Latvijas nodokļu maksājumu skaits gadā ir zem vidējā Eiropas līmeņa un konkurētspējīgā līmenī ar Igauniju, Somiju un Lietuvu. Savukārt, Latvijai ir liels administratīvais slogs nodokļu uzskaitē – nodokļu uzskaite un atskaite prasa salīdzinoši daudz vairāk laika (kopā 264 stundas gadā), kamēr Igaunijā tikai 81 stundu gadā un vidēji Eiropā (OECD valstīs) 175 stundas.  </w:t>
      </w:r>
    </w:p>
    <w:p w:rsidR="002A2698" w:rsidRPr="0019406C" w:rsidRDefault="002A2698" w:rsidP="002A2698">
      <w:pPr>
        <w:pStyle w:val="BodyText"/>
        <w:spacing w:line="276" w:lineRule="auto"/>
        <w:jc w:val="both"/>
        <w:rPr>
          <w:rFonts w:asciiTheme="majorHAnsi" w:hAnsiTheme="majorHAnsi"/>
          <w:lang w:val="lv-LV"/>
        </w:rPr>
      </w:pPr>
      <w:r w:rsidRPr="0019406C">
        <w:rPr>
          <w:rFonts w:asciiTheme="majorHAnsi" w:hAnsiTheme="majorHAnsi"/>
          <w:lang w:val="lv-LV"/>
        </w:rPr>
        <w:t>DB2014 pētījumā analizētais piemērs atklāj, ka visvairāk laika tiek patērēts VSAOI aprēķinam un PVN deklarācijām attiecīgi 139 un 94 stundas gadā.</w:t>
      </w:r>
    </w:p>
    <w:p w:rsidR="002A2698" w:rsidRPr="0019406C" w:rsidRDefault="00B360A7" w:rsidP="002A2698">
      <w:pPr>
        <w:pStyle w:val="BodyText"/>
        <w:keepNext/>
        <w:rPr>
          <w:rFonts w:asciiTheme="majorHAnsi" w:hAnsiTheme="majorHAnsi"/>
          <w:lang w:val="lv-LV"/>
        </w:rPr>
      </w:pPr>
      <w:r>
        <w:rPr>
          <w:rFonts w:asciiTheme="majorHAnsi" w:hAnsiTheme="majorHAnsi"/>
          <w:noProof/>
          <w:lang w:val="lv-LV" w:eastAsia="en-GB"/>
        </w:rPr>
        <w:pict>
          <v:rect id="_x0000_s1027" style="position:absolute;margin-left:1.45pt;margin-top:22.05pt;width:416.35pt;height:10.95pt;z-index:251658240" filled="f"/>
        </w:pict>
      </w:r>
      <w:r w:rsidR="002A2698" w:rsidRPr="0019406C">
        <w:rPr>
          <w:rFonts w:asciiTheme="majorHAnsi" w:hAnsiTheme="majorHAnsi"/>
          <w:noProof/>
          <w:lang w:eastAsia="en-GB"/>
        </w:rPr>
        <w:drawing>
          <wp:inline distT="0" distB="0" distL="0" distR="0" wp14:anchorId="16D240D8" wp14:editId="1B0E5FA9">
            <wp:extent cx="5486400" cy="1669312"/>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2A2698" w:rsidRPr="0019406C" w:rsidRDefault="002A2698" w:rsidP="002A2698">
      <w:pPr>
        <w:pStyle w:val="Caption"/>
        <w:rPr>
          <w:rFonts w:asciiTheme="majorHAnsi" w:hAnsiTheme="majorHAnsi"/>
          <w:sz w:val="16"/>
          <w:lang w:val="lv-LV"/>
        </w:rPr>
      </w:pPr>
      <w:bookmarkStart w:id="83" w:name="_Toc377024535"/>
      <w:r w:rsidRPr="0019406C">
        <w:rPr>
          <w:rFonts w:asciiTheme="majorHAnsi" w:hAnsiTheme="majorHAnsi"/>
          <w:sz w:val="16"/>
          <w:lang w:val="lv-LV"/>
        </w:rPr>
        <w:t xml:space="preserve">Ilustrācija </w:t>
      </w:r>
      <w:r w:rsidRPr="0019406C">
        <w:rPr>
          <w:rFonts w:asciiTheme="majorHAnsi" w:hAnsiTheme="majorHAnsi"/>
          <w:sz w:val="16"/>
          <w:lang w:val="lv-LV"/>
        </w:rPr>
        <w:fldChar w:fldCharType="begin"/>
      </w:r>
      <w:r w:rsidRPr="0019406C">
        <w:rPr>
          <w:rFonts w:asciiTheme="majorHAnsi" w:hAnsiTheme="majorHAnsi"/>
          <w:sz w:val="16"/>
          <w:lang w:val="lv-LV"/>
        </w:rPr>
        <w:instrText xml:space="preserve"> SEQ Ilustrācija \* ARABIC </w:instrText>
      </w:r>
      <w:r w:rsidRPr="0019406C">
        <w:rPr>
          <w:rFonts w:asciiTheme="majorHAnsi" w:hAnsiTheme="majorHAnsi"/>
          <w:sz w:val="16"/>
          <w:lang w:val="lv-LV"/>
        </w:rPr>
        <w:fldChar w:fldCharType="separate"/>
      </w:r>
      <w:r w:rsidR="00410806" w:rsidRPr="0019406C">
        <w:rPr>
          <w:rFonts w:asciiTheme="majorHAnsi" w:hAnsiTheme="majorHAnsi"/>
          <w:noProof/>
          <w:sz w:val="16"/>
          <w:lang w:val="lv-LV"/>
        </w:rPr>
        <w:t>6</w:t>
      </w:r>
      <w:r w:rsidRPr="0019406C">
        <w:rPr>
          <w:rFonts w:asciiTheme="majorHAnsi" w:hAnsiTheme="majorHAnsi"/>
          <w:sz w:val="16"/>
          <w:lang w:val="lv-LV"/>
        </w:rPr>
        <w:fldChar w:fldCharType="end"/>
      </w:r>
      <w:r w:rsidRPr="0019406C">
        <w:rPr>
          <w:rFonts w:asciiTheme="majorHAnsi" w:hAnsiTheme="majorHAnsi"/>
          <w:sz w:val="16"/>
          <w:lang w:val="lv-LV"/>
        </w:rPr>
        <w:t xml:space="preserve"> Kopējo nodokļu likmju (%</w:t>
      </w:r>
      <w:r w:rsidR="002C5ED8" w:rsidRPr="0019406C">
        <w:rPr>
          <w:rFonts w:asciiTheme="majorHAnsi" w:hAnsiTheme="majorHAnsi"/>
          <w:sz w:val="16"/>
          <w:lang w:val="lv-LV"/>
        </w:rPr>
        <w:t xml:space="preserve"> no peļņas</w:t>
      </w:r>
      <w:r w:rsidRPr="0019406C">
        <w:rPr>
          <w:rFonts w:asciiTheme="majorHAnsi" w:hAnsiTheme="majorHAnsi"/>
          <w:sz w:val="16"/>
          <w:lang w:val="lv-LV"/>
        </w:rPr>
        <w:t>) salīdzinājums 2012. gadā</w:t>
      </w:r>
      <w:bookmarkEnd w:id="83"/>
    </w:p>
    <w:p w:rsidR="002A2698" w:rsidRPr="0019406C" w:rsidRDefault="002A2698" w:rsidP="002A2698">
      <w:pPr>
        <w:pStyle w:val="BodyText"/>
        <w:spacing w:line="276" w:lineRule="auto"/>
        <w:jc w:val="both"/>
        <w:rPr>
          <w:rFonts w:asciiTheme="majorHAnsi" w:hAnsiTheme="majorHAnsi"/>
          <w:b/>
          <w:u w:val="single"/>
          <w:lang w:val="lv-LV"/>
        </w:rPr>
      </w:pPr>
      <w:r w:rsidRPr="0019406C">
        <w:rPr>
          <w:rFonts w:asciiTheme="majorHAnsi" w:hAnsiTheme="majorHAnsi"/>
          <w:lang w:val="lv-LV"/>
        </w:rPr>
        <w:t xml:space="preserve">Atsaucoties uz Pasaules Bankas un </w:t>
      </w:r>
      <w:proofErr w:type="spellStart"/>
      <w:r w:rsidRPr="0019406C">
        <w:rPr>
          <w:rFonts w:asciiTheme="majorHAnsi" w:hAnsiTheme="majorHAnsi"/>
          <w:lang w:val="lv-LV"/>
        </w:rPr>
        <w:t>PwC</w:t>
      </w:r>
      <w:proofErr w:type="spellEnd"/>
      <w:r w:rsidRPr="0019406C">
        <w:rPr>
          <w:rFonts w:asciiTheme="majorHAnsi" w:hAnsiTheme="majorHAnsi"/>
          <w:lang w:val="lv-LV"/>
        </w:rPr>
        <w:t xml:space="preserve"> veikto pētījumu par nodokļu maksāšanu 2012. gadā (</w:t>
      </w:r>
      <w:proofErr w:type="spellStart"/>
      <w:r w:rsidRPr="0019406C">
        <w:rPr>
          <w:rFonts w:asciiTheme="majorHAnsi" w:hAnsiTheme="majorHAnsi"/>
          <w:lang w:val="lv-LV"/>
        </w:rPr>
        <w:t>Paying</w:t>
      </w:r>
      <w:proofErr w:type="spellEnd"/>
      <w:r w:rsidRPr="0019406C">
        <w:rPr>
          <w:rFonts w:asciiTheme="majorHAnsi" w:hAnsiTheme="majorHAnsi"/>
          <w:lang w:val="lv-LV"/>
        </w:rPr>
        <w:t xml:space="preserve"> </w:t>
      </w:r>
      <w:proofErr w:type="spellStart"/>
      <w:r w:rsidRPr="0019406C">
        <w:rPr>
          <w:rFonts w:asciiTheme="majorHAnsi" w:hAnsiTheme="majorHAnsi"/>
          <w:lang w:val="lv-LV"/>
        </w:rPr>
        <w:t>Taxes</w:t>
      </w:r>
      <w:proofErr w:type="spellEnd"/>
      <w:r w:rsidRPr="0019406C">
        <w:rPr>
          <w:rFonts w:asciiTheme="majorHAnsi" w:hAnsiTheme="majorHAnsi"/>
          <w:lang w:val="lv-LV"/>
        </w:rPr>
        <w:t xml:space="preserve"> 2014), kas iekļauts DB kopējā pētījumā, var secināt, ka Latvijai ir konkurētspējīgs nodokļu apmērs (35</w:t>
      </w:r>
      <w:r w:rsidR="007F6244" w:rsidRPr="0019406C">
        <w:rPr>
          <w:rFonts w:asciiTheme="majorHAnsi" w:hAnsiTheme="majorHAnsi"/>
          <w:lang w:val="lv-LV"/>
        </w:rPr>
        <w:t>,</w:t>
      </w:r>
      <w:r w:rsidRPr="0019406C">
        <w:rPr>
          <w:rFonts w:asciiTheme="majorHAnsi" w:hAnsiTheme="majorHAnsi"/>
          <w:lang w:val="lv-LV"/>
        </w:rPr>
        <w:t>9%</w:t>
      </w:r>
      <w:r w:rsidR="002C5ED8" w:rsidRPr="0019406C">
        <w:rPr>
          <w:rFonts w:asciiTheme="majorHAnsi" w:hAnsiTheme="majorHAnsi"/>
          <w:lang w:val="lv-LV"/>
        </w:rPr>
        <w:t xml:space="preserve"> no peļņas</w:t>
      </w:r>
      <w:r w:rsidRPr="0019406C">
        <w:rPr>
          <w:rFonts w:asciiTheme="majorHAnsi" w:hAnsiTheme="majorHAnsi"/>
          <w:lang w:val="lv-LV"/>
        </w:rPr>
        <w:t>), kas, pat salīdzinot ar Eiropas valstīm, ir stipri zem vidējā līmeņa (41</w:t>
      </w:r>
      <w:r w:rsidR="007F6244" w:rsidRPr="0019406C">
        <w:rPr>
          <w:rFonts w:asciiTheme="majorHAnsi" w:hAnsiTheme="majorHAnsi"/>
          <w:lang w:val="lv-LV"/>
        </w:rPr>
        <w:t>,</w:t>
      </w:r>
      <w:r w:rsidRPr="0019406C">
        <w:rPr>
          <w:rFonts w:asciiTheme="majorHAnsi" w:hAnsiTheme="majorHAnsi"/>
          <w:lang w:val="lv-LV"/>
        </w:rPr>
        <w:t>1%). Salīdzinot ar Lietuvu un Igauniju, Latvijas nodokļu apmērs ir zemāks par abām kaimiņvalstīm. Lietuvas nodokļu apmērs (% no peļņas) ir 43</w:t>
      </w:r>
      <w:r w:rsidR="007F6244" w:rsidRPr="0019406C">
        <w:rPr>
          <w:rFonts w:asciiTheme="majorHAnsi" w:hAnsiTheme="majorHAnsi"/>
          <w:lang w:val="lv-LV"/>
        </w:rPr>
        <w:t>,</w:t>
      </w:r>
      <w:r w:rsidRPr="0019406C">
        <w:rPr>
          <w:rFonts w:asciiTheme="majorHAnsi" w:hAnsiTheme="majorHAnsi"/>
          <w:lang w:val="lv-LV"/>
        </w:rPr>
        <w:t>1%, bet Igaunijas – 49</w:t>
      </w:r>
      <w:r w:rsidR="007F6244" w:rsidRPr="0019406C">
        <w:rPr>
          <w:rFonts w:asciiTheme="majorHAnsi" w:hAnsiTheme="majorHAnsi"/>
          <w:lang w:val="lv-LV"/>
        </w:rPr>
        <w:t>,</w:t>
      </w:r>
      <w:r w:rsidRPr="0019406C">
        <w:rPr>
          <w:rFonts w:asciiTheme="majorHAnsi" w:hAnsiTheme="majorHAnsi"/>
          <w:lang w:val="lv-LV"/>
        </w:rPr>
        <w:t xml:space="preserve">4%. </w:t>
      </w:r>
    </w:p>
    <w:p w:rsidR="002A2698" w:rsidRPr="0019406C" w:rsidRDefault="002A2698" w:rsidP="002A2698">
      <w:pPr>
        <w:pStyle w:val="BodyText"/>
        <w:rPr>
          <w:rFonts w:asciiTheme="majorHAnsi" w:hAnsiTheme="majorHAnsi"/>
          <w:b/>
          <w:sz w:val="22"/>
          <w:lang w:val="lv-LV"/>
        </w:rPr>
      </w:pPr>
      <w:r w:rsidRPr="0019406C">
        <w:rPr>
          <w:rFonts w:asciiTheme="majorHAnsi" w:hAnsiTheme="majorHAnsi"/>
          <w:b/>
          <w:sz w:val="22"/>
          <w:lang w:val="lv-LV"/>
        </w:rPr>
        <w:t>Globālās konkurētspējas indekss</w:t>
      </w:r>
    </w:p>
    <w:p w:rsidR="00534CB9" w:rsidRPr="0019406C" w:rsidRDefault="002A2698" w:rsidP="002A2698">
      <w:pPr>
        <w:pStyle w:val="BodyText"/>
        <w:spacing w:line="276" w:lineRule="auto"/>
        <w:jc w:val="both"/>
        <w:rPr>
          <w:rFonts w:asciiTheme="majorHAnsi" w:hAnsiTheme="majorHAnsi"/>
          <w:lang w:val="lv-LV"/>
        </w:rPr>
      </w:pPr>
      <w:r w:rsidRPr="0019406C">
        <w:rPr>
          <w:rFonts w:asciiTheme="majorHAnsi" w:hAnsiTheme="majorHAnsi"/>
          <w:lang w:val="lv-LV"/>
        </w:rPr>
        <w:t>GKI indekss Latvijas nodokļu apmēru 2013. gadā ievieto 69. vietā pasaulē. GKI vērtējumā norādītais nodokļu apmērs ir lielāks kā DB aptaujā un attiecīgi arī vieta kopējo valstu skaitā ir zemāka.</w:t>
      </w:r>
    </w:p>
    <w:p w:rsidR="002A2698" w:rsidRPr="0019406C" w:rsidRDefault="002A2698" w:rsidP="002A2698">
      <w:pPr>
        <w:pStyle w:val="Caption"/>
        <w:keepNext/>
        <w:rPr>
          <w:rFonts w:asciiTheme="majorHAnsi" w:hAnsiTheme="majorHAnsi"/>
          <w:sz w:val="16"/>
          <w:lang w:val="lv-LV"/>
        </w:rPr>
      </w:pPr>
      <w:bookmarkStart w:id="84" w:name="_Toc389225088"/>
      <w:r w:rsidRPr="0019406C">
        <w:rPr>
          <w:rFonts w:asciiTheme="majorHAnsi" w:hAnsiTheme="majorHAnsi"/>
          <w:sz w:val="16"/>
          <w:lang w:val="lv-LV"/>
        </w:rPr>
        <w:t xml:space="preserve">Tabula </w:t>
      </w:r>
      <w:r w:rsidRPr="0019406C">
        <w:rPr>
          <w:rFonts w:asciiTheme="majorHAnsi" w:hAnsiTheme="majorHAnsi"/>
          <w:sz w:val="16"/>
          <w:lang w:val="lv-LV"/>
        </w:rPr>
        <w:fldChar w:fldCharType="begin"/>
      </w:r>
      <w:r w:rsidRPr="0019406C">
        <w:rPr>
          <w:rFonts w:asciiTheme="majorHAnsi" w:hAnsiTheme="majorHAnsi"/>
          <w:sz w:val="16"/>
          <w:lang w:val="lv-LV"/>
        </w:rPr>
        <w:instrText xml:space="preserve"> SEQ Tabula \* ARABIC </w:instrText>
      </w:r>
      <w:r w:rsidRPr="0019406C">
        <w:rPr>
          <w:rFonts w:asciiTheme="majorHAnsi" w:hAnsiTheme="majorHAnsi"/>
          <w:sz w:val="16"/>
          <w:lang w:val="lv-LV"/>
        </w:rPr>
        <w:fldChar w:fldCharType="separate"/>
      </w:r>
      <w:r w:rsidR="00410806" w:rsidRPr="0019406C">
        <w:rPr>
          <w:rFonts w:asciiTheme="majorHAnsi" w:hAnsiTheme="majorHAnsi"/>
          <w:noProof/>
          <w:sz w:val="16"/>
          <w:lang w:val="lv-LV"/>
        </w:rPr>
        <w:t>14</w:t>
      </w:r>
      <w:r w:rsidRPr="0019406C">
        <w:rPr>
          <w:rFonts w:asciiTheme="majorHAnsi" w:hAnsiTheme="majorHAnsi"/>
          <w:sz w:val="16"/>
          <w:lang w:val="lv-LV"/>
        </w:rPr>
        <w:fldChar w:fldCharType="end"/>
      </w:r>
      <w:r w:rsidRPr="0019406C">
        <w:rPr>
          <w:rFonts w:asciiTheme="majorHAnsi" w:hAnsiTheme="majorHAnsi"/>
          <w:sz w:val="16"/>
          <w:lang w:val="lv-LV"/>
        </w:rPr>
        <w:t xml:space="preserve"> GKI nodokļu apmēra un politikas ietekmes salīdzinājums</w:t>
      </w:r>
      <w:bookmarkEnd w:id="84"/>
    </w:p>
    <w:tbl>
      <w:tblPr>
        <w:tblStyle w:val="LightList-Accent11"/>
        <w:tblW w:w="4752" w:type="pct"/>
        <w:tblLook w:val="00A0" w:firstRow="1" w:lastRow="0" w:firstColumn="1" w:lastColumn="0" w:noHBand="0" w:noVBand="0"/>
      </w:tblPr>
      <w:tblGrid>
        <w:gridCol w:w="7492"/>
        <w:gridCol w:w="2088"/>
      </w:tblGrid>
      <w:tr w:rsidR="002A2698" w:rsidRPr="0019406C" w:rsidTr="00AE0B1D">
        <w:trPr>
          <w:cnfStyle w:val="100000000000" w:firstRow="1" w:lastRow="0" w:firstColumn="0" w:lastColumn="0" w:oddVBand="0" w:evenVBand="0" w:oddHBand="0" w:evenHBand="0" w:firstRowFirstColumn="0" w:firstRowLastColumn="0" w:lastRowFirstColumn="0" w:lastRowLastColumn="0"/>
          <w:trHeight w:val="190"/>
        </w:trPr>
        <w:tc>
          <w:tcPr>
            <w:cnfStyle w:val="001000000000" w:firstRow="0" w:lastRow="0" w:firstColumn="1" w:lastColumn="0" w:oddVBand="0" w:evenVBand="0" w:oddHBand="0" w:evenHBand="0" w:firstRowFirstColumn="0" w:firstRowLastColumn="0" w:lastRowFirstColumn="0" w:lastRowLastColumn="0"/>
            <w:tcW w:w="3910" w:type="pct"/>
            <w:vAlign w:val="center"/>
          </w:tcPr>
          <w:p w:rsidR="002A2698" w:rsidRPr="0019406C" w:rsidRDefault="002A2698" w:rsidP="00AE0B1D">
            <w:pPr>
              <w:spacing w:line="240" w:lineRule="atLeast"/>
              <w:rPr>
                <w:rFonts w:asciiTheme="majorHAnsi" w:eastAsia="Cambria" w:hAnsiTheme="majorHAnsi" w:cs="Times New Roman"/>
                <w:lang w:val="lv-LV"/>
              </w:rPr>
            </w:pPr>
            <w:r w:rsidRPr="0019406C">
              <w:rPr>
                <w:rFonts w:asciiTheme="majorHAnsi" w:eastAsia="Cambria" w:hAnsiTheme="majorHAnsi" w:cs="Times New Roman"/>
                <w:lang w:val="lv-LV"/>
              </w:rPr>
              <w:t>Rādītājs</w:t>
            </w:r>
          </w:p>
        </w:tc>
        <w:tc>
          <w:tcPr>
            <w:cnfStyle w:val="000010000000" w:firstRow="0" w:lastRow="0" w:firstColumn="0" w:lastColumn="0" w:oddVBand="1" w:evenVBand="0" w:oddHBand="0" w:evenHBand="0" w:firstRowFirstColumn="0" w:firstRowLastColumn="0" w:lastRowFirstColumn="0" w:lastRowLastColumn="0"/>
            <w:tcW w:w="1090" w:type="pct"/>
            <w:vAlign w:val="center"/>
          </w:tcPr>
          <w:p w:rsidR="002A2698" w:rsidRPr="0019406C" w:rsidRDefault="002A2698" w:rsidP="00AE0B1D">
            <w:pPr>
              <w:spacing w:line="240" w:lineRule="atLeast"/>
              <w:jc w:val="center"/>
              <w:rPr>
                <w:rFonts w:asciiTheme="majorHAnsi" w:eastAsia="Cambria" w:hAnsiTheme="majorHAnsi" w:cs="Times New Roman"/>
                <w:lang w:val="lv-LV"/>
              </w:rPr>
            </w:pPr>
            <w:r w:rsidRPr="0019406C">
              <w:rPr>
                <w:rFonts w:asciiTheme="majorHAnsi" w:eastAsia="Cambria" w:hAnsiTheme="majorHAnsi" w:cs="Times New Roman"/>
                <w:lang w:val="lv-LV"/>
              </w:rPr>
              <w:t>2013/14</w:t>
            </w:r>
          </w:p>
        </w:tc>
      </w:tr>
      <w:tr w:rsidR="002A2698" w:rsidRPr="0019406C" w:rsidTr="00AE0B1D">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910" w:type="pct"/>
            <w:vAlign w:val="center"/>
          </w:tcPr>
          <w:p w:rsidR="002A2698" w:rsidRPr="0019406C" w:rsidRDefault="002A2698" w:rsidP="002C5ED8">
            <w:pPr>
              <w:spacing w:line="240" w:lineRule="atLeast"/>
              <w:rPr>
                <w:rFonts w:asciiTheme="majorHAnsi" w:eastAsia="Cambria" w:hAnsiTheme="majorHAnsi" w:cs="Times New Roman"/>
                <w:b w:val="0"/>
                <w:lang w:val="lv-LV"/>
              </w:rPr>
            </w:pPr>
            <w:r w:rsidRPr="0019406C">
              <w:rPr>
                <w:rFonts w:asciiTheme="majorHAnsi" w:eastAsia="Cambria" w:hAnsiTheme="majorHAnsi" w:cs="Times New Roman"/>
                <w:b w:val="0"/>
                <w:lang w:val="lv-LV"/>
              </w:rPr>
              <w:t xml:space="preserve">Kopējā nodokļu likme, % no </w:t>
            </w:r>
            <w:r w:rsidR="002C5ED8" w:rsidRPr="0019406C">
              <w:rPr>
                <w:rFonts w:asciiTheme="majorHAnsi" w:eastAsia="Cambria" w:hAnsiTheme="majorHAnsi" w:cs="Times New Roman"/>
                <w:b w:val="0"/>
                <w:lang w:val="lv-LV"/>
              </w:rPr>
              <w:t xml:space="preserve">peļņas </w:t>
            </w:r>
            <w:r w:rsidRPr="0019406C">
              <w:rPr>
                <w:rFonts w:asciiTheme="majorHAnsi" w:eastAsia="Cambria" w:hAnsiTheme="majorHAnsi" w:cs="Times New Roman"/>
                <w:b w:val="0"/>
                <w:lang w:val="lv-LV"/>
              </w:rPr>
              <w:t>(vieta reitingā)</w:t>
            </w:r>
          </w:p>
        </w:tc>
        <w:tc>
          <w:tcPr>
            <w:cnfStyle w:val="000010000000" w:firstRow="0" w:lastRow="0" w:firstColumn="0" w:lastColumn="0" w:oddVBand="1" w:evenVBand="0" w:oddHBand="0" w:evenHBand="0" w:firstRowFirstColumn="0" w:firstRowLastColumn="0" w:lastRowFirstColumn="0" w:lastRowLastColumn="0"/>
            <w:tcW w:w="1090" w:type="pct"/>
            <w:vAlign w:val="center"/>
          </w:tcPr>
          <w:p w:rsidR="002A2698" w:rsidRPr="0019406C" w:rsidRDefault="002A2698" w:rsidP="007C4D87">
            <w:pPr>
              <w:jc w:val="center"/>
              <w:rPr>
                <w:rFonts w:asciiTheme="majorHAnsi" w:eastAsia="Cambria" w:hAnsiTheme="majorHAnsi" w:cs="Times New Roman"/>
                <w:lang w:val="lv-LV"/>
              </w:rPr>
            </w:pPr>
            <w:r w:rsidRPr="0019406C">
              <w:rPr>
                <w:rFonts w:asciiTheme="majorHAnsi" w:eastAsia="Cambria" w:hAnsiTheme="majorHAnsi" w:cs="Times New Roman"/>
                <w:lang w:val="lv-LV"/>
              </w:rPr>
              <w:t>36</w:t>
            </w:r>
            <w:r w:rsidR="007F6244" w:rsidRPr="0019406C">
              <w:rPr>
                <w:rFonts w:asciiTheme="majorHAnsi" w:eastAsia="Cambria" w:hAnsiTheme="majorHAnsi" w:cs="Times New Roman"/>
                <w:lang w:val="lv-LV"/>
              </w:rPr>
              <w:t>,</w:t>
            </w:r>
            <w:r w:rsidRPr="0019406C">
              <w:rPr>
                <w:rFonts w:asciiTheme="majorHAnsi" w:eastAsia="Cambria" w:hAnsiTheme="majorHAnsi" w:cs="Times New Roman"/>
                <w:lang w:val="lv-LV"/>
              </w:rPr>
              <w:t>6 (69)</w:t>
            </w:r>
          </w:p>
        </w:tc>
      </w:tr>
      <w:tr w:rsidR="002A2698" w:rsidRPr="0019406C" w:rsidTr="00AE0B1D">
        <w:trPr>
          <w:trHeight w:val="280"/>
        </w:trPr>
        <w:tc>
          <w:tcPr>
            <w:cnfStyle w:val="001000000000" w:firstRow="0" w:lastRow="0" w:firstColumn="1" w:lastColumn="0" w:oddVBand="0" w:evenVBand="0" w:oddHBand="0" w:evenHBand="0" w:firstRowFirstColumn="0" w:firstRowLastColumn="0" w:lastRowFirstColumn="0" w:lastRowLastColumn="0"/>
            <w:tcW w:w="3910" w:type="pct"/>
            <w:vAlign w:val="center"/>
          </w:tcPr>
          <w:p w:rsidR="002A2698" w:rsidRPr="0019406C" w:rsidRDefault="002A2698" w:rsidP="00AE0B1D">
            <w:pPr>
              <w:rPr>
                <w:rFonts w:asciiTheme="majorHAnsi" w:eastAsia="Cambria" w:hAnsiTheme="majorHAnsi" w:cs="Times New Roman"/>
                <w:b w:val="0"/>
                <w:lang w:val="lv-LV"/>
              </w:rPr>
            </w:pPr>
            <w:r w:rsidRPr="0019406C">
              <w:rPr>
                <w:rFonts w:asciiTheme="majorHAnsi" w:eastAsia="Cambria" w:hAnsiTheme="majorHAnsi" w:cs="Times New Roman"/>
                <w:b w:val="0"/>
                <w:lang w:val="lv-LV"/>
              </w:rPr>
              <w:t>Neefektīva valdības birokrātija kā ierobežojošs faktors</w:t>
            </w:r>
            <w:r w:rsidR="00ED027D" w:rsidRPr="0019406C">
              <w:rPr>
                <w:rFonts w:asciiTheme="majorHAnsi" w:eastAsia="Cambria" w:hAnsiTheme="majorHAnsi" w:cs="Times New Roman"/>
                <w:b w:val="0"/>
                <w:lang w:val="lv-LV"/>
              </w:rPr>
              <w:t xml:space="preserve">, </w:t>
            </w:r>
            <w:r w:rsidRPr="0019406C">
              <w:rPr>
                <w:rFonts w:asciiTheme="majorHAnsi" w:eastAsia="Cambria" w:hAnsiTheme="majorHAnsi" w:cs="Times New Roman"/>
                <w:b w:val="0"/>
                <w:lang w:val="lv-LV"/>
              </w:rPr>
              <w:t>% no respondentiem</w:t>
            </w:r>
          </w:p>
        </w:tc>
        <w:tc>
          <w:tcPr>
            <w:cnfStyle w:val="000010000000" w:firstRow="0" w:lastRow="0" w:firstColumn="0" w:lastColumn="0" w:oddVBand="1" w:evenVBand="0" w:oddHBand="0" w:evenHBand="0" w:firstRowFirstColumn="0" w:firstRowLastColumn="0" w:lastRowFirstColumn="0" w:lastRowLastColumn="0"/>
            <w:tcW w:w="1090" w:type="pct"/>
            <w:vAlign w:val="center"/>
          </w:tcPr>
          <w:p w:rsidR="002A2698" w:rsidRPr="0019406C" w:rsidRDefault="002A2698" w:rsidP="007C4D87">
            <w:pPr>
              <w:jc w:val="center"/>
              <w:rPr>
                <w:rFonts w:asciiTheme="majorHAnsi" w:eastAsia="Cambria" w:hAnsiTheme="majorHAnsi" w:cs="Times New Roman"/>
                <w:lang w:val="lv-LV"/>
              </w:rPr>
            </w:pPr>
            <w:r w:rsidRPr="0019406C">
              <w:rPr>
                <w:rFonts w:asciiTheme="majorHAnsi" w:eastAsia="Cambria" w:hAnsiTheme="majorHAnsi" w:cs="Times New Roman"/>
                <w:lang w:val="lv-LV"/>
              </w:rPr>
              <w:t>15</w:t>
            </w:r>
            <w:r w:rsidR="007F6244" w:rsidRPr="0019406C">
              <w:rPr>
                <w:rFonts w:asciiTheme="majorHAnsi" w:eastAsia="Cambria" w:hAnsiTheme="majorHAnsi" w:cs="Times New Roman"/>
                <w:lang w:val="lv-LV"/>
              </w:rPr>
              <w:t>,</w:t>
            </w:r>
            <w:r w:rsidRPr="0019406C">
              <w:rPr>
                <w:rFonts w:asciiTheme="majorHAnsi" w:eastAsia="Cambria" w:hAnsiTheme="majorHAnsi" w:cs="Times New Roman"/>
                <w:lang w:val="lv-LV"/>
              </w:rPr>
              <w:t>7</w:t>
            </w:r>
          </w:p>
        </w:tc>
      </w:tr>
      <w:tr w:rsidR="002A2698" w:rsidRPr="0019406C" w:rsidTr="00AE0B1D">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910" w:type="pct"/>
            <w:vAlign w:val="center"/>
          </w:tcPr>
          <w:p w:rsidR="002A2698" w:rsidRPr="0019406C" w:rsidRDefault="002A2698" w:rsidP="00AE0B1D">
            <w:pPr>
              <w:rPr>
                <w:rFonts w:asciiTheme="majorHAnsi" w:eastAsia="Cambria" w:hAnsiTheme="majorHAnsi" w:cs="Times New Roman"/>
                <w:b w:val="0"/>
                <w:lang w:val="lv-LV"/>
              </w:rPr>
            </w:pPr>
            <w:r w:rsidRPr="0019406C">
              <w:rPr>
                <w:rFonts w:asciiTheme="majorHAnsi" w:eastAsia="Cambria" w:hAnsiTheme="majorHAnsi" w:cs="Times New Roman"/>
                <w:b w:val="0"/>
                <w:lang w:val="lv-LV"/>
              </w:rPr>
              <w:t>Nodokļu regulējums kā ierobežojošs faktors</w:t>
            </w:r>
            <w:r w:rsidR="00ED027D" w:rsidRPr="0019406C">
              <w:rPr>
                <w:rFonts w:asciiTheme="majorHAnsi" w:eastAsia="Cambria" w:hAnsiTheme="majorHAnsi" w:cs="Times New Roman"/>
                <w:b w:val="0"/>
                <w:lang w:val="lv-LV"/>
              </w:rPr>
              <w:t>,</w:t>
            </w:r>
            <w:r w:rsidRPr="0019406C">
              <w:rPr>
                <w:rFonts w:asciiTheme="majorHAnsi" w:eastAsia="Cambria" w:hAnsiTheme="majorHAnsi" w:cs="Times New Roman"/>
                <w:b w:val="0"/>
                <w:lang w:val="lv-LV"/>
              </w:rPr>
              <w:t xml:space="preserve"> % no respondentiem</w:t>
            </w:r>
          </w:p>
        </w:tc>
        <w:tc>
          <w:tcPr>
            <w:cnfStyle w:val="000010000000" w:firstRow="0" w:lastRow="0" w:firstColumn="0" w:lastColumn="0" w:oddVBand="1" w:evenVBand="0" w:oddHBand="0" w:evenHBand="0" w:firstRowFirstColumn="0" w:firstRowLastColumn="0" w:lastRowFirstColumn="0" w:lastRowLastColumn="0"/>
            <w:tcW w:w="1090" w:type="pct"/>
            <w:vAlign w:val="center"/>
          </w:tcPr>
          <w:p w:rsidR="002A2698" w:rsidRPr="0019406C" w:rsidRDefault="002A2698" w:rsidP="007C4D87">
            <w:pPr>
              <w:jc w:val="center"/>
              <w:rPr>
                <w:rFonts w:asciiTheme="majorHAnsi" w:eastAsia="Cambria" w:hAnsiTheme="majorHAnsi" w:cs="Times New Roman"/>
                <w:lang w:val="lv-LV"/>
              </w:rPr>
            </w:pPr>
            <w:r w:rsidRPr="0019406C">
              <w:rPr>
                <w:rFonts w:asciiTheme="majorHAnsi" w:eastAsia="Cambria" w:hAnsiTheme="majorHAnsi" w:cs="Times New Roman"/>
                <w:lang w:val="lv-LV"/>
              </w:rPr>
              <w:t>10</w:t>
            </w:r>
            <w:r w:rsidR="007F6244" w:rsidRPr="0019406C">
              <w:rPr>
                <w:rFonts w:asciiTheme="majorHAnsi" w:eastAsia="Cambria" w:hAnsiTheme="majorHAnsi" w:cs="Times New Roman"/>
                <w:lang w:val="lv-LV"/>
              </w:rPr>
              <w:t>,</w:t>
            </w:r>
            <w:r w:rsidRPr="0019406C">
              <w:rPr>
                <w:rFonts w:asciiTheme="majorHAnsi" w:eastAsia="Cambria" w:hAnsiTheme="majorHAnsi" w:cs="Times New Roman"/>
                <w:lang w:val="lv-LV"/>
              </w:rPr>
              <w:t>5</w:t>
            </w:r>
          </w:p>
        </w:tc>
      </w:tr>
    </w:tbl>
    <w:p w:rsidR="002A2698" w:rsidRPr="0019406C" w:rsidRDefault="002A2698" w:rsidP="002A2698">
      <w:pPr>
        <w:pStyle w:val="BodyText"/>
        <w:rPr>
          <w:rFonts w:asciiTheme="majorHAnsi" w:hAnsiTheme="majorHAnsi"/>
          <w:b/>
          <w:lang w:val="lv-LV"/>
        </w:rPr>
      </w:pPr>
    </w:p>
    <w:p w:rsidR="002A2698" w:rsidRPr="0019406C" w:rsidRDefault="002A2698" w:rsidP="002A2698">
      <w:pPr>
        <w:pStyle w:val="BodyText"/>
        <w:jc w:val="both"/>
        <w:rPr>
          <w:rFonts w:asciiTheme="majorHAnsi" w:hAnsiTheme="majorHAnsi"/>
          <w:b/>
          <w:sz w:val="22"/>
          <w:lang w:val="lv-LV"/>
        </w:rPr>
      </w:pPr>
      <w:r w:rsidRPr="0019406C">
        <w:rPr>
          <w:rFonts w:asciiTheme="majorHAnsi" w:hAnsiTheme="majorHAnsi"/>
          <w:b/>
          <w:sz w:val="22"/>
          <w:lang w:val="lv-LV"/>
        </w:rPr>
        <w:t>FICIL ieteikumi</w:t>
      </w:r>
      <w:r w:rsidRPr="0019406C">
        <w:rPr>
          <w:rStyle w:val="FootnoteReference"/>
          <w:rFonts w:asciiTheme="majorHAnsi" w:hAnsiTheme="majorHAnsi"/>
          <w:b/>
          <w:sz w:val="22"/>
          <w:lang w:val="lv-LV"/>
        </w:rPr>
        <w:footnoteReference w:id="3"/>
      </w:r>
    </w:p>
    <w:p w:rsidR="002A2698" w:rsidRPr="0019406C" w:rsidRDefault="002A2698" w:rsidP="00444A73">
      <w:pPr>
        <w:pStyle w:val="BodyText"/>
        <w:spacing w:line="276" w:lineRule="auto"/>
        <w:jc w:val="both"/>
        <w:rPr>
          <w:rFonts w:asciiTheme="majorHAnsi" w:hAnsiTheme="majorHAnsi"/>
          <w:lang w:val="lv-LV"/>
        </w:rPr>
      </w:pPr>
      <w:r w:rsidRPr="0019406C">
        <w:rPr>
          <w:rFonts w:asciiTheme="majorHAnsi" w:hAnsiTheme="majorHAnsi"/>
          <w:lang w:val="lv-LV"/>
        </w:rPr>
        <w:t>Kā viens no vērā ņemamiem viedokļiem, būtu uzklausāms Ārvalstu investoru padomes Latvijā (FICIL) viedoklis, ko tā katru gadu publicē savos pozīcijas ziņojumos.</w:t>
      </w:r>
    </w:p>
    <w:p w:rsidR="002A2698" w:rsidRPr="0019406C" w:rsidRDefault="002A2698" w:rsidP="00444A73">
      <w:pPr>
        <w:pStyle w:val="BodyText"/>
        <w:spacing w:line="276" w:lineRule="auto"/>
        <w:jc w:val="both"/>
        <w:rPr>
          <w:rFonts w:asciiTheme="majorHAnsi" w:hAnsiTheme="majorHAnsi"/>
          <w:lang w:val="lv-LV"/>
        </w:rPr>
      </w:pPr>
      <w:r w:rsidRPr="0019406C">
        <w:rPr>
          <w:rFonts w:asciiTheme="majorHAnsi" w:hAnsiTheme="majorHAnsi"/>
          <w:lang w:val="lv-LV"/>
        </w:rPr>
        <w:t>2013.</w:t>
      </w:r>
      <w:r w:rsidR="00ED027D" w:rsidRPr="0019406C">
        <w:rPr>
          <w:rFonts w:asciiTheme="majorHAnsi" w:hAnsiTheme="majorHAnsi"/>
          <w:lang w:val="lv-LV"/>
        </w:rPr>
        <w:t xml:space="preserve"> </w:t>
      </w:r>
      <w:r w:rsidRPr="0019406C">
        <w:rPr>
          <w:rFonts w:asciiTheme="majorHAnsi" w:hAnsiTheme="majorHAnsi"/>
          <w:lang w:val="lv-LV"/>
        </w:rPr>
        <w:t xml:space="preserve">gadā publicētajā pozīcijas dokumentā par </w:t>
      </w:r>
      <w:r w:rsidR="0072729F" w:rsidRPr="0019406C">
        <w:rPr>
          <w:rFonts w:asciiTheme="majorHAnsi" w:hAnsiTheme="majorHAnsi"/>
          <w:lang w:val="lv-LV"/>
        </w:rPr>
        <w:t>makroekonomiku</w:t>
      </w:r>
      <w:r w:rsidRPr="0019406C">
        <w:rPr>
          <w:rFonts w:asciiTheme="majorHAnsi" w:hAnsiTheme="majorHAnsi"/>
          <w:lang w:val="lv-LV"/>
        </w:rPr>
        <w:t xml:space="preserve"> un nodokļu politiku minēti vairāk</w:t>
      </w:r>
      <w:r w:rsidR="00ED027D" w:rsidRPr="0019406C">
        <w:rPr>
          <w:rFonts w:asciiTheme="majorHAnsi" w:hAnsiTheme="majorHAnsi"/>
          <w:lang w:val="lv-LV"/>
        </w:rPr>
        <w:t>i</w:t>
      </w:r>
      <w:r w:rsidRPr="0019406C">
        <w:rPr>
          <w:rFonts w:asciiTheme="majorHAnsi" w:hAnsiTheme="majorHAnsi"/>
          <w:lang w:val="lv-LV"/>
        </w:rPr>
        <w:t xml:space="preserve"> ierosinājumi, kas sakrīt ar uzņēmēju aptaujā pausto uzņēmēju viedokli.</w:t>
      </w:r>
    </w:p>
    <w:p w:rsidR="002A2698" w:rsidRPr="0019406C" w:rsidRDefault="002A2698" w:rsidP="00444A73">
      <w:pPr>
        <w:pStyle w:val="BodyText"/>
        <w:spacing w:line="276" w:lineRule="auto"/>
        <w:jc w:val="both"/>
        <w:rPr>
          <w:rFonts w:asciiTheme="majorHAnsi" w:hAnsiTheme="majorHAnsi"/>
          <w:lang w:val="lv-LV"/>
        </w:rPr>
      </w:pPr>
      <w:r w:rsidRPr="0019406C">
        <w:rPr>
          <w:rFonts w:asciiTheme="majorHAnsi" w:hAnsiTheme="majorHAnsi"/>
          <w:lang w:val="lv-LV"/>
        </w:rPr>
        <w:t>Piemēram, viens no aptaujas jautājumiem ietver arī novērtējumu par sodiem. Tas saistās ar FICIL ierosinājumu uzlabot komunikāciju ar uzņēmumiem, lai mazinātu piespriesto sodu daudzumu.</w:t>
      </w:r>
    </w:p>
    <w:p w:rsidR="002A2698" w:rsidRPr="0019406C" w:rsidRDefault="002A2698" w:rsidP="00444A73">
      <w:pPr>
        <w:pStyle w:val="BodyText"/>
        <w:spacing w:line="276" w:lineRule="auto"/>
        <w:jc w:val="both"/>
        <w:rPr>
          <w:rFonts w:asciiTheme="majorHAnsi" w:hAnsiTheme="majorHAnsi"/>
          <w:lang w:val="lv-LV"/>
        </w:rPr>
      </w:pPr>
      <w:r w:rsidRPr="0019406C">
        <w:rPr>
          <w:rFonts w:asciiTheme="majorHAnsi" w:hAnsiTheme="majorHAnsi"/>
          <w:lang w:val="lv-LV"/>
        </w:rPr>
        <w:lastRenderedPageBreak/>
        <w:t xml:space="preserve">Tāpat FICIL ierosinājums ir arī plānot nodokļu apmēru kopā ar vidēja termiņa budžetu, lai uzlabotu paredzamību. Kā arī VID gatavot informatīvos materiālus par aktualitātēm nodokļu jomā, </w:t>
      </w:r>
      <w:proofErr w:type="spellStart"/>
      <w:r w:rsidRPr="0019406C">
        <w:rPr>
          <w:rFonts w:asciiTheme="majorHAnsi" w:hAnsiTheme="majorHAnsi"/>
          <w:lang w:val="lv-LV"/>
        </w:rPr>
        <w:t>t.sk</w:t>
      </w:r>
      <w:proofErr w:type="spellEnd"/>
      <w:r w:rsidRPr="0019406C">
        <w:rPr>
          <w:rFonts w:asciiTheme="majorHAnsi" w:hAnsiTheme="majorHAnsi"/>
          <w:lang w:val="lv-LV"/>
        </w:rPr>
        <w:t>. metodiskajām izmaiņām.</w:t>
      </w:r>
    </w:p>
    <w:p w:rsidR="002A2698" w:rsidRPr="0019406C" w:rsidRDefault="002A2698" w:rsidP="00444A73">
      <w:pPr>
        <w:pStyle w:val="BodyText"/>
        <w:spacing w:line="276" w:lineRule="auto"/>
        <w:jc w:val="both"/>
        <w:rPr>
          <w:rFonts w:asciiTheme="majorHAnsi" w:hAnsiTheme="majorHAnsi"/>
          <w:lang w:val="lv-LV"/>
        </w:rPr>
      </w:pPr>
      <w:r w:rsidRPr="0019406C">
        <w:rPr>
          <w:rFonts w:asciiTheme="majorHAnsi" w:hAnsiTheme="majorHAnsi"/>
          <w:lang w:val="lv-LV"/>
        </w:rPr>
        <w:t>Uzsvars pozīcijas dokumentā tiek likts arī uz VID pārbaužu koncentrēšanu vairāk uz „ēnu” ekonomikas novēršanu un nodokļu krāpšanās gadījumu izskaušanu ne uz regulāru „labo” uzņēmumu pārbaudīšanu.</w:t>
      </w:r>
    </w:p>
    <w:p w:rsidR="002A2698" w:rsidRPr="0019406C" w:rsidRDefault="002A2698" w:rsidP="00444A73">
      <w:pPr>
        <w:pStyle w:val="BodyText"/>
        <w:spacing w:line="276" w:lineRule="auto"/>
        <w:rPr>
          <w:rFonts w:asciiTheme="majorHAnsi" w:hAnsiTheme="majorHAnsi"/>
          <w:b/>
          <w:sz w:val="22"/>
          <w:lang w:val="lv-LV"/>
        </w:rPr>
      </w:pPr>
      <w:r w:rsidRPr="0019406C">
        <w:rPr>
          <w:rFonts w:asciiTheme="majorHAnsi" w:hAnsiTheme="majorHAnsi"/>
          <w:b/>
          <w:sz w:val="22"/>
          <w:lang w:val="lv-LV"/>
        </w:rPr>
        <w:t>Citu valstu pieredze</w:t>
      </w:r>
    </w:p>
    <w:p w:rsidR="002A2698" w:rsidRPr="0019406C" w:rsidRDefault="002A2698" w:rsidP="00444A73">
      <w:pPr>
        <w:pStyle w:val="BodyText"/>
        <w:spacing w:line="276" w:lineRule="auto"/>
        <w:jc w:val="both"/>
        <w:rPr>
          <w:rFonts w:asciiTheme="majorHAnsi" w:hAnsiTheme="majorHAnsi"/>
          <w:lang w:val="lv-LV"/>
        </w:rPr>
      </w:pPr>
      <w:r w:rsidRPr="0019406C">
        <w:rPr>
          <w:rFonts w:asciiTheme="majorHAnsi" w:hAnsiTheme="majorHAnsi"/>
          <w:lang w:val="lv-LV"/>
        </w:rPr>
        <w:t>Analīzes ietvaros veicām intervijas ar citu ES dalībvalstu speciālistiem, kuri sniedza komentārus par to, kā nodokļu administrēšanas jautājumi tiek risināti attiecīgajās valstīs un kādas reformas ir veiktas saistībā ar nodokļu administrēšanu.</w:t>
      </w:r>
    </w:p>
    <w:p w:rsidR="002A2698" w:rsidRPr="0019406C" w:rsidRDefault="002A2698" w:rsidP="00444A73">
      <w:pPr>
        <w:pStyle w:val="BodyText"/>
        <w:spacing w:line="276" w:lineRule="auto"/>
        <w:jc w:val="both"/>
        <w:rPr>
          <w:rFonts w:asciiTheme="majorHAnsi" w:hAnsiTheme="majorHAnsi"/>
          <w:i/>
          <w:lang w:val="lv-LV"/>
        </w:rPr>
      </w:pPr>
      <w:r w:rsidRPr="0019406C">
        <w:rPr>
          <w:rFonts w:asciiTheme="majorHAnsi" w:hAnsiTheme="majorHAnsi"/>
          <w:b/>
          <w:i/>
          <w:u w:val="single"/>
          <w:lang w:val="lv-LV"/>
        </w:rPr>
        <w:t>Nīderlande.</w:t>
      </w:r>
      <w:r w:rsidRPr="0019406C">
        <w:rPr>
          <w:rFonts w:asciiTheme="majorHAnsi" w:hAnsiTheme="majorHAnsi"/>
          <w:b/>
          <w:lang w:val="lv-LV"/>
        </w:rPr>
        <w:t xml:space="preserve"> </w:t>
      </w:r>
      <w:r w:rsidRPr="0019406C">
        <w:rPr>
          <w:rFonts w:asciiTheme="majorHAnsi" w:hAnsiTheme="majorHAnsi"/>
          <w:i/>
          <w:lang w:val="lv-LV"/>
        </w:rPr>
        <w:t>Nīderlandē pienākums ir iesniegt nodokļu deklarācijas elektroniski. Pieeja nodokļu maksāšanā ir elastīga (gari atskaišu iesniegšanas termiņi), turklāt tai tiek izmantota tiešsaistes pieteikuma forma. Uzņēmumiem netiek prasīts labot atskaites. Attiecībā uz atskaitēm statistikai, lielākoties</w:t>
      </w:r>
      <w:r w:rsidRPr="0019406C">
        <w:rPr>
          <w:rFonts w:asciiTheme="majorHAnsi" w:hAnsiTheme="majorHAnsi"/>
          <w:lang w:val="lv-LV"/>
        </w:rPr>
        <w:t xml:space="preserve"> </w:t>
      </w:r>
      <w:r w:rsidRPr="0019406C">
        <w:rPr>
          <w:rFonts w:asciiTheme="majorHAnsi" w:hAnsiTheme="majorHAnsi"/>
          <w:i/>
          <w:lang w:val="lv-LV"/>
        </w:rPr>
        <w:t xml:space="preserve">atskaites statistikai uzņēmumiem nav jāiesniedz, jo informācijas iegūšanai pārsvarā tiek izmantota speciāli nacionālās statistikas apkopotājam izveidotā IT sistēma „CBS-IRIS”, </w:t>
      </w:r>
      <w:r w:rsidR="00ED027D" w:rsidRPr="0019406C">
        <w:rPr>
          <w:rFonts w:asciiTheme="majorHAnsi" w:hAnsiTheme="majorHAnsi"/>
          <w:i/>
          <w:lang w:val="lv-LV"/>
        </w:rPr>
        <w:t>kura jāizmanto</w:t>
      </w:r>
      <w:r w:rsidRPr="0019406C">
        <w:rPr>
          <w:rFonts w:asciiTheme="majorHAnsi" w:hAnsiTheme="majorHAnsi"/>
          <w:i/>
          <w:lang w:val="lv-LV"/>
        </w:rPr>
        <w:t xml:space="preserve"> uzņēmumi</w:t>
      </w:r>
      <w:r w:rsidR="00ED027D" w:rsidRPr="0019406C">
        <w:rPr>
          <w:rFonts w:asciiTheme="majorHAnsi" w:hAnsiTheme="majorHAnsi"/>
          <w:i/>
          <w:lang w:val="lv-LV"/>
        </w:rPr>
        <w:t>em</w:t>
      </w:r>
      <w:r w:rsidRPr="0019406C">
        <w:rPr>
          <w:rFonts w:asciiTheme="majorHAnsi" w:hAnsiTheme="majorHAnsi"/>
          <w:i/>
          <w:lang w:val="lv-LV"/>
        </w:rPr>
        <w:t>.</w:t>
      </w:r>
    </w:p>
    <w:p w:rsidR="002A2698" w:rsidRPr="0019406C" w:rsidRDefault="002A2698" w:rsidP="00444A73">
      <w:pPr>
        <w:pStyle w:val="BodyText"/>
        <w:spacing w:line="276" w:lineRule="auto"/>
        <w:jc w:val="both"/>
        <w:rPr>
          <w:rFonts w:asciiTheme="majorHAnsi" w:hAnsiTheme="majorHAnsi"/>
          <w:i/>
          <w:lang w:val="lv-LV"/>
        </w:rPr>
      </w:pPr>
      <w:r w:rsidRPr="0019406C">
        <w:rPr>
          <w:rFonts w:asciiTheme="majorHAnsi" w:hAnsiTheme="majorHAnsi"/>
          <w:b/>
          <w:i/>
          <w:u w:val="single"/>
          <w:lang w:val="lv-LV"/>
        </w:rPr>
        <w:t>Dānija.</w:t>
      </w:r>
      <w:r w:rsidRPr="0019406C">
        <w:rPr>
          <w:rFonts w:asciiTheme="majorHAnsi" w:hAnsiTheme="majorHAnsi"/>
          <w:b/>
          <w:lang w:val="lv-LV"/>
        </w:rPr>
        <w:t xml:space="preserve"> </w:t>
      </w:r>
      <w:r w:rsidRPr="0019406C">
        <w:rPr>
          <w:rFonts w:asciiTheme="majorHAnsi" w:hAnsiTheme="majorHAnsi"/>
          <w:i/>
          <w:lang w:val="lv-LV"/>
        </w:rPr>
        <w:t xml:space="preserve">No 2013. gada augusta Dānijā ir ieviesta jauna nodokļu administrēšanas sistēma un </w:t>
      </w:r>
      <w:r w:rsidR="00ED027D" w:rsidRPr="0019406C">
        <w:rPr>
          <w:rFonts w:asciiTheme="majorHAnsi" w:hAnsiTheme="majorHAnsi"/>
          <w:i/>
          <w:lang w:val="lv-LV"/>
        </w:rPr>
        <w:t xml:space="preserve">lielākā </w:t>
      </w:r>
      <w:r w:rsidRPr="0019406C">
        <w:rPr>
          <w:rFonts w:asciiTheme="majorHAnsi" w:hAnsiTheme="majorHAnsi"/>
          <w:i/>
          <w:lang w:val="lv-LV"/>
        </w:rPr>
        <w:t xml:space="preserve">daļa procesa ir veicama tiešsaistē. Attiecībā uz pārskatu koriģēšanu, nav noteikts kļūdas līmenis, tādēļ arī nelielas kļūdas tiek labotas. Informācijas pieprasīšana statistikas nodrošināšanai saistīta ar starptautiskās tirdzniecības datiem, kurus pieprasa uzņēmumiem tirdzniecības </w:t>
      </w:r>
      <w:r w:rsidR="00ED027D" w:rsidRPr="0019406C">
        <w:rPr>
          <w:rFonts w:asciiTheme="majorHAnsi" w:hAnsiTheme="majorHAnsi"/>
          <w:i/>
          <w:lang w:val="lv-LV"/>
        </w:rPr>
        <w:t xml:space="preserve">apjomiem </w:t>
      </w:r>
      <w:r w:rsidRPr="0019406C">
        <w:rPr>
          <w:rFonts w:asciiTheme="majorHAnsi" w:hAnsiTheme="majorHAnsi"/>
          <w:i/>
          <w:lang w:val="lv-LV"/>
        </w:rPr>
        <w:t>pārsniedz</w:t>
      </w:r>
      <w:r w:rsidR="00ED027D" w:rsidRPr="0019406C">
        <w:rPr>
          <w:rFonts w:asciiTheme="majorHAnsi" w:hAnsiTheme="majorHAnsi"/>
          <w:i/>
          <w:lang w:val="lv-LV"/>
        </w:rPr>
        <w:t>ot</w:t>
      </w:r>
      <w:r w:rsidRPr="0019406C">
        <w:rPr>
          <w:rFonts w:asciiTheme="majorHAnsi" w:hAnsiTheme="majorHAnsi"/>
          <w:i/>
          <w:lang w:val="lv-LV"/>
        </w:rPr>
        <w:t xml:space="preserve"> noteiktu summu.</w:t>
      </w:r>
    </w:p>
    <w:p w:rsidR="002A2698" w:rsidRPr="0019406C" w:rsidRDefault="002A2698" w:rsidP="00444A73">
      <w:pPr>
        <w:pStyle w:val="BodyText"/>
        <w:spacing w:line="276" w:lineRule="auto"/>
        <w:jc w:val="both"/>
        <w:rPr>
          <w:rFonts w:asciiTheme="majorHAnsi" w:hAnsiTheme="majorHAnsi"/>
          <w:i/>
          <w:lang w:val="lv-LV"/>
        </w:rPr>
      </w:pPr>
      <w:r w:rsidRPr="0019406C">
        <w:rPr>
          <w:rFonts w:asciiTheme="majorHAnsi" w:hAnsiTheme="majorHAnsi"/>
          <w:b/>
          <w:i/>
          <w:u w:val="single"/>
          <w:lang w:val="lv-LV"/>
        </w:rPr>
        <w:t>Lietuva.</w:t>
      </w:r>
      <w:r w:rsidRPr="0019406C">
        <w:rPr>
          <w:rFonts w:asciiTheme="majorHAnsi" w:hAnsiTheme="majorHAnsi"/>
          <w:b/>
          <w:lang w:val="lv-LV"/>
        </w:rPr>
        <w:t xml:space="preserve"> </w:t>
      </w:r>
      <w:r w:rsidRPr="0019406C">
        <w:rPr>
          <w:rFonts w:asciiTheme="majorHAnsi" w:hAnsiTheme="majorHAnsi"/>
          <w:i/>
          <w:lang w:val="lv-LV"/>
        </w:rPr>
        <w:t xml:space="preserve">Arī Lietuvā visas nodokļu deklarācijas ir iespējams iesniegt tiešsaistē. E-paraksta izmantošana nav obligāta, jo piekļuve kontam ir nodrošināta caur internetbanku. Lai izmantotu šo </w:t>
      </w:r>
      <w:r w:rsidR="0072729F" w:rsidRPr="0019406C">
        <w:rPr>
          <w:rFonts w:asciiTheme="majorHAnsi" w:hAnsiTheme="majorHAnsi"/>
          <w:i/>
          <w:lang w:val="lv-LV"/>
        </w:rPr>
        <w:t>tiešsaistes</w:t>
      </w:r>
      <w:r w:rsidRPr="0019406C">
        <w:rPr>
          <w:rFonts w:asciiTheme="majorHAnsi" w:hAnsiTheme="majorHAnsi"/>
          <w:i/>
          <w:lang w:val="lv-LV"/>
        </w:rPr>
        <w:t xml:space="preserve"> pakalpojumu, pēc sākotnējās reģistrācijas jāiesniedz pieteikuma veidlapa.</w:t>
      </w:r>
    </w:p>
    <w:p w:rsidR="002A2698" w:rsidRPr="0019406C" w:rsidRDefault="007F6244" w:rsidP="00444A73">
      <w:pPr>
        <w:pStyle w:val="BodyText"/>
        <w:spacing w:line="276" w:lineRule="auto"/>
        <w:jc w:val="both"/>
        <w:rPr>
          <w:rFonts w:asciiTheme="majorHAnsi" w:hAnsiTheme="majorHAnsi"/>
          <w:b/>
          <w:sz w:val="22"/>
          <w:lang w:val="lv-LV"/>
        </w:rPr>
      </w:pPr>
      <w:r w:rsidRPr="0019406C">
        <w:rPr>
          <w:rFonts w:asciiTheme="majorHAnsi" w:hAnsiTheme="majorHAnsi"/>
          <w:b/>
          <w:sz w:val="22"/>
          <w:lang w:val="lv-LV"/>
        </w:rPr>
        <w:t>Secinājumi un priekšlikumi</w:t>
      </w:r>
    </w:p>
    <w:p w:rsidR="00C63AB7" w:rsidRPr="0019406C" w:rsidRDefault="00C63AB7" w:rsidP="00444A73">
      <w:pPr>
        <w:pStyle w:val="BodyText"/>
        <w:spacing w:line="276" w:lineRule="auto"/>
        <w:jc w:val="both"/>
        <w:rPr>
          <w:rFonts w:asciiTheme="majorHAnsi" w:hAnsiTheme="majorHAnsi"/>
          <w:lang w:val="lv-LV"/>
        </w:rPr>
      </w:pPr>
      <w:r w:rsidRPr="0019406C">
        <w:rPr>
          <w:rFonts w:asciiTheme="majorHAnsi" w:hAnsiTheme="majorHAnsi"/>
          <w:lang w:val="lv-LV"/>
        </w:rPr>
        <w:t xml:space="preserve">Uzņēmēju aptaujas rezultāti liek secināt, ka lielākos uzņēmējdarbības šķēršļus uzņēmējiem sagādā tieši nodokļu likmes, kā arī nodokļu noteikumu mainība un neskaidrība. Tā kā nodokļi ir būtiski pilnīgi visiem uzņēmumiem, tad šāds vērtējums nav uzskatāms par pārsteidzošu, tomēr, ja salīdzina objektīvi ar citām valstīm, kas minētas DB pētījumā, var secināt, ka nodokļu likmes nav </w:t>
      </w:r>
      <w:r w:rsidR="0014461E" w:rsidRPr="0019406C">
        <w:rPr>
          <w:rFonts w:asciiTheme="majorHAnsi" w:hAnsiTheme="majorHAnsi"/>
          <w:lang w:val="lv-LV"/>
        </w:rPr>
        <w:t>augstākās</w:t>
      </w:r>
      <w:r w:rsidRPr="0019406C">
        <w:rPr>
          <w:rFonts w:asciiTheme="majorHAnsi" w:hAnsiTheme="majorHAnsi"/>
          <w:lang w:val="lv-LV"/>
        </w:rPr>
        <w:t>.</w:t>
      </w:r>
    </w:p>
    <w:p w:rsidR="002A2698" w:rsidRPr="0019406C" w:rsidRDefault="002A2698" w:rsidP="00444A73">
      <w:pPr>
        <w:pStyle w:val="BodyText"/>
        <w:spacing w:line="276" w:lineRule="auto"/>
        <w:jc w:val="both"/>
        <w:rPr>
          <w:rFonts w:asciiTheme="majorHAnsi" w:hAnsiTheme="majorHAnsi"/>
          <w:lang w:val="lv-LV"/>
        </w:rPr>
      </w:pPr>
      <w:r w:rsidRPr="0019406C">
        <w:rPr>
          <w:rFonts w:asciiTheme="majorHAnsi" w:hAnsiTheme="majorHAnsi"/>
          <w:lang w:val="lv-LV"/>
        </w:rPr>
        <w:t>DB pētījuma rezultāti norādīja, ka lielākos šķēršļus uzņēmējdarbībai rada tieši nodokļu administrēšanā patērētais laiks. Tas ir ilgāks kā Lietuvā un Igaunijā par vairāk kā divām reizēm. Savukārt, nodokļu likmes tika novērtētas kā salīdzinoši konkurētspējīgas.</w:t>
      </w:r>
    </w:p>
    <w:p w:rsidR="002A2698" w:rsidRPr="0019406C" w:rsidRDefault="002A2698" w:rsidP="00444A73">
      <w:pPr>
        <w:pStyle w:val="BodyText"/>
        <w:spacing w:line="276" w:lineRule="auto"/>
        <w:jc w:val="both"/>
        <w:rPr>
          <w:rFonts w:asciiTheme="majorHAnsi" w:hAnsiTheme="majorHAnsi"/>
          <w:lang w:val="lv-LV"/>
        </w:rPr>
      </w:pPr>
      <w:r w:rsidRPr="0019406C">
        <w:rPr>
          <w:rFonts w:asciiTheme="majorHAnsi" w:hAnsiTheme="majorHAnsi"/>
          <w:lang w:val="lv-LV"/>
        </w:rPr>
        <w:t xml:space="preserve">Attiecībā uz problēmām, kas saistītas ar nodokļu nomaksu, jāsecina, ka </w:t>
      </w:r>
      <w:r w:rsidR="00392566" w:rsidRPr="0019406C">
        <w:rPr>
          <w:rFonts w:asciiTheme="majorHAnsi" w:hAnsiTheme="majorHAnsi"/>
          <w:lang w:val="lv-LV"/>
        </w:rPr>
        <w:t xml:space="preserve">sekojoši </w:t>
      </w:r>
      <w:r w:rsidRPr="0019406C">
        <w:rPr>
          <w:rFonts w:asciiTheme="majorHAnsi" w:hAnsiTheme="majorHAnsi"/>
          <w:lang w:val="lv-LV"/>
        </w:rPr>
        <w:t xml:space="preserve">administratīvi faktori rada uzņēmumiem šķēršļus: informācijas pieejamība par nodokļu likumiem un noteikumiem un to piemērošanu, likumu un noteikumu izmaiņu biežums vai nenoteiktība. </w:t>
      </w:r>
      <w:r w:rsidR="00392566" w:rsidRPr="0019406C">
        <w:rPr>
          <w:rFonts w:asciiTheme="majorHAnsi" w:hAnsiTheme="majorHAnsi"/>
          <w:lang w:val="lv-LV"/>
        </w:rPr>
        <w:t xml:space="preserve">Minētie šķēršļi </w:t>
      </w:r>
      <w:r w:rsidRPr="0019406C">
        <w:rPr>
          <w:rFonts w:asciiTheme="majorHAnsi" w:hAnsiTheme="majorHAnsi"/>
          <w:lang w:val="lv-LV"/>
        </w:rPr>
        <w:t>varētu būt iemesls piespriestajām soda naudām, ko arī uzņēmēji norāda kā būtisku šķērsli uzņēmējdarbībai.</w:t>
      </w:r>
    </w:p>
    <w:p w:rsidR="002A2698" w:rsidRPr="0019406C" w:rsidRDefault="002A2698" w:rsidP="00444A73">
      <w:pPr>
        <w:pStyle w:val="BodyText"/>
        <w:spacing w:line="276" w:lineRule="auto"/>
        <w:jc w:val="both"/>
        <w:rPr>
          <w:rFonts w:asciiTheme="majorHAnsi" w:hAnsiTheme="majorHAnsi"/>
          <w:b/>
          <w:sz w:val="22"/>
          <w:lang w:val="lv-LV"/>
        </w:rPr>
      </w:pPr>
      <w:r w:rsidRPr="0019406C">
        <w:rPr>
          <w:rFonts w:asciiTheme="majorHAnsi" w:hAnsiTheme="majorHAnsi"/>
          <w:lang w:val="lv-LV"/>
        </w:rPr>
        <w:t xml:space="preserve">Ņemot vērā DB pētījuma rezultātus un uzņēmēju sniegto viedokli, nodokļu jomā </w:t>
      </w:r>
      <w:r w:rsidR="005F1A54" w:rsidRPr="0019406C">
        <w:rPr>
          <w:rFonts w:asciiTheme="majorHAnsi" w:hAnsiTheme="majorHAnsi"/>
          <w:lang w:val="lv-LV"/>
        </w:rPr>
        <w:t xml:space="preserve">ekspertu diskusijām tiek izvirzīti </w:t>
      </w:r>
      <w:r w:rsidRPr="0019406C">
        <w:rPr>
          <w:rFonts w:asciiTheme="majorHAnsi" w:hAnsiTheme="majorHAnsi"/>
          <w:lang w:val="lv-LV"/>
        </w:rPr>
        <w:t>šādi pasākumi uzņēmējdarbības šķēršļu samazināšanai:</w:t>
      </w:r>
    </w:p>
    <w:p w:rsidR="002A2698" w:rsidRPr="0019406C" w:rsidRDefault="00285663" w:rsidP="00444A73">
      <w:pPr>
        <w:pStyle w:val="BodyText"/>
        <w:numPr>
          <w:ilvl w:val="0"/>
          <w:numId w:val="81"/>
        </w:numPr>
        <w:spacing w:line="276" w:lineRule="auto"/>
        <w:ind w:left="709"/>
        <w:jc w:val="both"/>
        <w:rPr>
          <w:rFonts w:asciiTheme="majorHAnsi" w:hAnsiTheme="majorHAnsi"/>
          <w:lang w:val="lv-LV"/>
        </w:rPr>
      </w:pPr>
      <w:r w:rsidRPr="0019406C">
        <w:rPr>
          <w:rFonts w:asciiTheme="majorHAnsi" w:hAnsiTheme="majorHAnsi"/>
          <w:lang w:val="lv-LV"/>
        </w:rPr>
        <w:t>Materialitātes termina ieviešana normatīvajos aktos, tādejādi veicinot principa „</w:t>
      </w:r>
      <w:proofErr w:type="spellStart"/>
      <w:r w:rsidRPr="0019406C">
        <w:rPr>
          <w:rFonts w:asciiTheme="majorHAnsi" w:hAnsiTheme="majorHAnsi"/>
          <w:lang w:val="lv-LV"/>
        </w:rPr>
        <w:t>value</w:t>
      </w:r>
      <w:proofErr w:type="spellEnd"/>
      <w:r w:rsidRPr="0019406C">
        <w:rPr>
          <w:rFonts w:asciiTheme="majorHAnsi" w:hAnsiTheme="majorHAnsi"/>
          <w:lang w:val="lv-LV"/>
        </w:rPr>
        <w:t xml:space="preserve"> </w:t>
      </w:r>
      <w:proofErr w:type="spellStart"/>
      <w:r w:rsidRPr="0019406C">
        <w:rPr>
          <w:rFonts w:asciiTheme="majorHAnsi" w:hAnsiTheme="majorHAnsi"/>
          <w:lang w:val="lv-LV"/>
        </w:rPr>
        <w:t>for</w:t>
      </w:r>
      <w:proofErr w:type="spellEnd"/>
      <w:r w:rsidRPr="0019406C">
        <w:rPr>
          <w:rFonts w:asciiTheme="majorHAnsi" w:hAnsiTheme="majorHAnsi"/>
          <w:lang w:val="lv-LV"/>
        </w:rPr>
        <w:t xml:space="preserve"> </w:t>
      </w:r>
      <w:proofErr w:type="spellStart"/>
      <w:r w:rsidRPr="0019406C">
        <w:rPr>
          <w:rFonts w:asciiTheme="majorHAnsi" w:hAnsiTheme="majorHAnsi"/>
          <w:lang w:val="lv-LV"/>
        </w:rPr>
        <w:t>money</w:t>
      </w:r>
      <w:proofErr w:type="spellEnd"/>
      <w:r w:rsidRPr="0019406C">
        <w:rPr>
          <w:rFonts w:asciiTheme="majorHAnsi" w:hAnsiTheme="majorHAnsi"/>
          <w:lang w:val="lv-LV"/>
        </w:rPr>
        <w:t>” ieviešanu Latvijā, kas paredzētu, ka netiek tērēti lielāki laika un naudas resursi kā potenciāli iegūstamā vērtība.</w:t>
      </w:r>
      <w:r w:rsidR="00445870" w:rsidRPr="0019406C">
        <w:rPr>
          <w:rFonts w:asciiTheme="majorHAnsi" w:hAnsiTheme="majorHAnsi"/>
          <w:lang w:val="lv-LV"/>
        </w:rPr>
        <w:t xml:space="preserve"> </w:t>
      </w:r>
      <w:r w:rsidR="00E34B83" w:rsidRPr="0019406C">
        <w:rPr>
          <w:rFonts w:asciiTheme="majorHAnsi" w:hAnsiTheme="majorHAnsi"/>
          <w:lang w:val="lv-LV"/>
        </w:rPr>
        <w:t xml:space="preserve">Detalizētu priekšlikumu skatīt </w:t>
      </w:r>
      <w:r w:rsidR="00D02E0E" w:rsidRPr="0019406C">
        <w:rPr>
          <w:rFonts w:asciiTheme="majorHAnsi" w:hAnsiTheme="majorHAnsi"/>
          <w:lang w:val="lv-LV"/>
        </w:rPr>
        <w:t>2</w:t>
      </w:r>
      <w:r w:rsidR="00E34B83" w:rsidRPr="0019406C">
        <w:rPr>
          <w:rFonts w:asciiTheme="majorHAnsi" w:hAnsiTheme="majorHAnsi"/>
          <w:lang w:val="lv-LV"/>
        </w:rPr>
        <w:t xml:space="preserve">. pielikuma </w:t>
      </w:r>
      <w:r w:rsidR="00C1288D" w:rsidRPr="0019406C">
        <w:rPr>
          <w:rFonts w:asciiTheme="majorHAnsi" w:hAnsiTheme="majorHAnsi"/>
          <w:lang w:val="lv-LV"/>
        </w:rPr>
        <w:t>2</w:t>
      </w:r>
      <w:r w:rsidR="00E34B83" w:rsidRPr="0019406C">
        <w:rPr>
          <w:rFonts w:asciiTheme="majorHAnsi" w:hAnsiTheme="majorHAnsi"/>
          <w:lang w:val="lv-LV"/>
        </w:rPr>
        <w:t>.1. punktā</w:t>
      </w:r>
      <w:r w:rsidR="002A2698" w:rsidRPr="0019406C">
        <w:rPr>
          <w:rFonts w:asciiTheme="majorHAnsi" w:hAnsiTheme="majorHAnsi"/>
          <w:lang w:val="lv-LV"/>
        </w:rPr>
        <w:t>;</w:t>
      </w:r>
    </w:p>
    <w:p w:rsidR="002A2698" w:rsidRPr="0019406C" w:rsidRDefault="002A2698" w:rsidP="00444A73">
      <w:pPr>
        <w:pStyle w:val="BodyText"/>
        <w:numPr>
          <w:ilvl w:val="0"/>
          <w:numId w:val="81"/>
        </w:numPr>
        <w:spacing w:line="276" w:lineRule="auto"/>
        <w:ind w:left="709"/>
        <w:jc w:val="both"/>
        <w:rPr>
          <w:rFonts w:asciiTheme="majorHAnsi" w:hAnsiTheme="majorHAnsi"/>
          <w:lang w:val="lv-LV"/>
        </w:rPr>
      </w:pPr>
      <w:r w:rsidRPr="0019406C">
        <w:rPr>
          <w:rFonts w:asciiTheme="majorHAnsi" w:hAnsiTheme="majorHAnsi"/>
          <w:lang w:val="lv-LV"/>
        </w:rPr>
        <w:t xml:space="preserve">Vienkāršotas grāmatvedības programmas izstrāde integrācijā ar EDS, kuru varētu izmantot nelieli uzņēmumi – balstoties uz uzņēmēju aptaujas rezultātiem, būtu atbalstāma ar EDS integrētas </w:t>
      </w:r>
      <w:r w:rsidRPr="0019406C">
        <w:rPr>
          <w:rFonts w:asciiTheme="majorHAnsi" w:hAnsiTheme="majorHAnsi"/>
          <w:lang w:val="lv-LV"/>
        </w:rPr>
        <w:lastRenderedPageBreak/>
        <w:t>grāmatvedības sistēmas ieviešana, kas nodrošinātu ātrāku un vienkāršāku pārskatu iesniegšanu VID. Tas samazināt kļūdu iespējamību, gatavojot atskaites un nodrošinātu pārskatāmību par uzņēmuma grāmatvedības ierakstiem</w:t>
      </w:r>
      <w:r w:rsidR="005F1A54" w:rsidRPr="0019406C">
        <w:rPr>
          <w:rFonts w:asciiTheme="majorHAnsi" w:hAnsiTheme="majorHAnsi"/>
          <w:lang w:val="lv-LV"/>
        </w:rPr>
        <w:t>.</w:t>
      </w:r>
    </w:p>
    <w:p w:rsidR="002A2698" w:rsidRPr="0019406C" w:rsidRDefault="002A2698" w:rsidP="00444A73">
      <w:pPr>
        <w:pStyle w:val="BodyText"/>
        <w:numPr>
          <w:ilvl w:val="0"/>
          <w:numId w:val="81"/>
        </w:numPr>
        <w:spacing w:line="276" w:lineRule="auto"/>
        <w:ind w:left="709"/>
        <w:jc w:val="both"/>
        <w:rPr>
          <w:rFonts w:asciiTheme="majorHAnsi" w:hAnsiTheme="majorHAnsi"/>
          <w:lang w:val="lv-LV"/>
        </w:rPr>
      </w:pPr>
      <w:r w:rsidRPr="0019406C">
        <w:rPr>
          <w:rFonts w:asciiTheme="majorHAnsi" w:hAnsiTheme="majorHAnsi"/>
          <w:lang w:val="lv-LV"/>
        </w:rPr>
        <w:t xml:space="preserve">Uzņēmumiem pieprasāmās statistikas </w:t>
      </w:r>
      <w:r w:rsidR="009C79D3" w:rsidRPr="0019406C">
        <w:rPr>
          <w:rFonts w:asciiTheme="majorHAnsi" w:hAnsiTheme="majorHAnsi"/>
          <w:lang w:val="lv-LV"/>
        </w:rPr>
        <w:t xml:space="preserve">samazināšana </w:t>
      </w:r>
      <w:r w:rsidRPr="0019406C">
        <w:rPr>
          <w:rFonts w:asciiTheme="majorHAnsi" w:hAnsiTheme="majorHAnsi"/>
          <w:lang w:val="lv-LV"/>
        </w:rPr>
        <w:t xml:space="preserve">– ņemot vērā jau šobrīd esošās diskusijas LTRK darba grupā par CSP, VID atskaišu dublēšanās samazināšanu, būtu nepieciešams izvērtēt citu valstu pieredzi ar statistikas pieprasīšanu uzņēmumiem, </w:t>
      </w:r>
      <w:proofErr w:type="spellStart"/>
      <w:r w:rsidRPr="0019406C">
        <w:rPr>
          <w:rFonts w:asciiTheme="majorHAnsi" w:hAnsiTheme="majorHAnsi"/>
          <w:lang w:val="lv-LV"/>
        </w:rPr>
        <w:t>t.sk</w:t>
      </w:r>
      <w:proofErr w:type="spellEnd"/>
      <w:r w:rsidRPr="0019406C">
        <w:rPr>
          <w:rFonts w:asciiTheme="majorHAnsi" w:hAnsiTheme="majorHAnsi"/>
          <w:lang w:val="lv-LV"/>
        </w:rPr>
        <w:t>. pievēršot uzmanību izmantotajām informācijas komunikāciju tehnoloģijām</w:t>
      </w:r>
      <w:r w:rsidR="005F1A54" w:rsidRPr="0019406C">
        <w:rPr>
          <w:rFonts w:asciiTheme="majorHAnsi" w:hAnsiTheme="majorHAnsi"/>
          <w:lang w:val="lv-LV"/>
        </w:rPr>
        <w:t>.</w:t>
      </w:r>
    </w:p>
    <w:p w:rsidR="002A2698" w:rsidRPr="0019406C" w:rsidRDefault="002A2698" w:rsidP="00444A73">
      <w:pPr>
        <w:pStyle w:val="BodyText"/>
        <w:numPr>
          <w:ilvl w:val="0"/>
          <w:numId w:val="81"/>
        </w:numPr>
        <w:spacing w:line="276" w:lineRule="auto"/>
        <w:ind w:left="709"/>
        <w:jc w:val="both"/>
        <w:rPr>
          <w:rFonts w:asciiTheme="majorHAnsi" w:hAnsiTheme="majorHAnsi"/>
          <w:lang w:val="lv-LV"/>
        </w:rPr>
      </w:pPr>
      <w:r w:rsidRPr="0019406C">
        <w:rPr>
          <w:rFonts w:asciiTheme="majorHAnsi" w:hAnsiTheme="majorHAnsi"/>
          <w:lang w:val="lv-LV"/>
        </w:rPr>
        <w:t xml:space="preserve">Informēšana par neiesniegtām </w:t>
      </w:r>
      <w:r w:rsidR="0072729F" w:rsidRPr="0019406C">
        <w:rPr>
          <w:rFonts w:asciiTheme="majorHAnsi" w:hAnsiTheme="majorHAnsi"/>
          <w:lang w:val="lv-LV"/>
        </w:rPr>
        <w:t>atskaitēm</w:t>
      </w:r>
      <w:r w:rsidR="00C1288D" w:rsidRPr="0019406C">
        <w:rPr>
          <w:rFonts w:asciiTheme="majorHAnsi" w:hAnsiTheme="majorHAnsi"/>
          <w:lang w:val="lv-LV"/>
        </w:rPr>
        <w:t xml:space="preserve"> VID</w:t>
      </w:r>
      <w:r w:rsidRPr="0019406C">
        <w:rPr>
          <w:rFonts w:asciiTheme="majorHAnsi" w:hAnsiTheme="majorHAnsi"/>
          <w:lang w:val="lv-LV"/>
        </w:rPr>
        <w:t xml:space="preserve"> – lai izvairītos no soda naudu neatbilstošas piespriešanas un datu vēlākas saņemšanas, būtu jāveicina uzņēmēju informēšana par neiesniegtām atskaitēm pirms soda naudu piespriešanas</w:t>
      </w:r>
      <w:r w:rsidR="005F1A54" w:rsidRPr="0019406C">
        <w:rPr>
          <w:rFonts w:asciiTheme="majorHAnsi" w:hAnsiTheme="majorHAnsi"/>
          <w:lang w:val="lv-LV"/>
        </w:rPr>
        <w:t>.</w:t>
      </w:r>
    </w:p>
    <w:p w:rsidR="002A2698" w:rsidRPr="0019406C" w:rsidRDefault="002A2698" w:rsidP="00444A73">
      <w:pPr>
        <w:pStyle w:val="BodyText"/>
        <w:spacing w:after="0" w:line="276" w:lineRule="auto"/>
        <w:jc w:val="both"/>
        <w:rPr>
          <w:rFonts w:asciiTheme="majorHAnsi" w:hAnsiTheme="majorHAnsi"/>
          <w:lang w:val="lv-LV"/>
        </w:rPr>
      </w:pPr>
      <w:r w:rsidRPr="0019406C">
        <w:rPr>
          <w:rFonts w:asciiTheme="majorHAnsi" w:hAnsiTheme="majorHAnsi"/>
          <w:lang w:val="lv-LV"/>
        </w:rPr>
        <w:t xml:space="preserve">Priekšlikumi saistībā ar nodokļu administrēšanu, kas jau iekļauti citos dokumentos (piemēram, SIA </w:t>
      </w:r>
      <w:proofErr w:type="spellStart"/>
      <w:r w:rsidRPr="0019406C">
        <w:rPr>
          <w:rFonts w:asciiTheme="majorHAnsi" w:hAnsiTheme="majorHAnsi"/>
          <w:lang w:val="lv-LV"/>
        </w:rPr>
        <w:t>Ernst</w:t>
      </w:r>
      <w:proofErr w:type="spellEnd"/>
      <w:r w:rsidRPr="0019406C">
        <w:rPr>
          <w:rFonts w:asciiTheme="majorHAnsi" w:hAnsiTheme="majorHAnsi"/>
          <w:lang w:val="lv-LV"/>
        </w:rPr>
        <w:t xml:space="preserve"> &amp; </w:t>
      </w:r>
      <w:proofErr w:type="spellStart"/>
      <w:r w:rsidRPr="0019406C">
        <w:rPr>
          <w:rFonts w:asciiTheme="majorHAnsi" w:hAnsiTheme="majorHAnsi"/>
          <w:lang w:val="lv-LV"/>
        </w:rPr>
        <w:t>Young</w:t>
      </w:r>
      <w:proofErr w:type="spellEnd"/>
      <w:r w:rsidRPr="0019406C">
        <w:rPr>
          <w:rFonts w:asciiTheme="majorHAnsi" w:hAnsiTheme="majorHAnsi"/>
          <w:lang w:val="lv-LV"/>
        </w:rPr>
        <w:t xml:space="preserve"> </w:t>
      </w:r>
      <w:proofErr w:type="spellStart"/>
      <w:r w:rsidRPr="0019406C">
        <w:rPr>
          <w:rFonts w:asciiTheme="majorHAnsi" w:hAnsiTheme="majorHAnsi"/>
          <w:lang w:val="lv-LV"/>
        </w:rPr>
        <w:t>Baltic</w:t>
      </w:r>
      <w:proofErr w:type="spellEnd"/>
      <w:r w:rsidRPr="0019406C">
        <w:rPr>
          <w:rFonts w:asciiTheme="majorHAnsi" w:hAnsiTheme="majorHAnsi"/>
          <w:lang w:val="lv-LV"/>
        </w:rPr>
        <w:t xml:space="preserve"> administratīvo prasību nodokļu jomas vērtējums, kas minēts Uzņēmējdarbības vides uzlabošanas pasākumu plānā 2013. – 2014. gadam saistībā ar MK 2013. gada 24. aprīļa rīkojumu </w:t>
      </w:r>
      <w:proofErr w:type="spellStart"/>
      <w:r w:rsidRPr="0019406C">
        <w:rPr>
          <w:rFonts w:asciiTheme="majorHAnsi" w:hAnsiTheme="majorHAnsi"/>
          <w:lang w:val="lv-LV"/>
        </w:rPr>
        <w:t>Nr</w:t>
      </w:r>
      <w:proofErr w:type="spellEnd"/>
      <w:r w:rsidRPr="0019406C">
        <w:rPr>
          <w:rFonts w:asciiTheme="majorHAnsi" w:hAnsiTheme="majorHAnsi"/>
          <w:lang w:val="lv-LV"/>
        </w:rPr>
        <w:t>.</w:t>
      </w:r>
      <w:r w:rsidR="003A1CF9" w:rsidRPr="0019406C">
        <w:rPr>
          <w:rFonts w:asciiTheme="majorHAnsi" w:hAnsiTheme="majorHAnsi"/>
          <w:lang w:val="lv-LV"/>
        </w:rPr>
        <w:t xml:space="preserve"> </w:t>
      </w:r>
      <w:r w:rsidRPr="0019406C">
        <w:rPr>
          <w:rFonts w:asciiTheme="majorHAnsi" w:hAnsiTheme="majorHAnsi"/>
          <w:lang w:val="lv-LV"/>
        </w:rPr>
        <w:t>165) šajā pētījumā atkārtoti netiek iekļauti.</w:t>
      </w:r>
    </w:p>
    <w:p w:rsidR="007F6244" w:rsidRPr="0019406C" w:rsidRDefault="007F6244" w:rsidP="002A2698">
      <w:pPr>
        <w:pStyle w:val="BodyText"/>
        <w:spacing w:after="0" w:line="276" w:lineRule="auto"/>
        <w:jc w:val="both"/>
        <w:rPr>
          <w:rFonts w:asciiTheme="majorHAnsi" w:hAnsiTheme="majorHAnsi"/>
          <w:lang w:val="lv-LV"/>
        </w:rPr>
      </w:pPr>
    </w:p>
    <w:p w:rsidR="007F6244" w:rsidRPr="0019406C" w:rsidRDefault="007F6244" w:rsidP="00445870">
      <w:pPr>
        <w:pStyle w:val="BodyText"/>
        <w:jc w:val="both"/>
        <w:rPr>
          <w:rFonts w:asciiTheme="majorHAnsi" w:hAnsiTheme="majorHAnsi"/>
          <w:b/>
          <w:sz w:val="22"/>
          <w:lang w:val="lv-LV"/>
        </w:rPr>
      </w:pPr>
      <w:r w:rsidRPr="0019406C">
        <w:rPr>
          <w:rFonts w:asciiTheme="majorHAnsi" w:hAnsiTheme="majorHAnsi"/>
          <w:b/>
          <w:sz w:val="22"/>
          <w:lang w:val="lv-LV"/>
        </w:rPr>
        <w:t>Ekspertu diskusija</w:t>
      </w:r>
    </w:p>
    <w:p w:rsidR="00EE11F5" w:rsidRPr="0019406C" w:rsidRDefault="00EE11F5" w:rsidP="00EE11F5">
      <w:pPr>
        <w:pStyle w:val="BodyText"/>
        <w:spacing w:line="276" w:lineRule="auto"/>
        <w:jc w:val="both"/>
        <w:rPr>
          <w:rFonts w:asciiTheme="majorHAnsi" w:hAnsiTheme="majorHAnsi"/>
          <w:szCs w:val="22"/>
          <w:lang w:val="lv-LV"/>
        </w:rPr>
      </w:pPr>
      <w:r w:rsidRPr="0019406C">
        <w:rPr>
          <w:rFonts w:asciiTheme="majorHAnsi" w:hAnsiTheme="majorHAnsi"/>
          <w:szCs w:val="22"/>
          <w:lang w:val="lv-LV"/>
        </w:rPr>
        <w:t>Ekspertu diskusiju rezultātā tika pārrunāti, kā aptaujas rezultāti, tā iepriekš izvirzītie priekšlikumi. Diskusiju rezultātā tika secināts sekojošais:</w:t>
      </w:r>
    </w:p>
    <w:p w:rsidR="00EE11F5" w:rsidRPr="0019406C" w:rsidRDefault="00285663" w:rsidP="00E521EE">
      <w:pPr>
        <w:pStyle w:val="BodyText"/>
        <w:numPr>
          <w:ilvl w:val="0"/>
          <w:numId w:val="70"/>
        </w:numPr>
        <w:spacing w:line="276" w:lineRule="auto"/>
        <w:ind w:left="709"/>
        <w:jc w:val="both"/>
        <w:rPr>
          <w:rFonts w:asciiTheme="majorHAnsi" w:hAnsiTheme="majorHAnsi"/>
          <w:szCs w:val="22"/>
          <w:lang w:val="lv-LV"/>
        </w:rPr>
      </w:pPr>
      <w:r w:rsidRPr="0019406C">
        <w:rPr>
          <w:rFonts w:asciiTheme="majorHAnsi" w:hAnsiTheme="majorHAnsi"/>
          <w:szCs w:val="22"/>
          <w:lang w:val="lv-LV"/>
        </w:rPr>
        <w:t>Diskusijas gaitā izvirzītais priekšlikums par materialitātes principa ieviešanu nodokļu sistēmas administrēšanā no pieaicinātajiem ekspertiem neguva atbalstu</w:t>
      </w:r>
      <w:r w:rsidR="00CE0357" w:rsidRPr="0019406C">
        <w:rPr>
          <w:rFonts w:asciiTheme="majorHAnsi" w:hAnsiTheme="majorHAnsi"/>
          <w:szCs w:val="22"/>
          <w:lang w:val="lv-LV"/>
        </w:rPr>
        <w:t>.</w:t>
      </w:r>
    </w:p>
    <w:p w:rsidR="00CE0357" w:rsidRPr="0019406C" w:rsidRDefault="00285663" w:rsidP="00E521EE">
      <w:pPr>
        <w:pStyle w:val="BodyText"/>
        <w:numPr>
          <w:ilvl w:val="0"/>
          <w:numId w:val="70"/>
        </w:numPr>
        <w:spacing w:line="276" w:lineRule="auto"/>
        <w:ind w:left="709"/>
        <w:jc w:val="both"/>
        <w:rPr>
          <w:rFonts w:asciiTheme="majorHAnsi" w:hAnsiTheme="majorHAnsi"/>
          <w:szCs w:val="22"/>
          <w:lang w:val="lv-LV"/>
        </w:rPr>
      </w:pPr>
      <w:r w:rsidRPr="0019406C">
        <w:rPr>
          <w:rFonts w:asciiTheme="majorHAnsi" w:hAnsiTheme="majorHAnsi"/>
          <w:szCs w:val="22"/>
          <w:lang w:val="lv-LV"/>
        </w:rPr>
        <w:t>EDS sistēmā integrētas grāmatvedības sistēmas izveide neguva ekspertu atbalstu, jo kā norādīja VID pārstāvji - tas radītu papildu slogu valsts pārvaldei, uzturot grāmatvedības sistēmu un datus, kā arī prasītu lielas investīcijas sistēmas izveidē</w:t>
      </w:r>
      <w:r w:rsidR="00CE0357" w:rsidRPr="0019406C">
        <w:rPr>
          <w:rFonts w:asciiTheme="majorHAnsi" w:hAnsiTheme="majorHAnsi"/>
          <w:szCs w:val="22"/>
          <w:lang w:val="lv-LV"/>
        </w:rPr>
        <w:t>.</w:t>
      </w:r>
    </w:p>
    <w:p w:rsidR="007F6244" w:rsidRPr="0019406C" w:rsidRDefault="00285663" w:rsidP="00E521EE">
      <w:pPr>
        <w:pStyle w:val="BodyText"/>
        <w:numPr>
          <w:ilvl w:val="0"/>
          <w:numId w:val="70"/>
        </w:numPr>
        <w:spacing w:line="276" w:lineRule="auto"/>
        <w:ind w:left="709"/>
        <w:jc w:val="both"/>
        <w:rPr>
          <w:rFonts w:asciiTheme="majorHAnsi" w:hAnsiTheme="majorHAnsi"/>
          <w:b/>
          <w:sz w:val="22"/>
          <w:lang w:val="lv-LV"/>
        </w:rPr>
      </w:pPr>
      <w:r w:rsidRPr="0019406C">
        <w:rPr>
          <w:rFonts w:asciiTheme="majorHAnsi" w:hAnsiTheme="majorHAnsi"/>
          <w:szCs w:val="22"/>
          <w:lang w:val="lv-LV"/>
        </w:rPr>
        <w:t xml:space="preserve">Uzņēmumiem pieprasītās statistikas mazināšana, pēc CSB un VID sniegtās informācijas jau šobrīd tiek īstenota, tādēļ </w:t>
      </w:r>
      <w:r w:rsidR="00B916FF" w:rsidRPr="0019406C">
        <w:rPr>
          <w:rFonts w:asciiTheme="majorHAnsi" w:hAnsiTheme="majorHAnsi"/>
          <w:szCs w:val="22"/>
          <w:lang w:val="lv-LV"/>
        </w:rPr>
        <w:t>U</w:t>
      </w:r>
      <w:r w:rsidRPr="0019406C">
        <w:rPr>
          <w:rFonts w:asciiTheme="majorHAnsi" w:hAnsiTheme="majorHAnsi"/>
          <w:szCs w:val="22"/>
          <w:lang w:val="lv-LV"/>
        </w:rPr>
        <w:t>zņēmējdarbības vides uzlabošanas pasākumu plānā minētais ieteikums netiek virzīts. Tāpat EM pārstāvji norādīja, ka esot plānots veidot vienotu IKT risinājumu, kas atvieglotu atskaišu/pārskatu sniegšanu CSP un VID</w:t>
      </w:r>
      <w:r w:rsidR="00AB09DB" w:rsidRPr="0019406C">
        <w:rPr>
          <w:rFonts w:asciiTheme="majorHAnsi" w:hAnsiTheme="majorHAnsi"/>
          <w:szCs w:val="22"/>
          <w:lang w:val="lv-LV"/>
        </w:rPr>
        <w:t>.</w:t>
      </w:r>
    </w:p>
    <w:p w:rsidR="00AB09DB" w:rsidRPr="0019406C" w:rsidRDefault="00285663" w:rsidP="00E521EE">
      <w:pPr>
        <w:pStyle w:val="BodyText"/>
        <w:numPr>
          <w:ilvl w:val="0"/>
          <w:numId w:val="70"/>
        </w:numPr>
        <w:spacing w:line="276" w:lineRule="auto"/>
        <w:ind w:left="709"/>
        <w:jc w:val="both"/>
        <w:rPr>
          <w:rFonts w:asciiTheme="majorHAnsi" w:hAnsiTheme="majorHAnsi"/>
          <w:b/>
          <w:sz w:val="22"/>
          <w:lang w:val="lv-LV"/>
        </w:rPr>
      </w:pPr>
      <w:r w:rsidRPr="0019406C">
        <w:rPr>
          <w:rFonts w:asciiTheme="majorHAnsi" w:hAnsiTheme="majorHAnsi"/>
          <w:szCs w:val="22"/>
          <w:lang w:val="lv-LV"/>
        </w:rPr>
        <w:t xml:space="preserve">Informēšana par neiesniegtajām atskaitēm VID pēc VID sniegtās informācijas šobrīd notiek un līdz 2014. gada beigām ir paredzēti papildus sistēmas uzlabojumi, lai informētu uzņēmējus par nokavētajām atskaitēm un uzkrātajiem sodiem EDS sistēmā. Priekšlikumu </w:t>
      </w:r>
      <w:r w:rsidR="0072729F" w:rsidRPr="0019406C">
        <w:rPr>
          <w:rFonts w:asciiTheme="majorHAnsi" w:hAnsiTheme="majorHAnsi"/>
          <w:szCs w:val="22"/>
          <w:lang w:val="lv-LV"/>
        </w:rPr>
        <w:t>virzām</w:t>
      </w:r>
      <w:r w:rsidRPr="0019406C">
        <w:rPr>
          <w:rFonts w:asciiTheme="majorHAnsi" w:hAnsiTheme="majorHAnsi"/>
          <w:szCs w:val="22"/>
          <w:lang w:val="lv-LV"/>
        </w:rPr>
        <w:t xml:space="preserve"> tālāk </w:t>
      </w:r>
      <w:r w:rsidR="00B916FF" w:rsidRPr="0019406C">
        <w:rPr>
          <w:rFonts w:asciiTheme="majorHAnsi" w:hAnsiTheme="majorHAnsi"/>
          <w:szCs w:val="22"/>
          <w:lang w:val="lv-LV"/>
        </w:rPr>
        <w:t>U</w:t>
      </w:r>
      <w:r w:rsidRPr="0019406C">
        <w:rPr>
          <w:rFonts w:asciiTheme="majorHAnsi" w:hAnsiTheme="majorHAnsi"/>
          <w:szCs w:val="22"/>
          <w:lang w:val="lv-LV"/>
        </w:rPr>
        <w:t xml:space="preserve">zņēmējdarbības </w:t>
      </w:r>
      <w:r w:rsidR="00B916FF" w:rsidRPr="0019406C">
        <w:rPr>
          <w:rFonts w:asciiTheme="majorHAnsi" w:hAnsiTheme="majorHAnsi"/>
          <w:szCs w:val="22"/>
          <w:lang w:val="lv-LV"/>
        </w:rPr>
        <w:t xml:space="preserve">vides </w:t>
      </w:r>
      <w:r w:rsidRPr="0019406C">
        <w:rPr>
          <w:rFonts w:asciiTheme="majorHAnsi" w:hAnsiTheme="majorHAnsi"/>
          <w:szCs w:val="22"/>
          <w:lang w:val="lv-LV"/>
        </w:rPr>
        <w:t>uzlabošanas pasākumu plānam, jo papildus brīdinājumiem EDS sistēmā būtu nepieciešams uzņēmējus brīdināt par kavējumiem uz to kontaktinformācijā norādīto telefona numuru vai e-pasta adresi</w:t>
      </w:r>
      <w:r w:rsidR="00AB09DB" w:rsidRPr="0019406C">
        <w:rPr>
          <w:rFonts w:asciiTheme="majorHAnsi" w:hAnsiTheme="majorHAnsi"/>
          <w:szCs w:val="22"/>
          <w:lang w:val="lv-LV"/>
        </w:rPr>
        <w:t>.</w:t>
      </w:r>
    </w:p>
    <w:p w:rsidR="002A2698" w:rsidRPr="0019406C" w:rsidRDefault="002A2698" w:rsidP="002A2698">
      <w:pPr>
        <w:pStyle w:val="BodyText"/>
        <w:spacing w:after="0" w:line="276" w:lineRule="auto"/>
        <w:jc w:val="both"/>
        <w:rPr>
          <w:rFonts w:asciiTheme="majorHAnsi" w:hAnsiTheme="majorHAnsi"/>
          <w:lang w:val="lv-LV"/>
        </w:rPr>
      </w:pPr>
    </w:p>
    <w:p w:rsidR="0029580E" w:rsidRPr="0019406C" w:rsidRDefault="0029580E" w:rsidP="0029580E">
      <w:pPr>
        <w:pStyle w:val="Heading2"/>
        <w:rPr>
          <w:lang w:val="lv-LV"/>
        </w:rPr>
      </w:pPr>
      <w:bookmarkStart w:id="85" w:name="_Toc389226083"/>
      <w:r w:rsidRPr="0019406C">
        <w:rPr>
          <w:lang w:val="lv-LV"/>
        </w:rPr>
        <w:t>Investoru aizsardzība</w:t>
      </w:r>
      <w:bookmarkEnd w:id="75"/>
      <w:bookmarkEnd w:id="76"/>
      <w:bookmarkEnd w:id="85"/>
    </w:p>
    <w:p w:rsidR="0029580E" w:rsidRPr="0019406C" w:rsidRDefault="0029580E" w:rsidP="0029580E">
      <w:pPr>
        <w:pStyle w:val="BodyText"/>
        <w:rPr>
          <w:rFonts w:asciiTheme="majorHAnsi" w:hAnsiTheme="majorHAnsi"/>
          <w:lang w:val="lv-LV"/>
        </w:rPr>
      </w:pPr>
    </w:p>
    <w:p w:rsidR="005A643D" w:rsidRPr="0019406C" w:rsidRDefault="005A643D" w:rsidP="005A643D">
      <w:pPr>
        <w:pStyle w:val="BodyText"/>
        <w:rPr>
          <w:rFonts w:asciiTheme="majorHAnsi" w:hAnsiTheme="majorHAnsi"/>
          <w:b/>
          <w:sz w:val="22"/>
          <w:lang w:val="lv-LV"/>
        </w:rPr>
      </w:pPr>
      <w:r w:rsidRPr="0019406C">
        <w:rPr>
          <w:rFonts w:asciiTheme="majorHAnsi" w:hAnsiTheme="majorHAnsi"/>
          <w:b/>
          <w:sz w:val="22"/>
          <w:lang w:val="lv-LV"/>
        </w:rPr>
        <w:t>Uzņēmēju aptauja</w:t>
      </w:r>
    </w:p>
    <w:p w:rsidR="005A643D" w:rsidRPr="0019406C" w:rsidRDefault="005A643D" w:rsidP="005A643D">
      <w:pPr>
        <w:pStyle w:val="BodyText"/>
        <w:spacing w:line="276" w:lineRule="auto"/>
        <w:rPr>
          <w:rFonts w:asciiTheme="majorHAnsi" w:hAnsiTheme="majorHAnsi"/>
          <w:lang w:val="lv-LV"/>
        </w:rPr>
      </w:pPr>
      <w:r w:rsidRPr="0019406C">
        <w:rPr>
          <w:rFonts w:asciiTheme="majorHAnsi" w:hAnsiTheme="majorHAnsi"/>
          <w:lang w:val="lv-LV"/>
        </w:rPr>
        <w:t xml:space="preserve">Aptaujā nav iekļauti jautājumi par investoru aizsardzības tēmu, jo lielāko respondentu daļu – 74% veido </w:t>
      </w:r>
      <w:proofErr w:type="spellStart"/>
      <w:r w:rsidRPr="0019406C">
        <w:rPr>
          <w:rFonts w:asciiTheme="majorHAnsi" w:hAnsiTheme="majorHAnsi"/>
          <w:lang w:val="lv-LV"/>
        </w:rPr>
        <w:t>mikrouzņēmumi</w:t>
      </w:r>
      <w:proofErr w:type="spellEnd"/>
      <w:r w:rsidRPr="0019406C">
        <w:rPr>
          <w:rFonts w:asciiTheme="majorHAnsi" w:hAnsiTheme="majorHAnsi"/>
          <w:lang w:val="lv-LV"/>
        </w:rPr>
        <w:t xml:space="preserve"> (87</w:t>
      </w:r>
      <w:r w:rsidR="00410806" w:rsidRPr="0019406C">
        <w:rPr>
          <w:rFonts w:asciiTheme="majorHAnsi" w:hAnsiTheme="majorHAnsi"/>
          <w:lang w:val="lv-LV"/>
        </w:rPr>
        <w:t>,</w:t>
      </w:r>
      <w:r w:rsidRPr="0019406C">
        <w:rPr>
          <w:rFonts w:asciiTheme="majorHAnsi" w:hAnsiTheme="majorHAnsi"/>
          <w:lang w:val="lv-LV"/>
        </w:rPr>
        <w:t>2% pēc datu svēršanas, atbilstoši statistikai), kas paši nav investori.</w:t>
      </w:r>
    </w:p>
    <w:p w:rsidR="00596204" w:rsidRPr="0019406C" w:rsidRDefault="00596204" w:rsidP="00596204">
      <w:pPr>
        <w:pStyle w:val="BodyText"/>
        <w:rPr>
          <w:rFonts w:asciiTheme="majorHAnsi" w:hAnsiTheme="majorHAnsi"/>
          <w:b/>
          <w:sz w:val="22"/>
          <w:lang w:val="lv-LV"/>
        </w:rPr>
      </w:pPr>
      <w:r w:rsidRPr="0019406C">
        <w:rPr>
          <w:rFonts w:asciiTheme="majorHAnsi" w:hAnsiTheme="majorHAnsi"/>
          <w:b/>
          <w:sz w:val="22"/>
          <w:lang w:val="lv-LV"/>
        </w:rPr>
        <w:t>Doing Business pētījums</w:t>
      </w:r>
    </w:p>
    <w:p w:rsidR="00596204" w:rsidRPr="0019406C" w:rsidRDefault="00596204" w:rsidP="006B022F">
      <w:pPr>
        <w:pStyle w:val="BodyText"/>
        <w:spacing w:line="276" w:lineRule="auto"/>
        <w:jc w:val="both"/>
        <w:rPr>
          <w:rFonts w:asciiTheme="majorHAnsi" w:hAnsiTheme="majorHAnsi"/>
          <w:lang w:val="lv-LV"/>
        </w:rPr>
      </w:pPr>
      <w:r w:rsidRPr="0019406C">
        <w:rPr>
          <w:rFonts w:asciiTheme="majorHAnsi" w:hAnsiTheme="majorHAnsi"/>
          <w:lang w:val="lv-LV"/>
        </w:rPr>
        <w:lastRenderedPageBreak/>
        <w:t xml:space="preserve">Pēc DB reitinga rezultātiem Latvija </w:t>
      </w:r>
      <w:r w:rsidR="00B401CC" w:rsidRPr="0019406C">
        <w:rPr>
          <w:rFonts w:asciiTheme="majorHAnsi" w:hAnsiTheme="majorHAnsi"/>
          <w:lang w:val="lv-LV"/>
        </w:rPr>
        <w:t>kopš 2006.</w:t>
      </w:r>
      <w:r w:rsidR="00410806" w:rsidRPr="0019406C">
        <w:rPr>
          <w:rFonts w:asciiTheme="majorHAnsi" w:hAnsiTheme="majorHAnsi"/>
          <w:lang w:val="lv-LV"/>
        </w:rPr>
        <w:t xml:space="preserve"> </w:t>
      </w:r>
      <w:r w:rsidR="00B401CC" w:rsidRPr="0019406C">
        <w:rPr>
          <w:rFonts w:asciiTheme="majorHAnsi" w:hAnsiTheme="majorHAnsi"/>
          <w:lang w:val="lv-LV"/>
        </w:rPr>
        <w:t xml:space="preserve">gada </w:t>
      </w:r>
      <w:r w:rsidRPr="0019406C">
        <w:rPr>
          <w:rFonts w:asciiTheme="majorHAnsi" w:hAnsiTheme="majorHAnsi"/>
          <w:lang w:val="lv-LV"/>
        </w:rPr>
        <w:t xml:space="preserve">nav veikusi </w:t>
      </w:r>
      <w:r w:rsidR="00B401CC" w:rsidRPr="0019406C">
        <w:rPr>
          <w:rFonts w:asciiTheme="majorHAnsi" w:hAnsiTheme="majorHAnsi"/>
          <w:lang w:val="lv-LV"/>
        </w:rPr>
        <w:t xml:space="preserve">nekādas </w:t>
      </w:r>
      <w:r w:rsidRPr="0019406C">
        <w:rPr>
          <w:rFonts w:asciiTheme="majorHAnsi" w:hAnsiTheme="majorHAnsi"/>
          <w:lang w:val="lv-LV"/>
        </w:rPr>
        <w:t xml:space="preserve">reformas, </w:t>
      </w:r>
      <w:r w:rsidR="00B401CC" w:rsidRPr="0019406C">
        <w:rPr>
          <w:rFonts w:asciiTheme="majorHAnsi" w:hAnsiTheme="majorHAnsi"/>
          <w:lang w:val="lv-LV"/>
        </w:rPr>
        <w:t xml:space="preserve">kas varētu ietekmēt </w:t>
      </w:r>
      <w:r w:rsidRPr="0019406C">
        <w:rPr>
          <w:rFonts w:asciiTheme="majorHAnsi" w:hAnsiTheme="majorHAnsi"/>
          <w:lang w:val="lv-LV"/>
        </w:rPr>
        <w:t>reitingu investoru aizsardzīb</w:t>
      </w:r>
      <w:r w:rsidR="006D7EB0" w:rsidRPr="0019406C">
        <w:rPr>
          <w:rFonts w:asciiTheme="majorHAnsi" w:hAnsiTheme="majorHAnsi"/>
          <w:lang w:val="lv-LV"/>
        </w:rPr>
        <w:t>as</w:t>
      </w:r>
      <w:r w:rsidRPr="0019406C">
        <w:rPr>
          <w:rFonts w:asciiTheme="majorHAnsi" w:hAnsiTheme="majorHAnsi"/>
          <w:lang w:val="lv-LV"/>
        </w:rPr>
        <w:t xml:space="preserve"> </w:t>
      </w:r>
      <w:r w:rsidR="006D7EB0" w:rsidRPr="0019406C">
        <w:rPr>
          <w:rFonts w:asciiTheme="majorHAnsi" w:hAnsiTheme="majorHAnsi"/>
          <w:lang w:val="lv-LV"/>
        </w:rPr>
        <w:t>jomā</w:t>
      </w:r>
      <w:r w:rsidRPr="0019406C">
        <w:rPr>
          <w:rFonts w:asciiTheme="majorHAnsi" w:hAnsiTheme="majorHAnsi"/>
          <w:lang w:val="lv-LV"/>
        </w:rPr>
        <w:t xml:space="preserve">. Latvija ar pārējām Baltijas valstīm atrodas vienā līmenī un gada laikā reitingā ir zaudējusi </w:t>
      </w:r>
      <w:r w:rsidR="006D7EB0" w:rsidRPr="0019406C">
        <w:rPr>
          <w:rFonts w:asciiTheme="majorHAnsi" w:hAnsiTheme="majorHAnsi"/>
          <w:lang w:val="lv-LV"/>
        </w:rPr>
        <w:t xml:space="preserve">vienu </w:t>
      </w:r>
      <w:r w:rsidRPr="0019406C">
        <w:rPr>
          <w:rFonts w:asciiTheme="majorHAnsi" w:hAnsiTheme="majorHAnsi"/>
          <w:lang w:val="lv-LV"/>
        </w:rPr>
        <w:t xml:space="preserve">pozīciju. Kā pozitīvu piemēru var minēt Turciju, </w:t>
      </w:r>
      <w:r w:rsidR="00B401CC" w:rsidRPr="0019406C">
        <w:rPr>
          <w:rFonts w:asciiTheme="majorHAnsi" w:hAnsiTheme="majorHAnsi"/>
          <w:lang w:val="lv-LV"/>
        </w:rPr>
        <w:t>kas 2013.</w:t>
      </w:r>
      <w:r w:rsidR="00410806" w:rsidRPr="0019406C">
        <w:rPr>
          <w:rFonts w:asciiTheme="majorHAnsi" w:hAnsiTheme="majorHAnsi"/>
          <w:lang w:val="lv-LV"/>
        </w:rPr>
        <w:t xml:space="preserve"> </w:t>
      </w:r>
      <w:r w:rsidR="00B401CC" w:rsidRPr="0019406C">
        <w:rPr>
          <w:rFonts w:asciiTheme="majorHAnsi" w:hAnsiTheme="majorHAnsi"/>
          <w:lang w:val="lv-LV"/>
        </w:rPr>
        <w:t xml:space="preserve">gadā atradās tādā pašā reitinga pozīcijā kā Latvija. Turcija ir </w:t>
      </w:r>
      <w:r w:rsidRPr="0019406C">
        <w:rPr>
          <w:rFonts w:asciiTheme="majorHAnsi" w:hAnsiTheme="majorHAnsi"/>
          <w:lang w:val="lv-LV"/>
        </w:rPr>
        <w:t xml:space="preserve">ieviesusi stingrus noteikumus par uzņēmumu direktoru atbildību, ja tiek </w:t>
      </w:r>
      <w:r w:rsidR="00291163" w:rsidRPr="0019406C">
        <w:rPr>
          <w:rFonts w:asciiTheme="majorHAnsi" w:hAnsiTheme="majorHAnsi"/>
          <w:lang w:val="lv-LV"/>
        </w:rPr>
        <w:t xml:space="preserve">ļaunprātīgi </w:t>
      </w:r>
      <w:r w:rsidRPr="0019406C">
        <w:rPr>
          <w:rFonts w:asciiTheme="majorHAnsi" w:hAnsiTheme="majorHAnsi"/>
          <w:lang w:val="lv-LV"/>
        </w:rPr>
        <w:t>samazināta uzņēmumu peļņa, izmantojot saistītos uzņēmumus.</w:t>
      </w:r>
    </w:p>
    <w:p w:rsidR="00596204" w:rsidRPr="0019406C" w:rsidRDefault="00596204" w:rsidP="00596204">
      <w:pPr>
        <w:pStyle w:val="Caption"/>
        <w:keepNext/>
        <w:rPr>
          <w:rFonts w:asciiTheme="majorHAnsi" w:hAnsiTheme="majorHAnsi"/>
          <w:sz w:val="16"/>
          <w:lang w:val="lv-LV"/>
        </w:rPr>
      </w:pPr>
      <w:bookmarkStart w:id="86" w:name="_Toc381343980"/>
      <w:bookmarkStart w:id="87" w:name="_Toc381717289"/>
      <w:bookmarkStart w:id="88" w:name="_Toc389225089"/>
      <w:r w:rsidRPr="0019406C">
        <w:rPr>
          <w:rFonts w:asciiTheme="majorHAnsi" w:hAnsiTheme="majorHAnsi"/>
          <w:sz w:val="16"/>
          <w:lang w:val="lv-LV"/>
        </w:rPr>
        <w:t xml:space="preserve">Tabula </w:t>
      </w:r>
      <w:r w:rsidRPr="0019406C">
        <w:rPr>
          <w:rFonts w:asciiTheme="majorHAnsi" w:hAnsiTheme="majorHAnsi"/>
          <w:sz w:val="16"/>
          <w:lang w:val="lv-LV"/>
        </w:rPr>
        <w:fldChar w:fldCharType="begin"/>
      </w:r>
      <w:r w:rsidRPr="0019406C">
        <w:rPr>
          <w:rFonts w:asciiTheme="majorHAnsi" w:hAnsiTheme="majorHAnsi"/>
          <w:sz w:val="16"/>
          <w:lang w:val="lv-LV"/>
        </w:rPr>
        <w:instrText xml:space="preserve"> SEQ Tabula \* ARABIC </w:instrText>
      </w:r>
      <w:r w:rsidRPr="0019406C">
        <w:rPr>
          <w:rFonts w:asciiTheme="majorHAnsi" w:hAnsiTheme="majorHAnsi"/>
          <w:sz w:val="16"/>
          <w:lang w:val="lv-LV"/>
        </w:rPr>
        <w:fldChar w:fldCharType="separate"/>
      </w:r>
      <w:r w:rsidR="00410806" w:rsidRPr="0019406C">
        <w:rPr>
          <w:rFonts w:asciiTheme="majorHAnsi" w:hAnsiTheme="majorHAnsi"/>
          <w:noProof/>
          <w:sz w:val="16"/>
          <w:lang w:val="lv-LV"/>
        </w:rPr>
        <w:t>15</w:t>
      </w:r>
      <w:r w:rsidRPr="0019406C">
        <w:rPr>
          <w:rFonts w:asciiTheme="majorHAnsi" w:hAnsiTheme="majorHAnsi"/>
          <w:sz w:val="16"/>
          <w:lang w:val="lv-LV"/>
        </w:rPr>
        <w:fldChar w:fldCharType="end"/>
      </w:r>
      <w:r w:rsidRPr="0019406C">
        <w:rPr>
          <w:rFonts w:asciiTheme="majorHAnsi" w:hAnsiTheme="majorHAnsi"/>
          <w:sz w:val="16"/>
          <w:lang w:val="lv-LV"/>
        </w:rPr>
        <w:t xml:space="preserve"> “</w:t>
      </w:r>
      <w:proofErr w:type="spellStart"/>
      <w:r w:rsidRPr="0019406C">
        <w:rPr>
          <w:rFonts w:asciiTheme="majorHAnsi" w:hAnsiTheme="majorHAnsi"/>
          <w:sz w:val="16"/>
          <w:lang w:val="lv-LV"/>
        </w:rPr>
        <w:t>Protecting</w:t>
      </w:r>
      <w:proofErr w:type="spellEnd"/>
      <w:r w:rsidRPr="0019406C">
        <w:rPr>
          <w:rFonts w:asciiTheme="majorHAnsi" w:hAnsiTheme="majorHAnsi"/>
          <w:sz w:val="16"/>
          <w:lang w:val="lv-LV"/>
        </w:rPr>
        <w:t xml:space="preserve"> Investors”, investoru aizsardzības indekss</w:t>
      </w:r>
      <w:bookmarkEnd w:id="86"/>
      <w:bookmarkEnd w:id="87"/>
      <w:bookmarkEnd w:id="88"/>
    </w:p>
    <w:tbl>
      <w:tblPr>
        <w:tblStyle w:val="LightList-Accent11"/>
        <w:tblW w:w="5000" w:type="pct"/>
        <w:tblLook w:val="00A0" w:firstRow="1" w:lastRow="0" w:firstColumn="1" w:lastColumn="0" w:noHBand="0" w:noVBand="0"/>
      </w:tblPr>
      <w:tblGrid>
        <w:gridCol w:w="1421"/>
        <w:gridCol w:w="998"/>
        <w:gridCol w:w="1141"/>
        <w:gridCol w:w="1284"/>
        <w:gridCol w:w="5236"/>
      </w:tblGrid>
      <w:tr w:rsidR="00596204" w:rsidRPr="0019406C" w:rsidTr="007B5F8A">
        <w:trPr>
          <w:cnfStyle w:val="100000000000" w:firstRow="1" w:lastRow="0" w:firstColumn="0" w:lastColumn="0" w:oddVBand="0" w:evenVBand="0" w:oddHBand="0" w:evenHBand="0" w:firstRowFirstColumn="0" w:firstRowLastColumn="0" w:lastRowFirstColumn="0" w:lastRowLastColumn="0"/>
          <w:trHeight w:val="190"/>
          <w:tblHeader/>
        </w:trPr>
        <w:tc>
          <w:tcPr>
            <w:cnfStyle w:val="001000000000" w:firstRow="0" w:lastRow="0" w:firstColumn="1" w:lastColumn="0" w:oddVBand="0" w:evenVBand="0" w:oddHBand="0" w:evenHBand="0" w:firstRowFirstColumn="0" w:firstRowLastColumn="0" w:lastRowFirstColumn="0" w:lastRowLastColumn="0"/>
            <w:tcW w:w="705" w:type="pct"/>
            <w:vAlign w:val="center"/>
          </w:tcPr>
          <w:p w:rsidR="00596204" w:rsidRPr="0019406C" w:rsidRDefault="00596204" w:rsidP="00F94A66">
            <w:pPr>
              <w:rPr>
                <w:rFonts w:asciiTheme="majorHAnsi" w:eastAsia="Cambria" w:hAnsiTheme="majorHAnsi" w:cs="Times New Roman"/>
                <w:lang w:val="lv-LV"/>
              </w:rPr>
            </w:pPr>
            <w:r w:rsidRPr="0019406C">
              <w:rPr>
                <w:rFonts w:asciiTheme="majorHAnsi" w:eastAsia="Cambria" w:hAnsiTheme="majorHAnsi" w:cs="Times New Roman"/>
                <w:lang w:val="lv-LV"/>
              </w:rPr>
              <w:t>Valsts</w:t>
            </w:r>
          </w:p>
        </w:tc>
        <w:tc>
          <w:tcPr>
            <w:cnfStyle w:val="000010000000" w:firstRow="0" w:lastRow="0" w:firstColumn="0" w:lastColumn="0" w:oddVBand="1" w:evenVBand="0" w:oddHBand="0" w:evenHBand="0" w:firstRowFirstColumn="0" w:firstRowLastColumn="0" w:lastRowFirstColumn="0" w:lastRowLastColumn="0"/>
            <w:tcW w:w="495" w:type="pct"/>
            <w:vAlign w:val="center"/>
          </w:tcPr>
          <w:p w:rsidR="00596204" w:rsidRPr="0019406C" w:rsidRDefault="00596204" w:rsidP="00F94A66">
            <w:pPr>
              <w:jc w:val="center"/>
              <w:rPr>
                <w:rFonts w:asciiTheme="majorHAnsi" w:eastAsia="Cambria" w:hAnsiTheme="majorHAnsi" w:cs="Times New Roman"/>
                <w:lang w:val="lv-LV"/>
              </w:rPr>
            </w:pPr>
            <w:r w:rsidRPr="0019406C">
              <w:rPr>
                <w:rFonts w:asciiTheme="majorHAnsi" w:eastAsia="Cambria" w:hAnsiTheme="majorHAnsi" w:cs="Times New Roman"/>
                <w:lang w:val="lv-LV"/>
              </w:rPr>
              <w:t>2013</w:t>
            </w:r>
          </w:p>
        </w:tc>
        <w:tc>
          <w:tcPr>
            <w:tcW w:w="566" w:type="pct"/>
            <w:vAlign w:val="center"/>
          </w:tcPr>
          <w:p w:rsidR="00596204" w:rsidRPr="0019406C" w:rsidRDefault="00596204" w:rsidP="00F94A66">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2014</w:t>
            </w:r>
          </w:p>
        </w:tc>
        <w:tc>
          <w:tcPr>
            <w:cnfStyle w:val="000010000000" w:firstRow="0" w:lastRow="0" w:firstColumn="0" w:lastColumn="0" w:oddVBand="1" w:evenVBand="0" w:oddHBand="0" w:evenHBand="0" w:firstRowFirstColumn="0" w:firstRowLastColumn="0" w:lastRowFirstColumn="0" w:lastRowLastColumn="0"/>
            <w:tcW w:w="637" w:type="pct"/>
            <w:vAlign w:val="center"/>
          </w:tcPr>
          <w:p w:rsidR="00596204" w:rsidRPr="0019406C" w:rsidRDefault="00596204" w:rsidP="00F94A66">
            <w:pPr>
              <w:jc w:val="center"/>
              <w:rPr>
                <w:rFonts w:asciiTheme="majorHAnsi" w:eastAsia="Cambria" w:hAnsiTheme="majorHAnsi" w:cs="Times New Roman"/>
                <w:lang w:val="lv-LV"/>
              </w:rPr>
            </w:pPr>
            <w:r w:rsidRPr="0019406C">
              <w:rPr>
                <w:rFonts w:asciiTheme="majorHAnsi" w:eastAsia="Cambria" w:hAnsiTheme="majorHAnsi" w:cs="Times New Roman"/>
                <w:lang w:val="lv-LV"/>
              </w:rPr>
              <w:t>Izmaiņas</w:t>
            </w:r>
          </w:p>
        </w:tc>
        <w:tc>
          <w:tcPr>
            <w:tcW w:w="2597" w:type="pct"/>
          </w:tcPr>
          <w:p w:rsidR="00596204" w:rsidRPr="0019406C" w:rsidRDefault="00A4401C" w:rsidP="00A4401C">
            <w:pP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Veiktās reformas</w:t>
            </w:r>
          </w:p>
        </w:tc>
      </w:tr>
      <w:tr w:rsidR="00596204" w:rsidRPr="0019406C" w:rsidTr="00F94A66">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05" w:type="pct"/>
            <w:vAlign w:val="center"/>
          </w:tcPr>
          <w:p w:rsidR="00596204" w:rsidRPr="0019406C" w:rsidRDefault="00596204" w:rsidP="00F94A66">
            <w:pPr>
              <w:rPr>
                <w:rFonts w:asciiTheme="majorHAnsi" w:hAnsiTheme="majorHAnsi"/>
                <w:b w:val="0"/>
                <w:lang w:val="lv-LV"/>
              </w:rPr>
            </w:pPr>
            <w:r w:rsidRPr="0019406C">
              <w:rPr>
                <w:rFonts w:asciiTheme="majorHAnsi" w:hAnsiTheme="majorHAnsi"/>
                <w:b w:val="0"/>
                <w:lang w:val="lv-LV"/>
              </w:rPr>
              <w:t>Lielbritānija</w:t>
            </w:r>
          </w:p>
        </w:tc>
        <w:tc>
          <w:tcPr>
            <w:cnfStyle w:val="000010000000" w:firstRow="0" w:lastRow="0" w:firstColumn="0" w:lastColumn="0" w:oddVBand="1" w:evenVBand="0" w:oddHBand="0" w:evenHBand="0" w:firstRowFirstColumn="0" w:firstRowLastColumn="0" w:lastRowFirstColumn="0" w:lastRowLastColumn="0"/>
            <w:tcW w:w="495" w:type="pct"/>
            <w:vAlign w:val="center"/>
          </w:tcPr>
          <w:p w:rsidR="00596204" w:rsidRPr="0019406C" w:rsidRDefault="00596204" w:rsidP="00F94A66">
            <w:pPr>
              <w:jc w:val="center"/>
              <w:rPr>
                <w:rFonts w:asciiTheme="majorHAnsi" w:eastAsia="Cambria" w:hAnsiTheme="majorHAnsi" w:cs="Times New Roman"/>
                <w:lang w:val="lv-LV"/>
              </w:rPr>
            </w:pPr>
            <w:r w:rsidRPr="0019406C">
              <w:rPr>
                <w:rFonts w:asciiTheme="majorHAnsi" w:eastAsia="Cambria" w:hAnsiTheme="majorHAnsi" w:cs="Times New Roman"/>
                <w:lang w:val="lv-LV"/>
              </w:rPr>
              <w:t>10</w:t>
            </w:r>
          </w:p>
        </w:tc>
        <w:tc>
          <w:tcPr>
            <w:tcW w:w="566" w:type="pct"/>
            <w:vAlign w:val="center"/>
          </w:tcPr>
          <w:p w:rsidR="00596204" w:rsidRPr="0019406C" w:rsidRDefault="00596204" w:rsidP="00F94A66">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10</w:t>
            </w:r>
          </w:p>
        </w:tc>
        <w:tc>
          <w:tcPr>
            <w:cnfStyle w:val="000010000000" w:firstRow="0" w:lastRow="0" w:firstColumn="0" w:lastColumn="0" w:oddVBand="1" w:evenVBand="0" w:oddHBand="0" w:evenHBand="0" w:firstRowFirstColumn="0" w:firstRowLastColumn="0" w:lastRowFirstColumn="0" w:lastRowLastColumn="0"/>
            <w:tcW w:w="637" w:type="pct"/>
            <w:vAlign w:val="center"/>
          </w:tcPr>
          <w:p w:rsidR="00596204" w:rsidRPr="0019406C" w:rsidRDefault="00596204" w:rsidP="00F94A66">
            <w:pPr>
              <w:jc w:val="center"/>
              <w:rPr>
                <w:rFonts w:asciiTheme="majorHAnsi" w:eastAsia="Cambria" w:hAnsiTheme="majorHAnsi" w:cs="Times New Roman"/>
                <w:b/>
                <w:lang w:val="lv-LV"/>
              </w:rPr>
            </w:pPr>
            <w:r w:rsidRPr="0019406C">
              <w:rPr>
                <w:rFonts w:asciiTheme="majorHAnsi" w:eastAsia="Cambria" w:hAnsiTheme="majorHAnsi" w:cs="Times New Roman"/>
                <w:b/>
                <w:lang w:val="lv-LV"/>
              </w:rPr>
              <w:t>-</w:t>
            </w:r>
          </w:p>
        </w:tc>
        <w:tc>
          <w:tcPr>
            <w:tcW w:w="2597" w:type="pct"/>
          </w:tcPr>
          <w:p w:rsidR="00596204" w:rsidRPr="0019406C" w:rsidRDefault="00596204" w:rsidP="00F94A66">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596204" w:rsidRPr="0019406C" w:rsidTr="00F94A66">
        <w:trPr>
          <w:trHeight w:val="264"/>
        </w:trPr>
        <w:tc>
          <w:tcPr>
            <w:cnfStyle w:val="001000000000" w:firstRow="0" w:lastRow="0" w:firstColumn="1" w:lastColumn="0" w:oddVBand="0" w:evenVBand="0" w:oddHBand="0" w:evenHBand="0" w:firstRowFirstColumn="0" w:firstRowLastColumn="0" w:lastRowFirstColumn="0" w:lastRowLastColumn="0"/>
            <w:tcW w:w="705" w:type="pct"/>
            <w:vAlign w:val="center"/>
          </w:tcPr>
          <w:p w:rsidR="00596204" w:rsidRPr="0019406C" w:rsidRDefault="00596204" w:rsidP="00F94A66">
            <w:pPr>
              <w:rPr>
                <w:rFonts w:asciiTheme="majorHAnsi" w:hAnsiTheme="majorHAnsi"/>
                <w:b w:val="0"/>
                <w:lang w:val="lv-LV"/>
              </w:rPr>
            </w:pPr>
            <w:r w:rsidRPr="0019406C">
              <w:rPr>
                <w:rFonts w:asciiTheme="majorHAnsi" w:hAnsiTheme="majorHAnsi"/>
                <w:b w:val="0"/>
                <w:lang w:val="lv-LV"/>
              </w:rPr>
              <w:t>Zviedrija</w:t>
            </w:r>
          </w:p>
        </w:tc>
        <w:tc>
          <w:tcPr>
            <w:cnfStyle w:val="000010000000" w:firstRow="0" w:lastRow="0" w:firstColumn="0" w:lastColumn="0" w:oddVBand="1" w:evenVBand="0" w:oddHBand="0" w:evenHBand="0" w:firstRowFirstColumn="0" w:firstRowLastColumn="0" w:lastRowFirstColumn="0" w:lastRowLastColumn="0"/>
            <w:tcW w:w="495" w:type="pct"/>
            <w:vAlign w:val="center"/>
          </w:tcPr>
          <w:p w:rsidR="00596204" w:rsidRPr="0019406C" w:rsidRDefault="00596204" w:rsidP="00F94A66">
            <w:pPr>
              <w:jc w:val="center"/>
              <w:rPr>
                <w:rFonts w:asciiTheme="majorHAnsi" w:eastAsia="Cambria" w:hAnsiTheme="majorHAnsi" w:cs="Times New Roman"/>
                <w:lang w:val="lv-LV"/>
              </w:rPr>
            </w:pPr>
            <w:r w:rsidRPr="0019406C">
              <w:rPr>
                <w:rFonts w:asciiTheme="majorHAnsi" w:eastAsia="Cambria" w:hAnsiTheme="majorHAnsi" w:cs="Times New Roman"/>
                <w:lang w:val="lv-LV"/>
              </w:rPr>
              <w:t>32</w:t>
            </w:r>
          </w:p>
        </w:tc>
        <w:tc>
          <w:tcPr>
            <w:tcW w:w="566" w:type="pct"/>
            <w:vAlign w:val="center"/>
          </w:tcPr>
          <w:p w:rsidR="00596204" w:rsidRPr="0019406C" w:rsidRDefault="00596204" w:rsidP="00F94A66">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34</w:t>
            </w:r>
          </w:p>
        </w:tc>
        <w:tc>
          <w:tcPr>
            <w:cnfStyle w:val="000010000000" w:firstRow="0" w:lastRow="0" w:firstColumn="0" w:lastColumn="0" w:oddVBand="1" w:evenVBand="0" w:oddHBand="0" w:evenHBand="0" w:firstRowFirstColumn="0" w:firstRowLastColumn="0" w:lastRowFirstColumn="0" w:lastRowLastColumn="0"/>
            <w:tcW w:w="637" w:type="pct"/>
            <w:vAlign w:val="center"/>
          </w:tcPr>
          <w:p w:rsidR="00596204" w:rsidRPr="0019406C" w:rsidRDefault="00596204" w:rsidP="00F94A66">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-2</w:t>
            </w:r>
          </w:p>
        </w:tc>
        <w:tc>
          <w:tcPr>
            <w:tcW w:w="2597" w:type="pct"/>
          </w:tcPr>
          <w:p w:rsidR="00596204" w:rsidRPr="0019406C" w:rsidRDefault="00596204" w:rsidP="00F94A66">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596204" w:rsidRPr="00BB0049" w:rsidTr="00F94A66">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05" w:type="pct"/>
            <w:vAlign w:val="center"/>
          </w:tcPr>
          <w:p w:rsidR="00596204" w:rsidRPr="0019406C" w:rsidRDefault="00596204" w:rsidP="00F94A66">
            <w:pPr>
              <w:rPr>
                <w:rFonts w:asciiTheme="majorHAnsi" w:hAnsiTheme="majorHAnsi"/>
                <w:b w:val="0"/>
                <w:lang w:val="lv-LV"/>
              </w:rPr>
            </w:pPr>
            <w:r w:rsidRPr="0019406C">
              <w:rPr>
                <w:rFonts w:asciiTheme="majorHAnsi" w:hAnsiTheme="majorHAnsi"/>
                <w:b w:val="0"/>
                <w:lang w:val="lv-LV"/>
              </w:rPr>
              <w:t>Turcija</w:t>
            </w:r>
          </w:p>
        </w:tc>
        <w:tc>
          <w:tcPr>
            <w:cnfStyle w:val="000010000000" w:firstRow="0" w:lastRow="0" w:firstColumn="0" w:lastColumn="0" w:oddVBand="1" w:evenVBand="0" w:oddHBand="0" w:evenHBand="0" w:firstRowFirstColumn="0" w:firstRowLastColumn="0" w:lastRowFirstColumn="0" w:lastRowLastColumn="0"/>
            <w:tcW w:w="495" w:type="pct"/>
            <w:vAlign w:val="center"/>
          </w:tcPr>
          <w:p w:rsidR="00596204" w:rsidRPr="0019406C" w:rsidRDefault="00596204" w:rsidP="00F94A66">
            <w:pPr>
              <w:jc w:val="center"/>
              <w:rPr>
                <w:rFonts w:asciiTheme="majorHAnsi" w:eastAsia="Cambria" w:hAnsiTheme="majorHAnsi" w:cs="Times New Roman"/>
                <w:lang w:val="lv-LV"/>
              </w:rPr>
            </w:pPr>
            <w:r w:rsidRPr="0019406C">
              <w:rPr>
                <w:rFonts w:asciiTheme="majorHAnsi" w:eastAsia="Cambria" w:hAnsiTheme="majorHAnsi" w:cs="Times New Roman"/>
                <w:lang w:val="lv-LV"/>
              </w:rPr>
              <w:t>67</w:t>
            </w:r>
          </w:p>
        </w:tc>
        <w:tc>
          <w:tcPr>
            <w:tcW w:w="566" w:type="pct"/>
            <w:vAlign w:val="center"/>
          </w:tcPr>
          <w:p w:rsidR="00596204" w:rsidRPr="0019406C" w:rsidRDefault="00596204" w:rsidP="00F94A66">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34</w:t>
            </w:r>
          </w:p>
        </w:tc>
        <w:tc>
          <w:tcPr>
            <w:cnfStyle w:val="000010000000" w:firstRow="0" w:lastRow="0" w:firstColumn="0" w:lastColumn="0" w:oddVBand="1" w:evenVBand="0" w:oddHBand="0" w:evenHBand="0" w:firstRowFirstColumn="0" w:firstRowLastColumn="0" w:lastRowFirstColumn="0" w:lastRowLastColumn="0"/>
            <w:tcW w:w="637" w:type="pct"/>
            <w:vAlign w:val="center"/>
          </w:tcPr>
          <w:p w:rsidR="00596204" w:rsidRPr="0019406C" w:rsidRDefault="00596204" w:rsidP="00F94A66">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33</w:t>
            </w:r>
          </w:p>
        </w:tc>
        <w:tc>
          <w:tcPr>
            <w:tcW w:w="2597" w:type="pct"/>
          </w:tcPr>
          <w:p w:rsidR="00596204" w:rsidRPr="0019406C" w:rsidRDefault="00596204" w:rsidP="00F94A66">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Ieviesa jaunu normu komerclikumā, kas paredz direktorus atzīt par vainīgiem ļaunprātīgos darījumos ar saistītām pusēm ar mērķi samazināt peļņu. Minētā norma ļauj akcionāriem iecelt revidentu, lai izmeklētu šādu situāciju iespējamos gadījumus.</w:t>
            </w:r>
          </w:p>
        </w:tc>
      </w:tr>
      <w:tr w:rsidR="00596204" w:rsidRPr="0019406C" w:rsidTr="00F94A66">
        <w:trPr>
          <w:trHeight w:val="264"/>
        </w:trPr>
        <w:tc>
          <w:tcPr>
            <w:cnfStyle w:val="001000000000" w:firstRow="0" w:lastRow="0" w:firstColumn="1" w:lastColumn="0" w:oddVBand="0" w:evenVBand="0" w:oddHBand="0" w:evenHBand="0" w:firstRowFirstColumn="0" w:firstRowLastColumn="0" w:lastRowFirstColumn="0" w:lastRowLastColumn="0"/>
            <w:tcW w:w="705" w:type="pct"/>
            <w:vAlign w:val="center"/>
          </w:tcPr>
          <w:p w:rsidR="00596204" w:rsidRPr="0019406C" w:rsidRDefault="00596204" w:rsidP="00F94A66">
            <w:pPr>
              <w:rPr>
                <w:rFonts w:asciiTheme="majorHAnsi" w:eastAsia="Cambria" w:hAnsiTheme="majorHAnsi" w:cs="Times New Roman"/>
                <w:b w:val="0"/>
                <w:lang w:val="lv-LV"/>
              </w:rPr>
            </w:pPr>
            <w:r w:rsidRPr="0019406C">
              <w:rPr>
                <w:rFonts w:asciiTheme="majorHAnsi" w:hAnsiTheme="majorHAnsi"/>
                <w:b w:val="0"/>
                <w:lang w:val="lv-LV"/>
              </w:rPr>
              <w:t>Polija</w:t>
            </w:r>
          </w:p>
        </w:tc>
        <w:tc>
          <w:tcPr>
            <w:cnfStyle w:val="000010000000" w:firstRow="0" w:lastRow="0" w:firstColumn="0" w:lastColumn="0" w:oddVBand="1" w:evenVBand="0" w:oddHBand="0" w:evenHBand="0" w:firstRowFirstColumn="0" w:firstRowLastColumn="0" w:lastRowFirstColumn="0" w:lastRowLastColumn="0"/>
            <w:tcW w:w="495" w:type="pct"/>
            <w:vAlign w:val="center"/>
          </w:tcPr>
          <w:p w:rsidR="00596204" w:rsidRPr="0019406C" w:rsidRDefault="00596204" w:rsidP="00F94A66">
            <w:pPr>
              <w:jc w:val="center"/>
              <w:rPr>
                <w:rFonts w:asciiTheme="majorHAnsi" w:eastAsia="Cambria" w:hAnsiTheme="majorHAnsi" w:cs="Times New Roman"/>
                <w:lang w:val="lv-LV"/>
              </w:rPr>
            </w:pPr>
            <w:r w:rsidRPr="0019406C">
              <w:rPr>
                <w:rFonts w:asciiTheme="majorHAnsi" w:eastAsia="Cambria" w:hAnsiTheme="majorHAnsi" w:cs="Times New Roman"/>
                <w:lang w:val="lv-LV"/>
              </w:rPr>
              <w:t>51</w:t>
            </w:r>
          </w:p>
        </w:tc>
        <w:tc>
          <w:tcPr>
            <w:tcW w:w="566" w:type="pct"/>
            <w:vAlign w:val="center"/>
          </w:tcPr>
          <w:p w:rsidR="00596204" w:rsidRPr="0019406C" w:rsidRDefault="00596204" w:rsidP="00F94A66">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52</w:t>
            </w:r>
          </w:p>
        </w:tc>
        <w:tc>
          <w:tcPr>
            <w:cnfStyle w:val="000010000000" w:firstRow="0" w:lastRow="0" w:firstColumn="0" w:lastColumn="0" w:oddVBand="1" w:evenVBand="0" w:oddHBand="0" w:evenHBand="0" w:firstRowFirstColumn="0" w:firstRowLastColumn="0" w:lastRowFirstColumn="0" w:lastRowLastColumn="0"/>
            <w:tcW w:w="637" w:type="pct"/>
            <w:vAlign w:val="center"/>
          </w:tcPr>
          <w:p w:rsidR="00596204" w:rsidRPr="0019406C" w:rsidRDefault="00596204" w:rsidP="00F94A66">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w:t>
            </w:r>
          </w:p>
        </w:tc>
        <w:tc>
          <w:tcPr>
            <w:tcW w:w="2597" w:type="pct"/>
          </w:tcPr>
          <w:p w:rsidR="00596204" w:rsidRPr="0019406C" w:rsidRDefault="00596204" w:rsidP="00F94A66">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596204" w:rsidRPr="0019406C" w:rsidTr="00F94A66">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705" w:type="pct"/>
            <w:vAlign w:val="center"/>
          </w:tcPr>
          <w:p w:rsidR="00596204" w:rsidRPr="0019406C" w:rsidRDefault="00596204" w:rsidP="00F94A66">
            <w:pPr>
              <w:rPr>
                <w:rFonts w:asciiTheme="majorHAnsi" w:eastAsia="Cambria" w:hAnsiTheme="majorHAnsi" w:cs="Times New Roman"/>
                <w:b w:val="0"/>
                <w:lang w:val="lv-LV"/>
              </w:rPr>
            </w:pPr>
            <w:r w:rsidRPr="0019406C">
              <w:rPr>
                <w:rFonts w:asciiTheme="majorHAnsi" w:hAnsiTheme="majorHAnsi"/>
                <w:b w:val="0"/>
                <w:lang w:val="lv-LV"/>
              </w:rPr>
              <w:t>Igaunija</w:t>
            </w:r>
          </w:p>
        </w:tc>
        <w:tc>
          <w:tcPr>
            <w:cnfStyle w:val="000010000000" w:firstRow="0" w:lastRow="0" w:firstColumn="0" w:lastColumn="0" w:oddVBand="1" w:evenVBand="0" w:oddHBand="0" w:evenHBand="0" w:firstRowFirstColumn="0" w:firstRowLastColumn="0" w:lastRowFirstColumn="0" w:lastRowLastColumn="0"/>
            <w:tcW w:w="495" w:type="pct"/>
            <w:vAlign w:val="center"/>
          </w:tcPr>
          <w:p w:rsidR="00596204" w:rsidRPr="0019406C" w:rsidRDefault="00596204" w:rsidP="00F94A66">
            <w:pPr>
              <w:jc w:val="center"/>
              <w:rPr>
                <w:rFonts w:asciiTheme="majorHAnsi" w:eastAsia="Cambria" w:hAnsiTheme="majorHAnsi" w:cs="Times New Roman"/>
                <w:lang w:val="lv-LV"/>
              </w:rPr>
            </w:pPr>
            <w:r w:rsidRPr="0019406C">
              <w:rPr>
                <w:rFonts w:asciiTheme="majorHAnsi" w:eastAsia="Cambria" w:hAnsiTheme="majorHAnsi" w:cs="Times New Roman"/>
                <w:lang w:val="lv-LV"/>
              </w:rPr>
              <w:t>67</w:t>
            </w:r>
          </w:p>
        </w:tc>
        <w:tc>
          <w:tcPr>
            <w:tcW w:w="566" w:type="pct"/>
            <w:vAlign w:val="center"/>
          </w:tcPr>
          <w:p w:rsidR="00596204" w:rsidRPr="0019406C" w:rsidRDefault="00596204" w:rsidP="00F94A66">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68</w:t>
            </w:r>
          </w:p>
        </w:tc>
        <w:tc>
          <w:tcPr>
            <w:cnfStyle w:val="000010000000" w:firstRow="0" w:lastRow="0" w:firstColumn="0" w:lastColumn="0" w:oddVBand="1" w:evenVBand="0" w:oddHBand="0" w:evenHBand="0" w:firstRowFirstColumn="0" w:firstRowLastColumn="0" w:lastRowFirstColumn="0" w:lastRowLastColumn="0"/>
            <w:tcW w:w="637" w:type="pct"/>
            <w:vAlign w:val="center"/>
          </w:tcPr>
          <w:p w:rsidR="00596204" w:rsidRPr="0019406C" w:rsidRDefault="00596204" w:rsidP="00F94A66">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w:t>
            </w:r>
          </w:p>
        </w:tc>
        <w:tc>
          <w:tcPr>
            <w:tcW w:w="2597" w:type="pct"/>
          </w:tcPr>
          <w:p w:rsidR="00596204" w:rsidRPr="0019406C" w:rsidRDefault="00596204" w:rsidP="00F94A66">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596204" w:rsidRPr="0019406C" w:rsidTr="00F94A66">
        <w:trPr>
          <w:trHeight w:val="270"/>
        </w:trPr>
        <w:tc>
          <w:tcPr>
            <w:cnfStyle w:val="001000000000" w:firstRow="0" w:lastRow="0" w:firstColumn="1" w:lastColumn="0" w:oddVBand="0" w:evenVBand="0" w:oddHBand="0" w:evenHBand="0" w:firstRowFirstColumn="0" w:firstRowLastColumn="0" w:lastRowFirstColumn="0" w:lastRowLastColumn="0"/>
            <w:tcW w:w="705" w:type="pct"/>
            <w:vAlign w:val="center"/>
          </w:tcPr>
          <w:p w:rsidR="00596204" w:rsidRPr="0019406C" w:rsidRDefault="00596204" w:rsidP="00F94A66">
            <w:pPr>
              <w:rPr>
                <w:rFonts w:asciiTheme="majorHAnsi" w:eastAsia="Cambria" w:hAnsiTheme="majorHAnsi" w:cs="Times New Roman"/>
                <w:b w:val="0"/>
                <w:lang w:val="lv-LV"/>
              </w:rPr>
            </w:pPr>
            <w:r w:rsidRPr="0019406C">
              <w:rPr>
                <w:rFonts w:asciiTheme="majorHAnsi" w:hAnsiTheme="majorHAnsi"/>
                <w:b w:val="0"/>
                <w:lang w:val="lv-LV"/>
              </w:rPr>
              <w:t xml:space="preserve">Lietuva </w:t>
            </w:r>
          </w:p>
        </w:tc>
        <w:tc>
          <w:tcPr>
            <w:cnfStyle w:val="000010000000" w:firstRow="0" w:lastRow="0" w:firstColumn="0" w:lastColumn="0" w:oddVBand="1" w:evenVBand="0" w:oddHBand="0" w:evenHBand="0" w:firstRowFirstColumn="0" w:firstRowLastColumn="0" w:lastRowFirstColumn="0" w:lastRowLastColumn="0"/>
            <w:tcW w:w="495" w:type="pct"/>
            <w:vAlign w:val="center"/>
          </w:tcPr>
          <w:p w:rsidR="00596204" w:rsidRPr="0019406C" w:rsidRDefault="00596204" w:rsidP="00F94A66">
            <w:pPr>
              <w:jc w:val="center"/>
              <w:rPr>
                <w:rFonts w:asciiTheme="majorHAnsi" w:eastAsia="Cambria" w:hAnsiTheme="majorHAnsi" w:cs="Times New Roman"/>
                <w:lang w:val="lv-LV"/>
              </w:rPr>
            </w:pPr>
            <w:r w:rsidRPr="0019406C">
              <w:rPr>
                <w:rFonts w:asciiTheme="majorHAnsi" w:eastAsia="Cambria" w:hAnsiTheme="majorHAnsi" w:cs="Times New Roman"/>
                <w:lang w:val="lv-LV"/>
              </w:rPr>
              <w:t>67</w:t>
            </w:r>
          </w:p>
        </w:tc>
        <w:tc>
          <w:tcPr>
            <w:tcW w:w="566" w:type="pct"/>
            <w:vAlign w:val="center"/>
          </w:tcPr>
          <w:p w:rsidR="00596204" w:rsidRPr="0019406C" w:rsidRDefault="00596204" w:rsidP="00F94A66">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68</w:t>
            </w:r>
          </w:p>
        </w:tc>
        <w:tc>
          <w:tcPr>
            <w:cnfStyle w:val="000010000000" w:firstRow="0" w:lastRow="0" w:firstColumn="0" w:lastColumn="0" w:oddVBand="1" w:evenVBand="0" w:oddHBand="0" w:evenHBand="0" w:firstRowFirstColumn="0" w:firstRowLastColumn="0" w:lastRowFirstColumn="0" w:lastRowLastColumn="0"/>
            <w:tcW w:w="637" w:type="pct"/>
            <w:vAlign w:val="center"/>
          </w:tcPr>
          <w:p w:rsidR="00596204" w:rsidRPr="0019406C" w:rsidRDefault="00596204" w:rsidP="00F94A66">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w:t>
            </w:r>
          </w:p>
        </w:tc>
        <w:tc>
          <w:tcPr>
            <w:tcW w:w="2597" w:type="pct"/>
          </w:tcPr>
          <w:p w:rsidR="00596204" w:rsidRPr="0019406C" w:rsidRDefault="00596204" w:rsidP="00F94A66">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596204" w:rsidRPr="0019406C" w:rsidTr="00F94A66">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705" w:type="pct"/>
            <w:shd w:val="clear" w:color="auto" w:fill="FFE199" w:themeFill="accent2" w:themeFillTint="66"/>
            <w:vAlign w:val="center"/>
          </w:tcPr>
          <w:p w:rsidR="00596204" w:rsidRPr="0019406C" w:rsidRDefault="00596204" w:rsidP="00F94A66">
            <w:pPr>
              <w:rPr>
                <w:rFonts w:asciiTheme="majorHAnsi" w:eastAsia="Cambria" w:hAnsiTheme="majorHAnsi" w:cs="Times New Roman"/>
                <w:b w:val="0"/>
                <w:lang w:val="lv-LV"/>
              </w:rPr>
            </w:pPr>
            <w:r w:rsidRPr="0019406C">
              <w:rPr>
                <w:rFonts w:asciiTheme="majorHAnsi" w:eastAsia="Cambria" w:hAnsiTheme="majorHAnsi" w:cs="Times New Roman"/>
                <w:b w:val="0"/>
                <w:lang w:val="lv-LV"/>
              </w:rPr>
              <w:t>Latvija</w:t>
            </w:r>
          </w:p>
        </w:tc>
        <w:tc>
          <w:tcPr>
            <w:cnfStyle w:val="000010000000" w:firstRow="0" w:lastRow="0" w:firstColumn="0" w:lastColumn="0" w:oddVBand="1" w:evenVBand="0" w:oddHBand="0" w:evenHBand="0" w:firstRowFirstColumn="0" w:firstRowLastColumn="0" w:lastRowFirstColumn="0" w:lastRowLastColumn="0"/>
            <w:tcW w:w="495" w:type="pct"/>
            <w:shd w:val="clear" w:color="auto" w:fill="FFE199" w:themeFill="accent2" w:themeFillTint="66"/>
            <w:vAlign w:val="center"/>
          </w:tcPr>
          <w:p w:rsidR="00596204" w:rsidRPr="0019406C" w:rsidRDefault="00596204" w:rsidP="00F94A66">
            <w:pPr>
              <w:jc w:val="center"/>
              <w:rPr>
                <w:rFonts w:asciiTheme="majorHAnsi" w:eastAsia="Cambria" w:hAnsiTheme="majorHAnsi" w:cs="Times New Roman"/>
                <w:lang w:val="lv-LV"/>
              </w:rPr>
            </w:pPr>
            <w:r w:rsidRPr="0019406C">
              <w:rPr>
                <w:rFonts w:asciiTheme="majorHAnsi" w:eastAsia="Cambria" w:hAnsiTheme="majorHAnsi" w:cs="Times New Roman"/>
                <w:lang w:val="lv-LV"/>
              </w:rPr>
              <w:t>67</w:t>
            </w:r>
          </w:p>
        </w:tc>
        <w:tc>
          <w:tcPr>
            <w:tcW w:w="566" w:type="pct"/>
            <w:shd w:val="clear" w:color="auto" w:fill="FFE199" w:themeFill="accent2" w:themeFillTint="66"/>
            <w:vAlign w:val="center"/>
          </w:tcPr>
          <w:p w:rsidR="00596204" w:rsidRPr="0019406C" w:rsidRDefault="00596204" w:rsidP="00F94A66">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68</w:t>
            </w:r>
          </w:p>
        </w:tc>
        <w:tc>
          <w:tcPr>
            <w:cnfStyle w:val="000010000000" w:firstRow="0" w:lastRow="0" w:firstColumn="0" w:lastColumn="0" w:oddVBand="1" w:evenVBand="0" w:oddHBand="0" w:evenHBand="0" w:firstRowFirstColumn="0" w:firstRowLastColumn="0" w:lastRowFirstColumn="0" w:lastRowLastColumn="0"/>
            <w:tcW w:w="637" w:type="pct"/>
            <w:shd w:val="clear" w:color="auto" w:fill="FFE199" w:themeFill="accent2" w:themeFillTint="66"/>
            <w:vAlign w:val="center"/>
          </w:tcPr>
          <w:p w:rsidR="00596204" w:rsidRPr="0019406C" w:rsidRDefault="00596204" w:rsidP="00F94A66">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w:t>
            </w:r>
          </w:p>
        </w:tc>
        <w:tc>
          <w:tcPr>
            <w:tcW w:w="2597" w:type="pct"/>
            <w:shd w:val="clear" w:color="auto" w:fill="FFE199" w:themeFill="accent2" w:themeFillTint="66"/>
          </w:tcPr>
          <w:p w:rsidR="00596204" w:rsidRPr="0019406C" w:rsidRDefault="00596204" w:rsidP="00F94A66">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596204" w:rsidRPr="00BB0049" w:rsidTr="00F94A66">
        <w:trPr>
          <w:trHeight w:val="264"/>
        </w:trPr>
        <w:tc>
          <w:tcPr>
            <w:cnfStyle w:val="001000000000" w:firstRow="0" w:lastRow="0" w:firstColumn="1" w:lastColumn="0" w:oddVBand="0" w:evenVBand="0" w:oddHBand="0" w:evenHBand="0" w:firstRowFirstColumn="0" w:firstRowLastColumn="0" w:lastRowFirstColumn="0" w:lastRowLastColumn="0"/>
            <w:tcW w:w="705" w:type="pct"/>
            <w:vAlign w:val="center"/>
          </w:tcPr>
          <w:p w:rsidR="00596204" w:rsidRPr="0019406C" w:rsidRDefault="00596204" w:rsidP="00F94A66">
            <w:pPr>
              <w:rPr>
                <w:rFonts w:asciiTheme="majorHAnsi" w:hAnsiTheme="majorHAnsi"/>
                <w:b w:val="0"/>
                <w:lang w:val="lv-LV"/>
              </w:rPr>
            </w:pPr>
            <w:r w:rsidRPr="0019406C">
              <w:rPr>
                <w:rFonts w:asciiTheme="majorHAnsi" w:hAnsiTheme="majorHAnsi"/>
                <w:b w:val="0"/>
                <w:lang w:val="lv-LV"/>
              </w:rPr>
              <w:t>Grieķija</w:t>
            </w:r>
          </w:p>
        </w:tc>
        <w:tc>
          <w:tcPr>
            <w:cnfStyle w:val="000010000000" w:firstRow="0" w:lastRow="0" w:firstColumn="0" w:lastColumn="0" w:oddVBand="1" w:evenVBand="0" w:oddHBand="0" w:evenHBand="0" w:firstRowFirstColumn="0" w:firstRowLastColumn="0" w:lastRowFirstColumn="0" w:lastRowLastColumn="0"/>
            <w:tcW w:w="495" w:type="pct"/>
            <w:vAlign w:val="center"/>
          </w:tcPr>
          <w:p w:rsidR="00596204" w:rsidRPr="0019406C" w:rsidRDefault="00596204" w:rsidP="00F94A66">
            <w:pPr>
              <w:jc w:val="center"/>
              <w:rPr>
                <w:rFonts w:asciiTheme="majorHAnsi" w:eastAsia="Cambria" w:hAnsiTheme="majorHAnsi" w:cs="Times New Roman"/>
                <w:lang w:val="lv-LV"/>
              </w:rPr>
            </w:pPr>
            <w:r w:rsidRPr="0019406C">
              <w:rPr>
                <w:rFonts w:asciiTheme="majorHAnsi" w:eastAsia="Cambria" w:hAnsiTheme="majorHAnsi" w:cs="Times New Roman"/>
                <w:lang w:val="lv-LV"/>
              </w:rPr>
              <w:t>113</w:t>
            </w:r>
          </w:p>
        </w:tc>
        <w:tc>
          <w:tcPr>
            <w:tcW w:w="566" w:type="pct"/>
            <w:vAlign w:val="center"/>
          </w:tcPr>
          <w:p w:rsidR="00596204" w:rsidRPr="0019406C" w:rsidRDefault="00596204" w:rsidP="00F94A66">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80</w:t>
            </w:r>
          </w:p>
        </w:tc>
        <w:tc>
          <w:tcPr>
            <w:cnfStyle w:val="000010000000" w:firstRow="0" w:lastRow="0" w:firstColumn="0" w:lastColumn="0" w:oddVBand="1" w:evenVBand="0" w:oddHBand="0" w:evenHBand="0" w:firstRowFirstColumn="0" w:firstRowLastColumn="0" w:lastRowFirstColumn="0" w:lastRowLastColumn="0"/>
            <w:tcW w:w="637" w:type="pct"/>
            <w:vAlign w:val="center"/>
          </w:tcPr>
          <w:p w:rsidR="00596204" w:rsidRPr="0019406C" w:rsidRDefault="00596204" w:rsidP="00F94A66">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33</w:t>
            </w:r>
          </w:p>
        </w:tc>
        <w:tc>
          <w:tcPr>
            <w:tcW w:w="2597" w:type="pct"/>
          </w:tcPr>
          <w:p w:rsidR="00596204" w:rsidRPr="0019406C" w:rsidRDefault="00596204" w:rsidP="00F94A66">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Ieviesa prasību pēc uzņēmuma direktora apstiprinājuma saistīto pušu darījumiem.</w:t>
            </w:r>
          </w:p>
        </w:tc>
      </w:tr>
      <w:tr w:rsidR="00596204" w:rsidRPr="00BB0049" w:rsidTr="00F94A66">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05" w:type="pct"/>
            <w:vAlign w:val="center"/>
          </w:tcPr>
          <w:p w:rsidR="00596204" w:rsidRPr="0019406C" w:rsidRDefault="00596204" w:rsidP="00F94A66">
            <w:pPr>
              <w:rPr>
                <w:rFonts w:asciiTheme="majorHAnsi" w:hAnsiTheme="majorHAnsi"/>
                <w:b w:val="0"/>
                <w:lang w:val="lv-LV"/>
              </w:rPr>
            </w:pPr>
            <w:r w:rsidRPr="0019406C">
              <w:rPr>
                <w:rFonts w:asciiTheme="majorHAnsi" w:hAnsiTheme="majorHAnsi"/>
                <w:b w:val="0"/>
                <w:lang w:val="lv-LV"/>
              </w:rPr>
              <w:t>Apvienotie Arābu Emirāti</w:t>
            </w:r>
          </w:p>
        </w:tc>
        <w:tc>
          <w:tcPr>
            <w:cnfStyle w:val="000010000000" w:firstRow="0" w:lastRow="0" w:firstColumn="0" w:lastColumn="0" w:oddVBand="1" w:evenVBand="0" w:oddHBand="0" w:evenHBand="0" w:firstRowFirstColumn="0" w:firstRowLastColumn="0" w:lastRowFirstColumn="0" w:lastRowLastColumn="0"/>
            <w:tcW w:w="495" w:type="pct"/>
            <w:vAlign w:val="center"/>
          </w:tcPr>
          <w:p w:rsidR="00596204" w:rsidRPr="0019406C" w:rsidRDefault="00596204" w:rsidP="00F94A66">
            <w:pPr>
              <w:jc w:val="center"/>
              <w:rPr>
                <w:rFonts w:asciiTheme="majorHAnsi" w:eastAsia="Cambria" w:hAnsiTheme="majorHAnsi" w:cs="Times New Roman"/>
                <w:lang w:val="lv-LV"/>
              </w:rPr>
            </w:pPr>
            <w:r w:rsidRPr="0019406C">
              <w:rPr>
                <w:rFonts w:asciiTheme="majorHAnsi" w:eastAsia="Cambria" w:hAnsiTheme="majorHAnsi" w:cs="Times New Roman"/>
                <w:lang w:val="lv-LV"/>
              </w:rPr>
              <w:t>137</w:t>
            </w:r>
          </w:p>
        </w:tc>
        <w:tc>
          <w:tcPr>
            <w:tcW w:w="566" w:type="pct"/>
            <w:vAlign w:val="center"/>
          </w:tcPr>
          <w:p w:rsidR="00596204" w:rsidRPr="0019406C" w:rsidRDefault="00596204" w:rsidP="00F94A66">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98</w:t>
            </w:r>
          </w:p>
        </w:tc>
        <w:tc>
          <w:tcPr>
            <w:cnfStyle w:val="000010000000" w:firstRow="0" w:lastRow="0" w:firstColumn="0" w:lastColumn="0" w:oddVBand="1" w:evenVBand="0" w:oddHBand="0" w:evenHBand="0" w:firstRowFirstColumn="0" w:firstRowLastColumn="0" w:lastRowFirstColumn="0" w:lastRowLastColumn="0"/>
            <w:tcW w:w="637" w:type="pct"/>
            <w:vAlign w:val="center"/>
          </w:tcPr>
          <w:p w:rsidR="00596204" w:rsidRPr="0019406C" w:rsidRDefault="00596204" w:rsidP="00F94A66">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39</w:t>
            </w:r>
          </w:p>
        </w:tc>
        <w:tc>
          <w:tcPr>
            <w:tcW w:w="2597" w:type="pct"/>
          </w:tcPr>
          <w:p w:rsidR="00596204" w:rsidRPr="0019406C" w:rsidRDefault="00596204" w:rsidP="00F94A66">
            <w:pP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Ieviesa stingrākus noteikumus saistīto darījumu atspoguļošanā gada pārskatos un fondu biržai. Ieviesa iespēju celt sūdzību tiesā pret direktoriem, ja minētie darījumi negatīvi ietekmē uzņēmumu.</w:t>
            </w:r>
          </w:p>
        </w:tc>
      </w:tr>
    </w:tbl>
    <w:p w:rsidR="00596204" w:rsidRPr="0019406C" w:rsidRDefault="00596204" w:rsidP="00596204">
      <w:pPr>
        <w:pStyle w:val="BodyText"/>
        <w:rPr>
          <w:rFonts w:asciiTheme="majorHAnsi" w:hAnsiTheme="majorHAnsi"/>
          <w:lang w:val="lv-LV"/>
        </w:rPr>
      </w:pPr>
    </w:p>
    <w:p w:rsidR="00B401CC" w:rsidRPr="0019406C" w:rsidRDefault="00596204" w:rsidP="006B022F">
      <w:pPr>
        <w:pStyle w:val="BodyText"/>
        <w:spacing w:line="276" w:lineRule="auto"/>
        <w:jc w:val="both"/>
        <w:rPr>
          <w:rFonts w:asciiTheme="majorHAnsi" w:hAnsiTheme="majorHAnsi"/>
          <w:lang w:val="lv-LV"/>
        </w:rPr>
      </w:pPr>
      <w:r w:rsidRPr="0019406C">
        <w:rPr>
          <w:rFonts w:asciiTheme="majorHAnsi" w:hAnsiTheme="majorHAnsi"/>
          <w:lang w:val="lv-LV"/>
        </w:rPr>
        <w:t xml:space="preserve">Noteiktais DB reitings </w:t>
      </w:r>
      <w:r w:rsidR="00B401CC" w:rsidRPr="0019406C">
        <w:rPr>
          <w:rFonts w:asciiTheme="majorHAnsi" w:hAnsiTheme="majorHAnsi"/>
          <w:lang w:val="lv-LV"/>
        </w:rPr>
        <w:t xml:space="preserve">investoru aizsardzības jomā </w:t>
      </w:r>
      <w:r w:rsidRPr="0019406C">
        <w:rPr>
          <w:rFonts w:asciiTheme="majorHAnsi" w:hAnsiTheme="majorHAnsi"/>
          <w:lang w:val="lv-LV"/>
        </w:rPr>
        <w:t xml:space="preserve">veidojas, izvērtējot </w:t>
      </w:r>
      <w:r w:rsidR="00B401CC" w:rsidRPr="0019406C">
        <w:rPr>
          <w:rFonts w:asciiTheme="majorHAnsi" w:hAnsiTheme="majorHAnsi"/>
          <w:lang w:val="lv-LV"/>
        </w:rPr>
        <w:t>t</w:t>
      </w:r>
      <w:r w:rsidR="006D7EB0" w:rsidRPr="0019406C">
        <w:rPr>
          <w:rFonts w:asciiTheme="majorHAnsi" w:hAnsiTheme="majorHAnsi"/>
          <w:lang w:val="lv-LV"/>
        </w:rPr>
        <w:t xml:space="preserve">ādus </w:t>
      </w:r>
      <w:r w:rsidR="0072729F">
        <w:rPr>
          <w:rFonts w:asciiTheme="majorHAnsi" w:hAnsiTheme="majorHAnsi"/>
          <w:lang w:val="lv-LV"/>
        </w:rPr>
        <w:t>ar mazākuma a</w:t>
      </w:r>
      <w:r w:rsidRPr="0019406C">
        <w:rPr>
          <w:rFonts w:asciiTheme="majorHAnsi" w:hAnsiTheme="majorHAnsi"/>
          <w:lang w:val="lv-LV"/>
        </w:rPr>
        <w:t>kcionāriem saistītus kritērijus kā informācijas atkāšanas apjoms, vadības atbildības apjoms un mazākuma</w:t>
      </w:r>
      <w:r w:rsidR="0072729F">
        <w:rPr>
          <w:rFonts w:asciiTheme="majorHAnsi" w:hAnsiTheme="majorHAnsi"/>
          <w:lang w:val="lv-LV"/>
        </w:rPr>
        <w:t xml:space="preserve"> a</w:t>
      </w:r>
      <w:r w:rsidRPr="0019406C">
        <w:rPr>
          <w:rFonts w:asciiTheme="majorHAnsi" w:hAnsiTheme="majorHAnsi"/>
          <w:lang w:val="lv-LV"/>
        </w:rPr>
        <w:t xml:space="preserve">kcionāru spēja vērsties tiesā savu interešu aizstāvībai. Šie kritēriji arī ietver ziņošanas nepieciešamību akcionāriem par ar uzņēmuma vadību saistītajiem darījumiem. </w:t>
      </w:r>
    </w:p>
    <w:p w:rsidR="00811CA0" w:rsidRPr="0019406C" w:rsidRDefault="00811CA0" w:rsidP="006B022F">
      <w:pPr>
        <w:pStyle w:val="BodyText"/>
        <w:spacing w:line="276" w:lineRule="auto"/>
        <w:jc w:val="both"/>
        <w:rPr>
          <w:rFonts w:asciiTheme="majorHAnsi" w:hAnsiTheme="majorHAnsi"/>
          <w:lang w:val="lv-LV"/>
        </w:rPr>
      </w:pPr>
      <w:bookmarkStart w:id="89" w:name="_GoBack"/>
      <w:bookmarkEnd w:id="89"/>
    </w:p>
    <w:p w:rsidR="00811CA0" w:rsidRPr="0019406C" w:rsidRDefault="00811CA0" w:rsidP="006B022F">
      <w:pPr>
        <w:pStyle w:val="BodyText"/>
        <w:spacing w:line="276" w:lineRule="auto"/>
        <w:jc w:val="both"/>
        <w:rPr>
          <w:rFonts w:asciiTheme="majorHAnsi" w:hAnsiTheme="majorHAnsi"/>
          <w:lang w:val="lv-LV"/>
        </w:rPr>
      </w:pPr>
    </w:p>
    <w:p w:rsidR="00811CA0" w:rsidRPr="0019406C" w:rsidRDefault="00811CA0" w:rsidP="006B022F">
      <w:pPr>
        <w:pStyle w:val="BodyText"/>
        <w:spacing w:line="276" w:lineRule="auto"/>
        <w:jc w:val="both"/>
        <w:rPr>
          <w:rFonts w:asciiTheme="majorHAnsi" w:hAnsiTheme="majorHAnsi"/>
          <w:lang w:val="lv-LV"/>
        </w:rPr>
      </w:pPr>
    </w:p>
    <w:p w:rsidR="00DC0BF7" w:rsidRPr="0019406C" w:rsidRDefault="00DC0BF7" w:rsidP="00DC0BF7">
      <w:pPr>
        <w:pStyle w:val="Caption"/>
        <w:keepNext/>
        <w:rPr>
          <w:rFonts w:asciiTheme="majorHAnsi" w:hAnsiTheme="majorHAnsi"/>
          <w:sz w:val="16"/>
          <w:lang w:val="lv-LV"/>
        </w:rPr>
      </w:pPr>
      <w:bookmarkStart w:id="90" w:name="_Toc389225090"/>
      <w:r w:rsidRPr="0019406C">
        <w:rPr>
          <w:rFonts w:asciiTheme="majorHAnsi" w:hAnsiTheme="majorHAnsi"/>
          <w:sz w:val="16"/>
          <w:lang w:val="lv-LV"/>
        </w:rPr>
        <w:t xml:space="preserve">Tabula </w:t>
      </w:r>
      <w:r w:rsidRPr="0019406C">
        <w:rPr>
          <w:rFonts w:asciiTheme="majorHAnsi" w:hAnsiTheme="majorHAnsi"/>
          <w:sz w:val="16"/>
          <w:lang w:val="lv-LV"/>
        </w:rPr>
        <w:fldChar w:fldCharType="begin"/>
      </w:r>
      <w:r w:rsidRPr="0019406C">
        <w:rPr>
          <w:rFonts w:asciiTheme="majorHAnsi" w:hAnsiTheme="majorHAnsi"/>
          <w:sz w:val="16"/>
          <w:lang w:val="lv-LV"/>
        </w:rPr>
        <w:instrText xml:space="preserve"> SEQ Tabula \* ARABIC </w:instrText>
      </w:r>
      <w:r w:rsidRPr="0019406C">
        <w:rPr>
          <w:rFonts w:asciiTheme="majorHAnsi" w:hAnsiTheme="majorHAnsi"/>
          <w:sz w:val="16"/>
          <w:lang w:val="lv-LV"/>
        </w:rPr>
        <w:fldChar w:fldCharType="separate"/>
      </w:r>
      <w:r w:rsidR="00410806" w:rsidRPr="0019406C">
        <w:rPr>
          <w:rFonts w:asciiTheme="majorHAnsi" w:hAnsiTheme="majorHAnsi"/>
          <w:noProof/>
          <w:sz w:val="16"/>
          <w:lang w:val="lv-LV"/>
        </w:rPr>
        <w:t>16</w:t>
      </w:r>
      <w:r w:rsidRPr="0019406C">
        <w:rPr>
          <w:rFonts w:asciiTheme="majorHAnsi" w:hAnsiTheme="majorHAnsi"/>
          <w:sz w:val="16"/>
          <w:lang w:val="lv-LV"/>
        </w:rPr>
        <w:fldChar w:fldCharType="end"/>
      </w:r>
      <w:r w:rsidRPr="0019406C">
        <w:rPr>
          <w:rFonts w:asciiTheme="majorHAnsi" w:hAnsiTheme="majorHAnsi"/>
          <w:sz w:val="16"/>
          <w:lang w:val="lv-LV"/>
        </w:rPr>
        <w:t xml:space="preserve"> Investoru aizsardzības kritēriju salīdzinājums</w:t>
      </w:r>
      <w:bookmarkEnd w:id="90"/>
    </w:p>
    <w:tbl>
      <w:tblPr>
        <w:tblStyle w:val="LightList-Accent11"/>
        <w:tblW w:w="5034" w:type="pct"/>
        <w:tblBorders>
          <w:insideH w:val="single" w:sz="8" w:space="0" w:color="DC6900" w:themeColor="accent1"/>
          <w:insideV w:val="single" w:sz="8" w:space="0" w:color="DC6900" w:themeColor="accent1"/>
        </w:tblBorders>
        <w:tblLayout w:type="fixed"/>
        <w:tblLook w:val="04A0" w:firstRow="1" w:lastRow="0" w:firstColumn="1" w:lastColumn="0" w:noHBand="0" w:noVBand="1"/>
      </w:tblPr>
      <w:tblGrid>
        <w:gridCol w:w="2319"/>
        <w:gridCol w:w="1177"/>
        <w:gridCol w:w="1173"/>
        <w:gridCol w:w="1313"/>
        <w:gridCol w:w="1171"/>
        <w:gridCol w:w="1027"/>
        <w:gridCol w:w="1084"/>
        <w:gridCol w:w="885"/>
      </w:tblGrid>
      <w:tr w:rsidR="00DC0BF7" w:rsidRPr="0019406C" w:rsidTr="00742A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2" w:type="pct"/>
          </w:tcPr>
          <w:p w:rsidR="00DC0BF7" w:rsidRPr="0019406C" w:rsidRDefault="00DC0BF7" w:rsidP="008D1E3B">
            <w:pPr>
              <w:pStyle w:val="BodyText"/>
              <w:rPr>
                <w:rFonts w:asciiTheme="majorHAnsi" w:hAnsiTheme="majorHAnsi"/>
                <w:lang w:val="lv-LV"/>
              </w:rPr>
            </w:pPr>
            <w:r w:rsidRPr="0019406C">
              <w:rPr>
                <w:rFonts w:asciiTheme="majorHAnsi" w:hAnsiTheme="majorHAnsi"/>
                <w:lang w:val="lv-LV"/>
              </w:rPr>
              <w:t>Rādītājs</w:t>
            </w:r>
          </w:p>
        </w:tc>
        <w:tc>
          <w:tcPr>
            <w:tcW w:w="580" w:type="pct"/>
            <w:vAlign w:val="center"/>
          </w:tcPr>
          <w:p w:rsidR="00DC0BF7" w:rsidRPr="0019406C" w:rsidRDefault="00742A74" w:rsidP="00742A74">
            <w:pPr>
              <w:pStyle w:val="BodyText"/>
              <w:jc w:val="center"/>
              <w:cnfStyle w:val="100000000000" w:firstRow="1"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 xml:space="preserve">Latvijā </w:t>
            </w:r>
            <w:r w:rsidR="00DC0BF7" w:rsidRPr="0019406C">
              <w:rPr>
                <w:rFonts w:asciiTheme="majorHAnsi" w:hAnsiTheme="majorHAnsi"/>
                <w:lang w:val="lv-LV"/>
              </w:rPr>
              <w:t>DB2013</w:t>
            </w:r>
          </w:p>
        </w:tc>
        <w:tc>
          <w:tcPr>
            <w:tcW w:w="578" w:type="pct"/>
            <w:vAlign w:val="center"/>
          </w:tcPr>
          <w:p w:rsidR="00DC0BF7" w:rsidRPr="0019406C" w:rsidRDefault="00742A74" w:rsidP="00742A74">
            <w:pPr>
              <w:pStyle w:val="BodyText"/>
              <w:jc w:val="center"/>
              <w:cnfStyle w:val="100000000000" w:firstRow="1"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 xml:space="preserve">Latvijā </w:t>
            </w:r>
            <w:r w:rsidR="00DC0BF7" w:rsidRPr="0019406C">
              <w:rPr>
                <w:rFonts w:asciiTheme="majorHAnsi" w:hAnsiTheme="majorHAnsi"/>
                <w:lang w:val="lv-LV"/>
              </w:rPr>
              <w:t>DB2014</w:t>
            </w:r>
          </w:p>
        </w:tc>
        <w:tc>
          <w:tcPr>
            <w:tcW w:w="647" w:type="pct"/>
            <w:vAlign w:val="center"/>
          </w:tcPr>
          <w:p w:rsidR="00DC0BF7" w:rsidRPr="0019406C" w:rsidRDefault="00DC0BF7" w:rsidP="00742A74">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 xml:space="preserve">Eiropa un </w:t>
            </w:r>
            <w:proofErr w:type="spellStart"/>
            <w:r w:rsidRPr="0019406C">
              <w:rPr>
                <w:rFonts w:asciiTheme="majorHAnsi" w:eastAsia="Cambria" w:hAnsiTheme="majorHAnsi" w:cs="Times New Roman"/>
                <w:lang w:val="lv-LV"/>
              </w:rPr>
              <w:t>Centrāl-āzija</w:t>
            </w:r>
            <w:proofErr w:type="spellEnd"/>
          </w:p>
        </w:tc>
        <w:tc>
          <w:tcPr>
            <w:tcW w:w="577" w:type="pct"/>
            <w:vAlign w:val="center"/>
          </w:tcPr>
          <w:p w:rsidR="00DC0BF7" w:rsidRPr="0019406C" w:rsidRDefault="00DC0BF7" w:rsidP="00742A74">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Igaunija</w:t>
            </w:r>
          </w:p>
        </w:tc>
        <w:tc>
          <w:tcPr>
            <w:tcW w:w="506" w:type="pct"/>
            <w:vAlign w:val="center"/>
          </w:tcPr>
          <w:p w:rsidR="00DC0BF7" w:rsidRPr="0019406C" w:rsidRDefault="00DC0BF7" w:rsidP="00742A74">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Somija</w:t>
            </w:r>
          </w:p>
        </w:tc>
        <w:tc>
          <w:tcPr>
            <w:tcW w:w="534" w:type="pct"/>
            <w:vAlign w:val="center"/>
          </w:tcPr>
          <w:p w:rsidR="00DC0BF7" w:rsidRPr="0019406C" w:rsidRDefault="00DC0BF7" w:rsidP="00742A74">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Lietuva</w:t>
            </w:r>
          </w:p>
        </w:tc>
        <w:tc>
          <w:tcPr>
            <w:tcW w:w="436" w:type="pct"/>
            <w:vAlign w:val="center"/>
          </w:tcPr>
          <w:p w:rsidR="00DC0BF7" w:rsidRPr="0019406C" w:rsidRDefault="00DC0BF7" w:rsidP="00742A74">
            <w:pPr>
              <w:pStyle w:val="BodyText"/>
              <w:jc w:val="center"/>
              <w:cnfStyle w:val="100000000000" w:firstRow="1"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OECD</w:t>
            </w:r>
          </w:p>
        </w:tc>
      </w:tr>
      <w:tr w:rsidR="00DC0BF7" w:rsidRPr="0019406C" w:rsidTr="00DC0B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2" w:type="pct"/>
          </w:tcPr>
          <w:p w:rsidR="00DC0BF7" w:rsidRPr="0019406C" w:rsidRDefault="00DC0BF7" w:rsidP="008D1E3B">
            <w:pPr>
              <w:pStyle w:val="BodyText"/>
              <w:rPr>
                <w:rFonts w:asciiTheme="majorHAnsi" w:hAnsiTheme="majorHAnsi"/>
                <w:b w:val="0"/>
                <w:lang w:val="lv-LV"/>
              </w:rPr>
            </w:pPr>
            <w:r w:rsidRPr="0019406C">
              <w:rPr>
                <w:rFonts w:asciiTheme="majorHAnsi" w:hAnsiTheme="majorHAnsi"/>
                <w:b w:val="0"/>
                <w:lang w:val="lv-LV"/>
              </w:rPr>
              <w:t>Informācijas atklāšanas līmenis (0-10)</w:t>
            </w:r>
          </w:p>
        </w:tc>
        <w:tc>
          <w:tcPr>
            <w:tcW w:w="580" w:type="pct"/>
            <w:vAlign w:val="center"/>
          </w:tcPr>
          <w:p w:rsidR="00DC0BF7" w:rsidRPr="0019406C" w:rsidRDefault="00DC0BF7" w:rsidP="008D1E3B">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5</w:t>
            </w:r>
          </w:p>
        </w:tc>
        <w:tc>
          <w:tcPr>
            <w:tcW w:w="578" w:type="pct"/>
            <w:vAlign w:val="center"/>
          </w:tcPr>
          <w:p w:rsidR="00DC0BF7" w:rsidRPr="0019406C" w:rsidRDefault="00DC0BF7" w:rsidP="008D1E3B">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5</w:t>
            </w:r>
          </w:p>
        </w:tc>
        <w:tc>
          <w:tcPr>
            <w:tcW w:w="647" w:type="pct"/>
            <w:vAlign w:val="center"/>
          </w:tcPr>
          <w:p w:rsidR="00DC0BF7" w:rsidRPr="0019406C" w:rsidRDefault="00DC0BF7" w:rsidP="008D1E3B">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6</w:t>
            </w:r>
          </w:p>
        </w:tc>
        <w:tc>
          <w:tcPr>
            <w:tcW w:w="577" w:type="pct"/>
            <w:vAlign w:val="center"/>
          </w:tcPr>
          <w:p w:rsidR="00DC0BF7" w:rsidRPr="0019406C" w:rsidRDefault="00DC0BF7" w:rsidP="008D1E3B">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8</w:t>
            </w:r>
          </w:p>
        </w:tc>
        <w:tc>
          <w:tcPr>
            <w:tcW w:w="506" w:type="pct"/>
            <w:vAlign w:val="center"/>
          </w:tcPr>
          <w:p w:rsidR="00DC0BF7" w:rsidRPr="0019406C" w:rsidRDefault="00DC0BF7" w:rsidP="008D1E3B">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6</w:t>
            </w:r>
          </w:p>
        </w:tc>
        <w:tc>
          <w:tcPr>
            <w:tcW w:w="534" w:type="pct"/>
            <w:vAlign w:val="center"/>
          </w:tcPr>
          <w:p w:rsidR="00DC0BF7" w:rsidRPr="0019406C" w:rsidRDefault="00DC0BF7" w:rsidP="008D1E3B">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7</w:t>
            </w:r>
          </w:p>
        </w:tc>
        <w:tc>
          <w:tcPr>
            <w:tcW w:w="436" w:type="pct"/>
            <w:vAlign w:val="center"/>
          </w:tcPr>
          <w:p w:rsidR="00DC0BF7" w:rsidRPr="0019406C" w:rsidRDefault="00DC0BF7" w:rsidP="008D1E3B">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7</w:t>
            </w:r>
          </w:p>
        </w:tc>
      </w:tr>
      <w:tr w:rsidR="00DC0BF7" w:rsidRPr="0019406C" w:rsidTr="00DC0BF7">
        <w:tc>
          <w:tcPr>
            <w:cnfStyle w:val="001000000000" w:firstRow="0" w:lastRow="0" w:firstColumn="1" w:lastColumn="0" w:oddVBand="0" w:evenVBand="0" w:oddHBand="0" w:evenHBand="0" w:firstRowFirstColumn="0" w:firstRowLastColumn="0" w:lastRowFirstColumn="0" w:lastRowLastColumn="0"/>
            <w:tcW w:w="1142" w:type="pct"/>
          </w:tcPr>
          <w:p w:rsidR="00DC0BF7" w:rsidRPr="0019406C" w:rsidRDefault="00DC0BF7" w:rsidP="008D1E3B">
            <w:pPr>
              <w:pStyle w:val="BodyText"/>
              <w:rPr>
                <w:rFonts w:asciiTheme="majorHAnsi" w:hAnsiTheme="majorHAnsi"/>
                <w:b w:val="0"/>
                <w:lang w:val="lv-LV"/>
              </w:rPr>
            </w:pPr>
            <w:r w:rsidRPr="0019406C">
              <w:rPr>
                <w:rFonts w:asciiTheme="majorHAnsi" w:hAnsiTheme="majorHAnsi"/>
                <w:b w:val="0"/>
                <w:lang w:val="lv-LV"/>
              </w:rPr>
              <w:t>Vadības atbildības līmenis (0-10)</w:t>
            </w:r>
          </w:p>
        </w:tc>
        <w:tc>
          <w:tcPr>
            <w:tcW w:w="580" w:type="pct"/>
            <w:vAlign w:val="center"/>
          </w:tcPr>
          <w:p w:rsidR="00DC0BF7" w:rsidRPr="0019406C" w:rsidRDefault="00DC0BF7" w:rsidP="008D1E3B">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4</w:t>
            </w:r>
          </w:p>
        </w:tc>
        <w:tc>
          <w:tcPr>
            <w:tcW w:w="578" w:type="pct"/>
            <w:vAlign w:val="center"/>
          </w:tcPr>
          <w:p w:rsidR="00DC0BF7" w:rsidRPr="0019406C" w:rsidRDefault="00DC0BF7" w:rsidP="008D1E3B">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4</w:t>
            </w:r>
          </w:p>
        </w:tc>
        <w:tc>
          <w:tcPr>
            <w:tcW w:w="647" w:type="pct"/>
            <w:vAlign w:val="center"/>
          </w:tcPr>
          <w:p w:rsidR="00DC0BF7" w:rsidRPr="0019406C" w:rsidRDefault="00DC0BF7" w:rsidP="008D1E3B">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5</w:t>
            </w:r>
          </w:p>
        </w:tc>
        <w:tc>
          <w:tcPr>
            <w:tcW w:w="577" w:type="pct"/>
            <w:vAlign w:val="center"/>
          </w:tcPr>
          <w:p w:rsidR="00DC0BF7" w:rsidRPr="0019406C" w:rsidRDefault="00DC0BF7" w:rsidP="008D1E3B">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3</w:t>
            </w:r>
          </w:p>
        </w:tc>
        <w:tc>
          <w:tcPr>
            <w:tcW w:w="506" w:type="pct"/>
            <w:vAlign w:val="center"/>
          </w:tcPr>
          <w:p w:rsidR="00DC0BF7" w:rsidRPr="0019406C" w:rsidRDefault="00DC0BF7" w:rsidP="008D1E3B">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4</w:t>
            </w:r>
          </w:p>
        </w:tc>
        <w:tc>
          <w:tcPr>
            <w:tcW w:w="534" w:type="pct"/>
            <w:vAlign w:val="center"/>
          </w:tcPr>
          <w:p w:rsidR="00DC0BF7" w:rsidRPr="0019406C" w:rsidRDefault="00DC0BF7" w:rsidP="008D1E3B">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4</w:t>
            </w:r>
          </w:p>
        </w:tc>
        <w:tc>
          <w:tcPr>
            <w:tcW w:w="436" w:type="pct"/>
            <w:vAlign w:val="center"/>
          </w:tcPr>
          <w:p w:rsidR="00DC0BF7" w:rsidRPr="0019406C" w:rsidRDefault="00DC0BF7" w:rsidP="00DC0BF7">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5</w:t>
            </w:r>
          </w:p>
        </w:tc>
      </w:tr>
      <w:tr w:rsidR="00DC0BF7" w:rsidRPr="0019406C" w:rsidTr="00DC0B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2" w:type="pct"/>
          </w:tcPr>
          <w:p w:rsidR="00DC0BF7" w:rsidRPr="0019406C" w:rsidRDefault="00DC0BF7" w:rsidP="008D1E3B">
            <w:pPr>
              <w:pStyle w:val="BodyText"/>
              <w:rPr>
                <w:rFonts w:asciiTheme="majorHAnsi" w:hAnsiTheme="majorHAnsi"/>
                <w:b w:val="0"/>
                <w:lang w:val="lv-LV"/>
              </w:rPr>
            </w:pPr>
            <w:r w:rsidRPr="0019406C">
              <w:rPr>
                <w:rFonts w:asciiTheme="majorHAnsi" w:hAnsiTheme="majorHAnsi"/>
                <w:b w:val="0"/>
                <w:lang w:val="lv-LV"/>
              </w:rPr>
              <w:t>Spēja vērsties tiesā (0-10)</w:t>
            </w:r>
          </w:p>
        </w:tc>
        <w:tc>
          <w:tcPr>
            <w:tcW w:w="580" w:type="pct"/>
            <w:vAlign w:val="center"/>
          </w:tcPr>
          <w:p w:rsidR="00DC0BF7" w:rsidRPr="0019406C" w:rsidRDefault="00DC0BF7" w:rsidP="008D1E3B">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8</w:t>
            </w:r>
          </w:p>
        </w:tc>
        <w:tc>
          <w:tcPr>
            <w:tcW w:w="578" w:type="pct"/>
            <w:vAlign w:val="center"/>
          </w:tcPr>
          <w:p w:rsidR="00DC0BF7" w:rsidRPr="0019406C" w:rsidRDefault="00DC0BF7" w:rsidP="008D1E3B">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8</w:t>
            </w:r>
          </w:p>
        </w:tc>
        <w:tc>
          <w:tcPr>
            <w:tcW w:w="647" w:type="pct"/>
            <w:vAlign w:val="center"/>
          </w:tcPr>
          <w:p w:rsidR="00DC0BF7" w:rsidRPr="0019406C" w:rsidRDefault="00DC0BF7" w:rsidP="008D1E3B">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6</w:t>
            </w:r>
          </w:p>
        </w:tc>
        <w:tc>
          <w:tcPr>
            <w:tcW w:w="577" w:type="pct"/>
            <w:vAlign w:val="center"/>
          </w:tcPr>
          <w:p w:rsidR="00DC0BF7" w:rsidRPr="0019406C" w:rsidRDefault="00DC0BF7" w:rsidP="008D1E3B">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6</w:t>
            </w:r>
          </w:p>
        </w:tc>
        <w:tc>
          <w:tcPr>
            <w:tcW w:w="506" w:type="pct"/>
            <w:vAlign w:val="center"/>
          </w:tcPr>
          <w:p w:rsidR="00DC0BF7" w:rsidRPr="0019406C" w:rsidRDefault="00DC0BF7" w:rsidP="008D1E3B">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7</w:t>
            </w:r>
          </w:p>
        </w:tc>
        <w:tc>
          <w:tcPr>
            <w:tcW w:w="534" w:type="pct"/>
            <w:vAlign w:val="center"/>
          </w:tcPr>
          <w:p w:rsidR="00DC0BF7" w:rsidRPr="0019406C" w:rsidRDefault="00DC0BF7" w:rsidP="008D1E3B">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6</w:t>
            </w:r>
          </w:p>
        </w:tc>
        <w:tc>
          <w:tcPr>
            <w:tcW w:w="436" w:type="pct"/>
            <w:vAlign w:val="center"/>
          </w:tcPr>
          <w:p w:rsidR="00DC0BF7" w:rsidRPr="0019406C" w:rsidRDefault="00DC0BF7" w:rsidP="008D1E3B">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7</w:t>
            </w:r>
          </w:p>
        </w:tc>
      </w:tr>
      <w:tr w:rsidR="00410806" w:rsidRPr="0019406C" w:rsidTr="00410806">
        <w:tc>
          <w:tcPr>
            <w:cnfStyle w:val="001000000000" w:firstRow="0" w:lastRow="0" w:firstColumn="1" w:lastColumn="0" w:oddVBand="0" w:evenVBand="0" w:oddHBand="0" w:evenHBand="0" w:firstRowFirstColumn="0" w:firstRowLastColumn="0" w:lastRowFirstColumn="0" w:lastRowLastColumn="0"/>
            <w:tcW w:w="1142" w:type="pct"/>
          </w:tcPr>
          <w:p w:rsidR="00410806" w:rsidRPr="0019406C" w:rsidRDefault="00410806" w:rsidP="008D1E3B">
            <w:pPr>
              <w:pStyle w:val="BodyText"/>
              <w:rPr>
                <w:rFonts w:asciiTheme="majorHAnsi" w:hAnsiTheme="majorHAnsi"/>
                <w:b w:val="0"/>
                <w:lang w:val="lv-LV"/>
              </w:rPr>
            </w:pPr>
            <w:r w:rsidRPr="0019406C">
              <w:rPr>
                <w:rFonts w:asciiTheme="majorHAnsi" w:hAnsiTheme="majorHAnsi"/>
                <w:b w:val="0"/>
                <w:lang w:val="lv-LV"/>
              </w:rPr>
              <w:t>Vidējais investoru aizsardzības līmenis (0-10)</w:t>
            </w:r>
          </w:p>
        </w:tc>
        <w:tc>
          <w:tcPr>
            <w:tcW w:w="580" w:type="pct"/>
            <w:vAlign w:val="center"/>
          </w:tcPr>
          <w:p w:rsidR="00410806" w:rsidRPr="0019406C" w:rsidRDefault="00410806" w:rsidP="008D1E3B">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5,7</w:t>
            </w:r>
          </w:p>
        </w:tc>
        <w:tc>
          <w:tcPr>
            <w:tcW w:w="578" w:type="pct"/>
            <w:vAlign w:val="center"/>
          </w:tcPr>
          <w:p w:rsidR="00410806" w:rsidRPr="0019406C" w:rsidRDefault="00410806" w:rsidP="00410806">
            <w:pPr>
              <w:jc w:val="center"/>
              <w:cnfStyle w:val="000000000000" w:firstRow="0" w:lastRow="0" w:firstColumn="0" w:lastColumn="0" w:oddVBand="0" w:evenVBand="0" w:oddHBand="0" w:evenHBand="0" w:firstRowFirstColumn="0" w:firstRowLastColumn="0" w:lastRowFirstColumn="0" w:lastRowLastColumn="0"/>
              <w:rPr>
                <w:lang w:val="lv-LV"/>
              </w:rPr>
            </w:pPr>
            <w:r w:rsidRPr="0019406C">
              <w:rPr>
                <w:lang w:val="lv-LV"/>
              </w:rPr>
              <w:t>5,7</w:t>
            </w:r>
          </w:p>
        </w:tc>
        <w:tc>
          <w:tcPr>
            <w:tcW w:w="647" w:type="pct"/>
            <w:vAlign w:val="center"/>
          </w:tcPr>
          <w:p w:rsidR="00410806" w:rsidRPr="0019406C" w:rsidRDefault="00410806" w:rsidP="00410806">
            <w:pPr>
              <w:jc w:val="center"/>
              <w:cnfStyle w:val="000000000000" w:firstRow="0" w:lastRow="0" w:firstColumn="0" w:lastColumn="0" w:oddVBand="0" w:evenVBand="0" w:oddHBand="0" w:evenHBand="0" w:firstRowFirstColumn="0" w:firstRowLastColumn="0" w:lastRowFirstColumn="0" w:lastRowLastColumn="0"/>
              <w:rPr>
                <w:lang w:val="lv-LV"/>
              </w:rPr>
            </w:pPr>
            <w:r w:rsidRPr="0019406C">
              <w:rPr>
                <w:lang w:val="lv-LV"/>
              </w:rPr>
              <w:t>5,7</w:t>
            </w:r>
          </w:p>
        </w:tc>
        <w:tc>
          <w:tcPr>
            <w:tcW w:w="577" w:type="pct"/>
            <w:vAlign w:val="center"/>
          </w:tcPr>
          <w:p w:rsidR="00410806" w:rsidRPr="0019406C" w:rsidRDefault="00410806" w:rsidP="00410806">
            <w:pPr>
              <w:jc w:val="center"/>
              <w:cnfStyle w:val="000000000000" w:firstRow="0" w:lastRow="0" w:firstColumn="0" w:lastColumn="0" w:oddVBand="0" w:evenVBand="0" w:oddHBand="0" w:evenHBand="0" w:firstRowFirstColumn="0" w:firstRowLastColumn="0" w:lastRowFirstColumn="0" w:lastRowLastColumn="0"/>
              <w:rPr>
                <w:lang w:val="lv-LV"/>
              </w:rPr>
            </w:pPr>
            <w:r w:rsidRPr="0019406C">
              <w:rPr>
                <w:lang w:val="lv-LV"/>
              </w:rPr>
              <w:t>5,7</w:t>
            </w:r>
          </w:p>
        </w:tc>
        <w:tc>
          <w:tcPr>
            <w:tcW w:w="506" w:type="pct"/>
            <w:vAlign w:val="center"/>
          </w:tcPr>
          <w:p w:rsidR="00410806" w:rsidRPr="0019406C" w:rsidRDefault="00410806" w:rsidP="00410806">
            <w:pPr>
              <w:jc w:val="center"/>
              <w:cnfStyle w:val="000000000000" w:firstRow="0" w:lastRow="0" w:firstColumn="0" w:lastColumn="0" w:oddVBand="0" w:evenVBand="0" w:oddHBand="0" w:evenHBand="0" w:firstRowFirstColumn="0" w:firstRowLastColumn="0" w:lastRowFirstColumn="0" w:lastRowLastColumn="0"/>
              <w:rPr>
                <w:lang w:val="lv-LV"/>
              </w:rPr>
            </w:pPr>
            <w:r w:rsidRPr="0019406C">
              <w:rPr>
                <w:lang w:val="lv-LV"/>
              </w:rPr>
              <w:t>5,7</w:t>
            </w:r>
          </w:p>
        </w:tc>
        <w:tc>
          <w:tcPr>
            <w:tcW w:w="534" w:type="pct"/>
            <w:vAlign w:val="center"/>
          </w:tcPr>
          <w:p w:rsidR="00410806" w:rsidRPr="0019406C" w:rsidRDefault="00410806" w:rsidP="00410806">
            <w:pPr>
              <w:jc w:val="center"/>
              <w:cnfStyle w:val="000000000000" w:firstRow="0" w:lastRow="0" w:firstColumn="0" w:lastColumn="0" w:oddVBand="0" w:evenVBand="0" w:oddHBand="0" w:evenHBand="0" w:firstRowFirstColumn="0" w:firstRowLastColumn="0" w:lastRowFirstColumn="0" w:lastRowLastColumn="0"/>
              <w:rPr>
                <w:lang w:val="lv-LV"/>
              </w:rPr>
            </w:pPr>
            <w:r w:rsidRPr="0019406C">
              <w:rPr>
                <w:lang w:val="lv-LV"/>
              </w:rPr>
              <w:t>5,7</w:t>
            </w:r>
          </w:p>
        </w:tc>
        <w:tc>
          <w:tcPr>
            <w:tcW w:w="436" w:type="pct"/>
            <w:vAlign w:val="center"/>
          </w:tcPr>
          <w:p w:rsidR="00410806" w:rsidRPr="0019406C" w:rsidRDefault="00410806" w:rsidP="008D1E3B">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6,2</w:t>
            </w:r>
          </w:p>
        </w:tc>
      </w:tr>
    </w:tbl>
    <w:p w:rsidR="00DC0BF7" w:rsidRPr="0019406C" w:rsidRDefault="00DC0BF7" w:rsidP="00596204">
      <w:pPr>
        <w:pStyle w:val="BodyText"/>
        <w:jc w:val="both"/>
        <w:rPr>
          <w:rFonts w:asciiTheme="majorHAnsi" w:hAnsiTheme="majorHAnsi"/>
          <w:lang w:val="lv-LV"/>
        </w:rPr>
      </w:pPr>
    </w:p>
    <w:p w:rsidR="00596204" w:rsidRPr="0019406C" w:rsidRDefault="00596204" w:rsidP="006B022F">
      <w:pPr>
        <w:pStyle w:val="BodyText"/>
        <w:spacing w:line="276" w:lineRule="auto"/>
        <w:jc w:val="both"/>
        <w:rPr>
          <w:rFonts w:asciiTheme="majorHAnsi" w:hAnsiTheme="majorHAnsi"/>
          <w:lang w:val="lv-LV"/>
        </w:rPr>
      </w:pPr>
      <w:r w:rsidRPr="0019406C">
        <w:rPr>
          <w:rFonts w:asciiTheme="majorHAnsi" w:hAnsiTheme="majorHAnsi"/>
          <w:lang w:val="lv-LV"/>
        </w:rPr>
        <w:lastRenderedPageBreak/>
        <w:t xml:space="preserve">2014.gada pētījumā, salīdzinot ar Eiropas un </w:t>
      </w:r>
      <w:proofErr w:type="spellStart"/>
      <w:r w:rsidRPr="0019406C">
        <w:rPr>
          <w:rFonts w:asciiTheme="majorHAnsi" w:hAnsiTheme="majorHAnsi"/>
          <w:lang w:val="lv-LV"/>
        </w:rPr>
        <w:t>Centrālāzijas</w:t>
      </w:r>
      <w:proofErr w:type="spellEnd"/>
      <w:r w:rsidRPr="0019406C">
        <w:rPr>
          <w:rFonts w:asciiTheme="majorHAnsi" w:hAnsiTheme="majorHAnsi"/>
          <w:lang w:val="lv-LV"/>
        </w:rPr>
        <w:t xml:space="preserve"> reģiona vidējiem rādītājiem, Latvija atpaliek kritērijos par informācijas</w:t>
      </w:r>
      <w:r w:rsidR="00B401CC" w:rsidRPr="0019406C">
        <w:rPr>
          <w:rFonts w:asciiTheme="majorHAnsi" w:hAnsiTheme="majorHAnsi"/>
          <w:lang w:val="lv-LV"/>
        </w:rPr>
        <w:t xml:space="preserve"> atklāšanu un vadības atbildību, turpretī iespējas vērsties tiesā ir daudz augstāk novērtētas Latvijā kā vidēji Eiropā un </w:t>
      </w:r>
      <w:proofErr w:type="spellStart"/>
      <w:r w:rsidR="00B401CC" w:rsidRPr="0019406C">
        <w:rPr>
          <w:rFonts w:asciiTheme="majorHAnsi" w:hAnsiTheme="majorHAnsi"/>
          <w:lang w:val="lv-LV"/>
        </w:rPr>
        <w:t>Centrālāzijā</w:t>
      </w:r>
      <w:proofErr w:type="spellEnd"/>
      <w:r w:rsidR="00B401CC" w:rsidRPr="0019406C">
        <w:rPr>
          <w:rFonts w:asciiTheme="majorHAnsi" w:hAnsiTheme="majorHAnsi"/>
          <w:lang w:val="lv-LV"/>
        </w:rPr>
        <w:t>.</w:t>
      </w:r>
    </w:p>
    <w:p w:rsidR="00596204" w:rsidRPr="0019406C" w:rsidRDefault="00596204" w:rsidP="00596204">
      <w:pPr>
        <w:pStyle w:val="BodyText"/>
        <w:rPr>
          <w:rFonts w:asciiTheme="majorHAnsi" w:hAnsiTheme="majorHAnsi"/>
          <w:b/>
          <w:sz w:val="22"/>
          <w:lang w:val="lv-LV"/>
        </w:rPr>
      </w:pPr>
      <w:r w:rsidRPr="0019406C">
        <w:rPr>
          <w:rFonts w:asciiTheme="majorHAnsi" w:hAnsiTheme="majorHAnsi"/>
          <w:b/>
          <w:sz w:val="22"/>
          <w:lang w:val="lv-LV"/>
        </w:rPr>
        <w:t>Globālās konkurētspējas indekss</w:t>
      </w:r>
    </w:p>
    <w:p w:rsidR="00596204" w:rsidRPr="0019406C" w:rsidRDefault="00596204" w:rsidP="006B022F">
      <w:pPr>
        <w:pStyle w:val="BodyText"/>
        <w:spacing w:line="276" w:lineRule="auto"/>
        <w:jc w:val="both"/>
        <w:rPr>
          <w:rFonts w:asciiTheme="majorHAnsi" w:hAnsiTheme="majorHAnsi"/>
          <w:lang w:val="lv-LV"/>
        </w:rPr>
      </w:pPr>
      <w:r w:rsidRPr="0019406C">
        <w:rPr>
          <w:rFonts w:asciiTheme="majorHAnsi" w:hAnsiTheme="majorHAnsi"/>
          <w:lang w:val="lv-LV"/>
        </w:rPr>
        <w:t>Vērtējot investoru aizsardzību Latvijā pēc GKI indeksa komponentēm, Latvija ir zaudējusi savu pozīciju abos rādītājos – mazākuma īpašnieku interešu aizsardzībā par 11 vietām un investoru aizsardzības novērtējumā par 5 vietām.</w:t>
      </w:r>
    </w:p>
    <w:p w:rsidR="00596204" w:rsidRPr="0019406C" w:rsidRDefault="00596204" w:rsidP="00596204">
      <w:pPr>
        <w:pStyle w:val="Caption"/>
        <w:keepNext/>
        <w:rPr>
          <w:rFonts w:asciiTheme="majorHAnsi" w:hAnsiTheme="majorHAnsi"/>
          <w:sz w:val="16"/>
          <w:lang w:val="lv-LV"/>
        </w:rPr>
      </w:pPr>
      <w:bookmarkStart w:id="91" w:name="_Toc381343981"/>
      <w:bookmarkStart w:id="92" w:name="_Toc381717290"/>
      <w:bookmarkStart w:id="93" w:name="_Toc389225091"/>
      <w:r w:rsidRPr="0019406C">
        <w:rPr>
          <w:rFonts w:asciiTheme="majorHAnsi" w:hAnsiTheme="majorHAnsi"/>
          <w:sz w:val="16"/>
          <w:lang w:val="lv-LV"/>
        </w:rPr>
        <w:t xml:space="preserve">Tabula </w:t>
      </w:r>
      <w:r w:rsidRPr="0019406C">
        <w:rPr>
          <w:rFonts w:asciiTheme="majorHAnsi" w:hAnsiTheme="majorHAnsi"/>
          <w:sz w:val="16"/>
          <w:lang w:val="lv-LV"/>
        </w:rPr>
        <w:fldChar w:fldCharType="begin"/>
      </w:r>
      <w:r w:rsidRPr="0019406C">
        <w:rPr>
          <w:rFonts w:asciiTheme="majorHAnsi" w:hAnsiTheme="majorHAnsi"/>
          <w:sz w:val="16"/>
          <w:lang w:val="lv-LV"/>
        </w:rPr>
        <w:instrText xml:space="preserve"> SEQ Tabula \* ARABIC </w:instrText>
      </w:r>
      <w:r w:rsidRPr="0019406C">
        <w:rPr>
          <w:rFonts w:asciiTheme="majorHAnsi" w:hAnsiTheme="majorHAnsi"/>
          <w:sz w:val="16"/>
          <w:lang w:val="lv-LV"/>
        </w:rPr>
        <w:fldChar w:fldCharType="separate"/>
      </w:r>
      <w:r w:rsidR="00410806" w:rsidRPr="0019406C">
        <w:rPr>
          <w:rFonts w:asciiTheme="majorHAnsi" w:hAnsiTheme="majorHAnsi"/>
          <w:noProof/>
          <w:sz w:val="16"/>
          <w:lang w:val="lv-LV"/>
        </w:rPr>
        <w:t>17</w:t>
      </w:r>
      <w:r w:rsidRPr="0019406C">
        <w:rPr>
          <w:rFonts w:asciiTheme="majorHAnsi" w:hAnsiTheme="majorHAnsi"/>
          <w:sz w:val="16"/>
          <w:lang w:val="lv-LV"/>
        </w:rPr>
        <w:fldChar w:fldCharType="end"/>
      </w:r>
      <w:r w:rsidRPr="0019406C">
        <w:rPr>
          <w:rFonts w:asciiTheme="majorHAnsi" w:hAnsiTheme="majorHAnsi"/>
          <w:sz w:val="16"/>
          <w:lang w:val="lv-LV"/>
        </w:rPr>
        <w:t xml:space="preserve"> GKI investoru aizsardzības indekss (vieta rangā)</w:t>
      </w:r>
      <w:bookmarkEnd w:id="91"/>
      <w:bookmarkEnd w:id="92"/>
      <w:bookmarkEnd w:id="93"/>
    </w:p>
    <w:tbl>
      <w:tblPr>
        <w:tblStyle w:val="LightList-Accent11"/>
        <w:tblW w:w="5000" w:type="pct"/>
        <w:tblLook w:val="00A0" w:firstRow="1" w:lastRow="0" w:firstColumn="1" w:lastColumn="0" w:noHBand="0" w:noVBand="0"/>
      </w:tblPr>
      <w:tblGrid>
        <w:gridCol w:w="4886"/>
        <w:gridCol w:w="1736"/>
        <w:gridCol w:w="1734"/>
        <w:gridCol w:w="1724"/>
      </w:tblGrid>
      <w:tr w:rsidR="00596204" w:rsidRPr="0019406C" w:rsidTr="00F94A66">
        <w:trPr>
          <w:cnfStyle w:val="100000000000" w:firstRow="1" w:lastRow="0" w:firstColumn="0" w:lastColumn="0" w:oddVBand="0" w:evenVBand="0" w:oddHBand="0" w:evenHBand="0" w:firstRowFirstColumn="0" w:firstRowLastColumn="0" w:lastRowFirstColumn="0" w:lastRowLastColumn="0"/>
          <w:trHeight w:val="190"/>
        </w:trPr>
        <w:tc>
          <w:tcPr>
            <w:cnfStyle w:val="001000000000" w:firstRow="0" w:lastRow="0" w:firstColumn="1" w:lastColumn="0" w:oddVBand="0" w:evenVBand="0" w:oddHBand="0" w:evenHBand="0" w:firstRowFirstColumn="0" w:firstRowLastColumn="0" w:lastRowFirstColumn="0" w:lastRowLastColumn="0"/>
            <w:tcW w:w="2424" w:type="pct"/>
            <w:vAlign w:val="center"/>
          </w:tcPr>
          <w:p w:rsidR="00596204" w:rsidRPr="0019406C" w:rsidRDefault="00596204" w:rsidP="00F94A66">
            <w:pPr>
              <w:rPr>
                <w:rFonts w:eastAsia="Cambria" w:cs="Times New Roman"/>
                <w:lang w:val="lv-LV"/>
              </w:rPr>
            </w:pPr>
            <w:r w:rsidRPr="0019406C">
              <w:rPr>
                <w:rFonts w:eastAsia="Cambria" w:cs="Times New Roman"/>
                <w:lang w:val="lv-LV"/>
              </w:rPr>
              <w:t>Rādītājs</w:t>
            </w:r>
          </w:p>
        </w:tc>
        <w:tc>
          <w:tcPr>
            <w:cnfStyle w:val="000010000000" w:firstRow="0" w:lastRow="0" w:firstColumn="0" w:lastColumn="0" w:oddVBand="1" w:evenVBand="0" w:oddHBand="0" w:evenHBand="0" w:firstRowFirstColumn="0" w:firstRowLastColumn="0" w:lastRowFirstColumn="0" w:lastRowLastColumn="0"/>
            <w:tcW w:w="861" w:type="pct"/>
            <w:vAlign w:val="center"/>
          </w:tcPr>
          <w:p w:rsidR="00596204" w:rsidRPr="0019406C" w:rsidRDefault="00596204" w:rsidP="00F94A66">
            <w:pPr>
              <w:jc w:val="center"/>
              <w:rPr>
                <w:rFonts w:eastAsia="Cambria" w:cs="Times New Roman"/>
                <w:lang w:val="lv-LV"/>
              </w:rPr>
            </w:pPr>
            <w:r w:rsidRPr="0019406C">
              <w:rPr>
                <w:rFonts w:eastAsia="Cambria" w:cs="Times New Roman"/>
                <w:lang w:val="lv-LV"/>
              </w:rPr>
              <w:t>2012</w:t>
            </w:r>
          </w:p>
        </w:tc>
        <w:tc>
          <w:tcPr>
            <w:tcW w:w="860" w:type="pct"/>
            <w:vAlign w:val="center"/>
          </w:tcPr>
          <w:p w:rsidR="00596204" w:rsidRPr="0019406C" w:rsidRDefault="00596204" w:rsidP="00F94A66">
            <w:pPr>
              <w:jc w:val="center"/>
              <w:cnfStyle w:val="100000000000" w:firstRow="1" w:lastRow="0" w:firstColumn="0" w:lastColumn="0" w:oddVBand="0" w:evenVBand="0" w:oddHBand="0" w:evenHBand="0" w:firstRowFirstColumn="0" w:firstRowLastColumn="0" w:lastRowFirstColumn="0" w:lastRowLastColumn="0"/>
              <w:rPr>
                <w:rFonts w:eastAsia="Cambria" w:cs="Times New Roman"/>
                <w:lang w:val="lv-LV"/>
              </w:rPr>
            </w:pPr>
            <w:r w:rsidRPr="0019406C">
              <w:rPr>
                <w:rFonts w:eastAsia="Cambria" w:cs="Times New Roman"/>
                <w:lang w:val="lv-LV"/>
              </w:rPr>
              <w:t>2013</w:t>
            </w:r>
          </w:p>
        </w:tc>
        <w:tc>
          <w:tcPr>
            <w:cnfStyle w:val="000010000000" w:firstRow="0" w:lastRow="0" w:firstColumn="0" w:lastColumn="0" w:oddVBand="1" w:evenVBand="0" w:oddHBand="0" w:evenHBand="0" w:firstRowFirstColumn="0" w:firstRowLastColumn="0" w:lastRowFirstColumn="0" w:lastRowLastColumn="0"/>
            <w:tcW w:w="856" w:type="pct"/>
            <w:vAlign w:val="center"/>
          </w:tcPr>
          <w:p w:rsidR="00596204" w:rsidRPr="0019406C" w:rsidRDefault="00596204" w:rsidP="00F94A66">
            <w:pPr>
              <w:jc w:val="center"/>
              <w:rPr>
                <w:rFonts w:eastAsia="Cambria" w:cs="Times New Roman"/>
                <w:lang w:val="lv-LV"/>
              </w:rPr>
            </w:pPr>
            <w:r w:rsidRPr="0019406C">
              <w:rPr>
                <w:rFonts w:eastAsia="Cambria" w:cs="Times New Roman"/>
                <w:lang w:val="lv-LV"/>
              </w:rPr>
              <w:t>Izmaiņa</w:t>
            </w:r>
          </w:p>
        </w:tc>
      </w:tr>
      <w:tr w:rsidR="00596204" w:rsidRPr="0019406C" w:rsidTr="00F94A66">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424" w:type="pct"/>
            <w:vAlign w:val="center"/>
          </w:tcPr>
          <w:p w:rsidR="00596204" w:rsidRPr="0019406C" w:rsidRDefault="007B5F8A" w:rsidP="00F94A66">
            <w:pPr>
              <w:rPr>
                <w:rFonts w:eastAsia="Cambria" w:cs="Times New Roman"/>
                <w:b w:val="0"/>
                <w:lang w:val="lv-LV"/>
              </w:rPr>
            </w:pPr>
            <w:r w:rsidRPr="0019406C">
              <w:rPr>
                <w:rFonts w:eastAsia="Cambria" w:cs="Times New Roman"/>
                <w:b w:val="0"/>
                <w:lang w:val="lv-LV"/>
              </w:rPr>
              <w:t>Ma</w:t>
            </w:r>
            <w:r w:rsidR="00596204" w:rsidRPr="0019406C">
              <w:rPr>
                <w:rFonts w:eastAsia="Cambria" w:cs="Times New Roman"/>
                <w:b w:val="0"/>
                <w:lang w:val="lv-LV"/>
              </w:rPr>
              <w:t>zākuma īpašnieku interešu aizsardzība</w:t>
            </w:r>
          </w:p>
        </w:tc>
        <w:tc>
          <w:tcPr>
            <w:cnfStyle w:val="000010000000" w:firstRow="0" w:lastRow="0" w:firstColumn="0" w:lastColumn="0" w:oddVBand="1" w:evenVBand="0" w:oddHBand="0" w:evenHBand="0" w:firstRowFirstColumn="0" w:firstRowLastColumn="0" w:lastRowFirstColumn="0" w:lastRowLastColumn="0"/>
            <w:tcW w:w="861" w:type="pct"/>
            <w:vAlign w:val="center"/>
          </w:tcPr>
          <w:p w:rsidR="00596204" w:rsidRPr="0019406C" w:rsidRDefault="00596204" w:rsidP="00F94A66">
            <w:pPr>
              <w:jc w:val="center"/>
              <w:rPr>
                <w:rFonts w:eastAsia="Cambria" w:cs="Times New Roman"/>
                <w:lang w:val="lv-LV"/>
              </w:rPr>
            </w:pPr>
            <w:r w:rsidRPr="0019406C">
              <w:rPr>
                <w:rFonts w:eastAsia="Cambria" w:cs="Times New Roman"/>
                <w:lang w:val="lv-LV"/>
              </w:rPr>
              <w:t>77</w:t>
            </w:r>
          </w:p>
        </w:tc>
        <w:tc>
          <w:tcPr>
            <w:tcW w:w="860" w:type="pct"/>
            <w:vAlign w:val="center"/>
          </w:tcPr>
          <w:p w:rsidR="00596204" w:rsidRPr="0019406C" w:rsidRDefault="00596204" w:rsidP="00F94A66">
            <w:pPr>
              <w:jc w:val="center"/>
              <w:cnfStyle w:val="000000100000" w:firstRow="0" w:lastRow="0" w:firstColumn="0" w:lastColumn="0" w:oddVBand="0" w:evenVBand="0" w:oddHBand="1" w:evenHBand="0" w:firstRowFirstColumn="0" w:firstRowLastColumn="0" w:lastRowFirstColumn="0" w:lastRowLastColumn="0"/>
              <w:rPr>
                <w:rFonts w:eastAsia="Cambria" w:cs="Times New Roman"/>
                <w:lang w:val="lv-LV"/>
              </w:rPr>
            </w:pPr>
            <w:r w:rsidRPr="0019406C">
              <w:rPr>
                <w:rFonts w:eastAsia="Cambria" w:cs="Times New Roman"/>
                <w:lang w:val="lv-LV"/>
              </w:rPr>
              <w:t>88</w:t>
            </w:r>
          </w:p>
        </w:tc>
        <w:tc>
          <w:tcPr>
            <w:cnfStyle w:val="000010000000" w:firstRow="0" w:lastRow="0" w:firstColumn="0" w:lastColumn="0" w:oddVBand="1" w:evenVBand="0" w:oddHBand="0" w:evenHBand="0" w:firstRowFirstColumn="0" w:firstRowLastColumn="0" w:lastRowFirstColumn="0" w:lastRowLastColumn="0"/>
            <w:tcW w:w="856" w:type="pct"/>
            <w:vAlign w:val="center"/>
          </w:tcPr>
          <w:p w:rsidR="00596204" w:rsidRPr="0019406C" w:rsidRDefault="00596204" w:rsidP="00F94A66">
            <w:pPr>
              <w:jc w:val="center"/>
              <w:rPr>
                <w:rFonts w:eastAsia="Cambria" w:cs="Times New Roman"/>
                <w:b/>
                <w:lang w:val="lv-LV"/>
              </w:rPr>
            </w:pPr>
            <w:r w:rsidRPr="0019406C">
              <w:rPr>
                <w:rFonts w:ascii="Times New Roman" w:eastAsia="Cambria" w:hAnsi="Times New Roman" w:cs="Times New Roman"/>
                <w:b/>
                <w:lang w:val="lv-LV"/>
              </w:rPr>
              <w:t>↓</w:t>
            </w:r>
            <w:r w:rsidRPr="0019406C">
              <w:rPr>
                <w:rFonts w:eastAsia="Cambria" w:cs="Times New Roman"/>
                <w:b/>
                <w:lang w:val="lv-LV"/>
              </w:rPr>
              <w:t xml:space="preserve"> -11</w:t>
            </w:r>
          </w:p>
        </w:tc>
      </w:tr>
      <w:tr w:rsidR="00596204" w:rsidRPr="0019406C" w:rsidTr="00F94A66">
        <w:trPr>
          <w:trHeight w:val="280"/>
        </w:trPr>
        <w:tc>
          <w:tcPr>
            <w:cnfStyle w:val="001000000000" w:firstRow="0" w:lastRow="0" w:firstColumn="1" w:lastColumn="0" w:oddVBand="0" w:evenVBand="0" w:oddHBand="0" w:evenHBand="0" w:firstRowFirstColumn="0" w:firstRowLastColumn="0" w:lastRowFirstColumn="0" w:lastRowLastColumn="0"/>
            <w:tcW w:w="2424" w:type="pct"/>
            <w:vAlign w:val="center"/>
          </w:tcPr>
          <w:p w:rsidR="00596204" w:rsidRPr="0019406C" w:rsidRDefault="00596204" w:rsidP="00F94A66">
            <w:pPr>
              <w:rPr>
                <w:rFonts w:eastAsia="Cambria" w:cs="Times New Roman"/>
                <w:b w:val="0"/>
                <w:lang w:val="lv-LV"/>
              </w:rPr>
            </w:pPr>
            <w:r w:rsidRPr="0019406C">
              <w:rPr>
                <w:rFonts w:eastAsia="Cambria" w:cs="Times New Roman"/>
                <w:b w:val="0"/>
                <w:lang w:val="lv-LV"/>
              </w:rPr>
              <w:t>Investoru aizsardzības novērtējums</w:t>
            </w:r>
            <w:r w:rsidR="001C0254" w:rsidRPr="0019406C">
              <w:rPr>
                <w:rFonts w:eastAsia="Cambria" w:cs="Times New Roman"/>
                <w:b w:val="0"/>
                <w:lang w:val="lv-LV"/>
              </w:rPr>
              <w:t xml:space="preserve"> (vērtējums 0-10)</w:t>
            </w:r>
          </w:p>
        </w:tc>
        <w:tc>
          <w:tcPr>
            <w:cnfStyle w:val="000010000000" w:firstRow="0" w:lastRow="0" w:firstColumn="0" w:lastColumn="0" w:oddVBand="1" w:evenVBand="0" w:oddHBand="0" w:evenHBand="0" w:firstRowFirstColumn="0" w:firstRowLastColumn="0" w:lastRowFirstColumn="0" w:lastRowLastColumn="0"/>
            <w:tcW w:w="861" w:type="pct"/>
            <w:vAlign w:val="center"/>
          </w:tcPr>
          <w:p w:rsidR="00596204" w:rsidRPr="0019406C" w:rsidRDefault="00596204" w:rsidP="00F94A66">
            <w:pPr>
              <w:jc w:val="center"/>
              <w:rPr>
                <w:rFonts w:eastAsia="Cambria" w:cs="Times New Roman"/>
                <w:lang w:val="lv-LV"/>
              </w:rPr>
            </w:pPr>
            <w:r w:rsidRPr="0019406C">
              <w:rPr>
                <w:rFonts w:eastAsia="Cambria" w:cs="Times New Roman"/>
                <w:lang w:val="lv-LV"/>
              </w:rPr>
              <w:t>52</w:t>
            </w:r>
          </w:p>
        </w:tc>
        <w:tc>
          <w:tcPr>
            <w:tcW w:w="860" w:type="pct"/>
            <w:vAlign w:val="center"/>
          </w:tcPr>
          <w:p w:rsidR="00596204" w:rsidRPr="0019406C" w:rsidRDefault="00596204" w:rsidP="00410806">
            <w:pPr>
              <w:jc w:val="center"/>
              <w:cnfStyle w:val="000000000000" w:firstRow="0" w:lastRow="0" w:firstColumn="0" w:lastColumn="0" w:oddVBand="0" w:evenVBand="0" w:oddHBand="0" w:evenHBand="0" w:firstRowFirstColumn="0" w:firstRowLastColumn="0" w:lastRowFirstColumn="0" w:lastRowLastColumn="0"/>
              <w:rPr>
                <w:rFonts w:eastAsia="Cambria" w:cs="Times New Roman"/>
                <w:lang w:val="lv-LV"/>
              </w:rPr>
            </w:pPr>
            <w:r w:rsidRPr="0019406C">
              <w:rPr>
                <w:rFonts w:eastAsia="Cambria" w:cs="Times New Roman"/>
                <w:lang w:val="lv-LV"/>
              </w:rPr>
              <w:t>57</w:t>
            </w:r>
            <w:r w:rsidR="001C0254" w:rsidRPr="0019406C">
              <w:rPr>
                <w:rFonts w:eastAsia="Cambria" w:cs="Times New Roman"/>
                <w:lang w:val="lv-LV"/>
              </w:rPr>
              <w:t xml:space="preserve"> (5</w:t>
            </w:r>
            <w:r w:rsidR="00410806" w:rsidRPr="0019406C">
              <w:rPr>
                <w:rFonts w:eastAsia="Cambria" w:cs="Times New Roman"/>
                <w:lang w:val="lv-LV"/>
              </w:rPr>
              <w:t>,</w:t>
            </w:r>
            <w:r w:rsidR="001C0254" w:rsidRPr="0019406C">
              <w:rPr>
                <w:rFonts w:eastAsia="Cambria" w:cs="Times New Roman"/>
                <w:lang w:val="lv-LV"/>
              </w:rPr>
              <w:t>7)</w:t>
            </w:r>
          </w:p>
        </w:tc>
        <w:tc>
          <w:tcPr>
            <w:cnfStyle w:val="000010000000" w:firstRow="0" w:lastRow="0" w:firstColumn="0" w:lastColumn="0" w:oddVBand="1" w:evenVBand="0" w:oddHBand="0" w:evenHBand="0" w:firstRowFirstColumn="0" w:firstRowLastColumn="0" w:lastRowFirstColumn="0" w:lastRowLastColumn="0"/>
            <w:tcW w:w="856" w:type="pct"/>
            <w:vAlign w:val="center"/>
          </w:tcPr>
          <w:p w:rsidR="00596204" w:rsidRPr="0019406C" w:rsidRDefault="00596204" w:rsidP="00F94A66">
            <w:pPr>
              <w:jc w:val="center"/>
              <w:rPr>
                <w:rFonts w:eastAsia="Cambria" w:cs="Times New Roman"/>
                <w:b/>
                <w:lang w:val="lv-LV"/>
              </w:rPr>
            </w:pPr>
            <w:r w:rsidRPr="0019406C">
              <w:rPr>
                <w:rFonts w:ascii="Times New Roman" w:eastAsia="Cambria" w:hAnsi="Times New Roman" w:cs="Times New Roman"/>
                <w:b/>
                <w:lang w:val="lv-LV"/>
              </w:rPr>
              <w:t>↓</w:t>
            </w:r>
            <w:r w:rsidRPr="0019406C">
              <w:rPr>
                <w:rFonts w:eastAsia="Cambria" w:cs="Times New Roman"/>
                <w:b/>
                <w:lang w:val="lv-LV"/>
              </w:rPr>
              <w:t xml:space="preserve"> -5</w:t>
            </w:r>
          </w:p>
        </w:tc>
      </w:tr>
    </w:tbl>
    <w:p w:rsidR="007B5F8A" w:rsidRPr="0019406C" w:rsidRDefault="007B5F8A" w:rsidP="00596204">
      <w:pPr>
        <w:pStyle w:val="BodyText"/>
        <w:rPr>
          <w:rFonts w:asciiTheme="majorHAnsi" w:hAnsiTheme="majorHAnsi"/>
          <w:b/>
          <w:sz w:val="22"/>
          <w:lang w:val="lv-LV"/>
        </w:rPr>
      </w:pPr>
    </w:p>
    <w:p w:rsidR="002449FC" w:rsidRPr="0019406C" w:rsidRDefault="002449FC" w:rsidP="002449FC">
      <w:pPr>
        <w:pStyle w:val="BodyText"/>
        <w:rPr>
          <w:rFonts w:asciiTheme="majorHAnsi" w:hAnsiTheme="majorHAnsi"/>
          <w:b/>
          <w:sz w:val="22"/>
          <w:lang w:val="lv-LV"/>
        </w:rPr>
      </w:pPr>
      <w:r w:rsidRPr="0019406C">
        <w:rPr>
          <w:rFonts w:asciiTheme="majorHAnsi" w:hAnsiTheme="majorHAnsi"/>
          <w:b/>
          <w:sz w:val="22"/>
          <w:lang w:val="lv-LV"/>
        </w:rPr>
        <w:t>Līdz šim īstenotās reformas</w:t>
      </w:r>
    </w:p>
    <w:p w:rsidR="002449FC" w:rsidRPr="0019406C" w:rsidRDefault="002449FC" w:rsidP="002449FC">
      <w:pPr>
        <w:pStyle w:val="BodyText"/>
        <w:spacing w:line="276" w:lineRule="auto"/>
        <w:jc w:val="both"/>
        <w:rPr>
          <w:rFonts w:asciiTheme="majorHAnsi" w:hAnsiTheme="majorHAnsi"/>
          <w:lang w:val="lv-LV"/>
        </w:rPr>
      </w:pPr>
      <w:r w:rsidRPr="0019406C">
        <w:rPr>
          <w:rFonts w:asciiTheme="majorHAnsi" w:hAnsiTheme="majorHAnsi"/>
          <w:lang w:val="lv-LV"/>
        </w:rPr>
        <w:t>Atbilstoši informācijai, kas iekļauta Uzņēmējdarbības vides uzlabošanas pasākumu plānā 2013.</w:t>
      </w:r>
      <w:r w:rsidR="00410806" w:rsidRPr="0019406C">
        <w:rPr>
          <w:rFonts w:asciiTheme="majorHAnsi" w:hAnsiTheme="majorHAnsi"/>
          <w:lang w:val="lv-LV"/>
        </w:rPr>
        <w:t xml:space="preserve"> – </w:t>
      </w:r>
      <w:r w:rsidRPr="0019406C">
        <w:rPr>
          <w:rFonts w:asciiTheme="majorHAnsi" w:hAnsiTheme="majorHAnsi"/>
          <w:lang w:val="lv-LV"/>
        </w:rPr>
        <w:t>2014.</w:t>
      </w:r>
      <w:r w:rsidR="00410806" w:rsidRPr="0019406C">
        <w:rPr>
          <w:rFonts w:asciiTheme="majorHAnsi" w:hAnsiTheme="majorHAnsi"/>
          <w:lang w:val="lv-LV"/>
        </w:rPr>
        <w:t xml:space="preserve"> </w:t>
      </w:r>
      <w:r w:rsidRPr="0019406C">
        <w:rPr>
          <w:rFonts w:asciiTheme="majorHAnsi" w:hAnsiTheme="majorHAnsi"/>
          <w:lang w:val="lv-LV"/>
        </w:rPr>
        <w:t>gadam, lai uzlabotu situāciju investoru aizsardzības rādītāju, 2012.</w:t>
      </w:r>
      <w:r w:rsidR="00410806" w:rsidRPr="0019406C">
        <w:rPr>
          <w:rFonts w:asciiTheme="majorHAnsi" w:hAnsiTheme="majorHAnsi"/>
          <w:lang w:val="lv-LV"/>
        </w:rPr>
        <w:t xml:space="preserve"> </w:t>
      </w:r>
      <w:r w:rsidRPr="0019406C">
        <w:rPr>
          <w:rFonts w:asciiTheme="majorHAnsi" w:hAnsiTheme="majorHAnsi"/>
          <w:lang w:val="lv-LV"/>
        </w:rPr>
        <w:t>gada 10.</w:t>
      </w:r>
      <w:r w:rsidR="00410806" w:rsidRPr="0019406C">
        <w:rPr>
          <w:rFonts w:asciiTheme="majorHAnsi" w:hAnsiTheme="majorHAnsi"/>
          <w:lang w:val="lv-LV"/>
        </w:rPr>
        <w:t xml:space="preserve"> </w:t>
      </w:r>
      <w:r w:rsidRPr="0019406C">
        <w:rPr>
          <w:rFonts w:asciiTheme="majorHAnsi" w:hAnsiTheme="majorHAnsi"/>
          <w:lang w:val="lv-LV"/>
        </w:rPr>
        <w:t xml:space="preserve">jūlijā stājās spēkā grozījumi Komerclikumā, Finanšu instrumentu tirgus likumā un Gada pārskatu likumā. Šie grozījumi ietver normas, kas sakārto lēmuma pieņemšanu uzņēmumā, ja dalībniekiem pastāv interešu konflikts, paredz ārēja auditora pārbaudes pirms biržā kotētās akciju sabiedrības darījuma, kas satur interešu konfliktu, un tiesības akcionāriem prasīt individuālu atbildību no uzņēmuma vadītāja vai valdes locekļa, ja tā darījuma laikā uzņēmumam ir radušies zaudējumi un darījums pēc būtības ir prettiesisks – negodīgs vai kaitē citiem akcionāriem un citas izmaiņas. Tiek pieņemts, ka šie grozījumi varētu būtiski paaugstināt Latvijas </w:t>
      </w:r>
      <w:r w:rsidR="0072729F" w:rsidRPr="0019406C">
        <w:rPr>
          <w:rFonts w:asciiTheme="majorHAnsi" w:hAnsiTheme="majorHAnsi"/>
          <w:lang w:val="lv-LV"/>
        </w:rPr>
        <w:t>vērtējumu</w:t>
      </w:r>
      <w:r w:rsidRPr="0019406C">
        <w:rPr>
          <w:rFonts w:asciiTheme="majorHAnsi" w:hAnsiTheme="majorHAnsi"/>
          <w:lang w:val="lv-LV"/>
        </w:rPr>
        <w:t xml:space="preserve"> Doing Business pētījuma kontekstā.</w:t>
      </w:r>
    </w:p>
    <w:p w:rsidR="00596204" w:rsidRPr="0019406C" w:rsidRDefault="00975AF0" w:rsidP="000857A7">
      <w:pPr>
        <w:pStyle w:val="BodyText"/>
        <w:spacing w:line="276" w:lineRule="auto"/>
        <w:rPr>
          <w:rFonts w:asciiTheme="majorHAnsi" w:hAnsiTheme="majorHAnsi"/>
          <w:b/>
          <w:sz w:val="22"/>
          <w:lang w:val="lv-LV"/>
        </w:rPr>
      </w:pPr>
      <w:r w:rsidRPr="0019406C">
        <w:rPr>
          <w:rFonts w:asciiTheme="majorHAnsi" w:hAnsiTheme="majorHAnsi"/>
          <w:b/>
          <w:sz w:val="22"/>
          <w:lang w:val="lv-LV"/>
        </w:rPr>
        <w:t>FICIL</w:t>
      </w:r>
    </w:p>
    <w:p w:rsidR="009E1757" w:rsidRPr="0019406C" w:rsidRDefault="009E1757" w:rsidP="006B022F">
      <w:pPr>
        <w:pStyle w:val="BodyText"/>
        <w:spacing w:line="276" w:lineRule="auto"/>
        <w:jc w:val="both"/>
        <w:rPr>
          <w:rFonts w:asciiTheme="majorHAnsi" w:hAnsiTheme="majorHAnsi"/>
          <w:lang w:val="lv-LV"/>
        </w:rPr>
      </w:pPr>
      <w:r w:rsidRPr="0019406C">
        <w:rPr>
          <w:rFonts w:asciiTheme="majorHAnsi" w:hAnsiTheme="majorHAnsi"/>
          <w:lang w:val="lv-LV"/>
        </w:rPr>
        <w:t xml:space="preserve">Ārvalstu investoru padome Latvijā (FICIL) </w:t>
      </w:r>
      <w:r w:rsidR="00975AF0" w:rsidRPr="0019406C">
        <w:rPr>
          <w:rFonts w:asciiTheme="majorHAnsi" w:hAnsiTheme="majorHAnsi"/>
          <w:lang w:val="lv-LV"/>
        </w:rPr>
        <w:t xml:space="preserve">ir tā, ka nodarbojas ar investoru interešu aizstāvību un veic savus </w:t>
      </w:r>
      <w:r w:rsidR="007B5F8A" w:rsidRPr="0019406C">
        <w:rPr>
          <w:rFonts w:asciiTheme="majorHAnsi" w:hAnsiTheme="majorHAnsi"/>
          <w:lang w:val="lv-LV"/>
        </w:rPr>
        <w:t>pētījumu</w:t>
      </w:r>
      <w:r w:rsidR="00975AF0" w:rsidRPr="0019406C">
        <w:rPr>
          <w:rFonts w:asciiTheme="majorHAnsi" w:hAnsiTheme="majorHAnsi"/>
          <w:lang w:val="lv-LV"/>
        </w:rPr>
        <w:t>s, kā arī sagatavo</w:t>
      </w:r>
      <w:r w:rsidR="00457525" w:rsidRPr="0019406C">
        <w:rPr>
          <w:rFonts w:asciiTheme="majorHAnsi" w:hAnsiTheme="majorHAnsi"/>
          <w:lang w:val="lv-LV"/>
        </w:rPr>
        <w:t xml:space="preserve"> priekšlikum</w:t>
      </w:r>
      <w:r w:rsidR="00975AF0" w:rsidRPr="0019406C">
        <w:rPr>
          <w:rFonts w:asciiTheme="majorHAnsi" w:hAnsiTheme="majorHAnsi"/>
          <w:lang w:val="lv-LV"/>
        </w:rPr>
        <w:t>us</w:t>
      </w:r>
      <w:r w:rsidR="00457525" w:rsidRPr="0019406C">
        <w:rPr>
          <w:rFonts w:asciiTheme="majorHAnsi" w:hAnsiTheme="majorHAnsi"/>
          <w:lang w:val="lv-LV"/>
        </w:rPr>
        <w:t xml:space="preserve"> par šo jomu</w:t>
      </w:r>
      <w:r w:rsidRPr="0019406C">
        <w:rPr>
          <w:rFonts w:asciiTheme="majorHAnsi" w:hAnsiTheme="majorHAnsi"/>
          <w:lang w:val="lv-LV"/>
        </w:rPr>
        <w:t>.</w:t>
      </w:r>
    </w:p>
    <w:p w:rsidR="001542A8" w:rsidRPr="0019406C" w:rsidRDefault="00596204" w:rsidP="00444A73">
      <w:pPr>
        <w:pStyle w:val="BodyText"/>
        <w:spacing w:line="276" w:lineRule="auto"/>
        <w:jc w:val="both"/>
        <w:rPr>
          <w:rFonts w:asciiTheme="majorHAnsi" w:hAnsiTheme="majorHAnsi"/>
          <w:lang w:val="lv-LV"/>
        </w:rPr>
      </w:pPr>
      <w:r w:rsidRPr="0019406C">
        <w:rPr>
          <w:rFonts w:asciiTheme="majorHAnsi" w:hAnsiTheme="majorHAnsi"/>
          <w:lang w:val="lv-LV"/>
        </w:rPr>
        <w:t>FICIL sastāvā esošā darba grupa par tiesu efektivitāte</w:t>
      </w:r>
      <w:r w:rsidR="007B5F8A" w:rsidRPr="0019406C">
        <w:rPr>
          <w:rFonts w:asciiTheme="majorHAnsi" w:hAnsiTheme="majorHAnsi"/>
          <w:lang w:val="lv-LV"/>
        </w:rPr>
        <w:t>s jautājumiem analizē</w:t>
      </w:r>
      <w:r w:rsidRPr="0019406C">
        <w:rPr>
          <w:rFonts w:asciiTheme="majorHAnsi" w:hAnsiTheme="majorHAnsi"/>
          <w:lang w:val="lv-LV"/>
        </w:rPr>
        <w:t xml:space="preserve"> arī tiesu un juridiskās sistēmas efektivitāti attiecībā un investoru interešu aizstāvību. 2013.</w:t>
      </w:r>
      <w:r w:rsidR="00410806" w:rsidRPr="0019406C">
        <w:rPr>
          <w:rFonts w:asciiTheme="majorHAnsi" w:hAnsiTheme="majorHAnsi"/>
          <w:lang w:val="lv-LV"/>
        </w:rPr>
        <w:t xml:space="preserve"> </w:t>
      </w:r>
      <w:r w:rsidRPr="0019406C">
        <w:rPr>
          <w:rFonts w:asciiTheme="majorHAnsi" w:hAnsiTheme="majorHAnsi"/>
          <w:lang w:val="lv-LV"/>
        </w:rPr>
        <w:t xml:space="preserve">gadā publicētajā pozīcijas dokumentā minētas šādas iespējamo uzlabojumu tēmas: tiesas un tiesu nolēmumu autoritātes nostiprināšana, kvalitatīvas alternatīvas tiesvedībai nodrošināšana (šķīrējtiesa, </w:t>
      </w:r>
      <w:proofErr w:type="spellStart"/>
      <w:r w:rsidRPr="0019406C">
        <w:rPr>
          <w:rFonts w:asciiTheme="majorHAnsi" w:hAnsiTheme="majorHAnsi"/>
          <w:lang w:val="lv-LV"/>
        </w:rPr>
        <w:t>mediācija</w:t>
      </w:r>
      <w:proofErr w:type="spellEnd"/>
      <w:r w:rsidRPr="0019406C">
        <w:rPr>
          <w:rFonts w:asciiTheme="majorHAnsi" w:hAnsiTheme="majorHAnsi"/>
          <w:lang w:val="lv-LV"/>
        </w:rPr>
        <w:t xml:space="preserve">), ārvalstu tiesu nolēmumu izpildes un ārvalsts likuma piemērošanas </w:t>
      </w:r>
      <w:proofErr w:type="spellStart"/>
      <w:r w:rsidRPr="0019406C">
        <w:rPr>
          <w:rFonts w:asciiTheme="majorHAnsi" w:hAnsiTheme="majorHAnsi"/>
          <w:lang w:val="lv-LV"/>
        </w:rPr>
        <w:t>efektivizēšana</w:t>
      </w:r>
      <w:proofErr w:type="spellEnd"/>
      <w:r w:rsidRPr="0019406C">
        <w:rPr>
          <w:rFonts w:asciiTheme="majorHAnsi" w:hAnsiTheme="majorHAnsi"/>
          <w:lang w:val="lv-LV"/>
        </w:rPr>
        <w:t xml:space="preserve"> un Civilprocesa likuma pilnveidošanas iespējas. Tēmā par kvalitatīvas alternatīvas tiesvedībai nodrošināšanu apskatīts jautājums, ka ar 2013.</w:t>
      </w:r>
      <w:r w:rsidR="00410806" w:rsidRPr="0019406C">
        <w:rPr>
          <w:rFonts w:asciiTheme="majorHAnsi" w:hAnsiTheme="majorHAnsi"/>
          <w:lang w:val="lv-LV"/>
        </w:rPr>
        <w:t xml:space="preserve"> </w:t>
      </w:r>
      <w:r w:rsidRPr="0019406C">
        <w:rPr>
          <w:rFonts w:asciiTheme="majorHAnsi" w:hAnsiTheme="majorHAnsi"/>
          <w:lang w:val="lv-LV"/>
        </w:rPr>
        <w:t>gada 3.</w:t>
      </w:r>
      <w:r w:rsidR="00410806" w:rsidRPr="0019406C">
        <w:rPr>
          <w:rFonts w:asciiTheme="majorHAnsi" w:hAnsiTheme="majorHAnsi"/>
          <w:lang w:val="lv-LV"/>
        </w:rPr>
        <w:t xml:space="preserve"> </w:t>
      </w:r>
      <w:r w:rsidRPr="0019406C">
        <w:rPr>
          <w:rFonts w:asciiTheme="majorHAnsi" w:hAnsiTheme="majorHAnsi"/>
          <w:lang w:val="lv-LV"/>
        </w:rPr>
        <w:t>maijā pieņemtajiem grozījumiem Komerclikumā tiek nodrošināta iespēja uzņēmuma statūtos noteikt, ka akcionāru sapulces norisi var apliecināt zvērināts notārs. Tas dod akcionāriem drošību par pieņemto lēmumu atbils</w:t>
      </w:r>
      <w:r w:rsidR="001A571B" w:rsidRPr="0019406C">
        <w:rPr>
          <w:rFonts w:asciiTheme="majorHAnsi" w:hAnsiTheme="majorHAnsi"/>
          <w:lang w:val="lv-LV"/>
        </w:rPr>
        <w:t>t</w:t>
      </w:r>
      <w:r w:rsidRPr="0019406C">
        <w:rPr>
          <w:rFonts w:asciiTheme="majorHAnsi" w:hAnsiTheme="majorHAnsi"/>
          <w:lang w:val="lv-LV"/>
        </w:rPr>
        <w:t>ību sapulces saturam un izskatītajiem dokumentiem. FICIL ierosina izskatīt iespēju arī citiem uzņēmuma darījumiem noteikt konkrētu dokumentu formu, īpaši, ja darījuma summa ir ievērojama, ņemot vērā, ka tādā gadījumā Uzņēmuma reģistram, pirms izmaiņu reģistrēšanas, būs pienākums pārliecināties par noteiktās formas ievērošanu.</w:t>
      </w:r>
    </w:p>
    <w:p w:rsidR="00596204" w:rsidRPr="0019406C" w:rsidRDefault="00534CB9" w:rsidP="00444A73">
      <w:pPr>
        <w:pStyle w:val="BodyText"/>
        <w:spacing w:line="276" w:lineRule="auto"/>
        <w:rPr>
          <w:rFonts w:asciiTheme="majorHAnsi" w:hAnsiTheme="majorHAnsi"/>
          <w:b/>
          <w:sz w:val="22"/>
          <w:lang w:val="lv-LV"/>
        </w:rPr>
      </w:pPr>
      <w:r w:rsidRPr="0019406C">
        <w:rPr>
          <w:rFonts w:asciiTheme="majorHAnsi" w:hAnsiTheme="majorHAnsi"/>
          <w:b/>
          <w:sz w:val="22"/>
          <w:lang w:val="lv-LV"/>
        </w:rPr>
        <w:t>Secinājumi un priekšlikumi</w:t>
      </w:r>
    </w:p>
    <w:p w:rsidR="00975AF0" w:rsidRPr="0019406C" w:rsidRDefault="00002172" w:rsidP="00444A73">
      <w:pPr>
        <w:pStyle w:val="BodyText"/>
        <w:spacing w:line="276" w:lineRule="auto"/>
        <w:jc w:val="both"/>
        <w:rPr>
          <w:rFonts w:asciiTheme="majorHAnsi" w:hAnsiTheme="majorHAnsi"/>
          <w:lang w:val="lv-LV"/>
        </w:rPr>
      </w:pPr>
      <w:r w:rsidRPr="0019406C">
        <w:rPr>
          <w:rFonts w:asciiTheme="majorHAnsi" w:hAnsiTheme="majorHAnsi"/>
          <w:lang w:val="lv-LV"/>
        </w:rPr>
        <w:t>Š</w:t>
      </w:r>
      <w:r w:rsidR="00596204" w:rsidRPr="0019406C">
        <w:rPr>
          <w:rFonts w:asciiTheme="majorHAnsi" w:hAnsiTheme="majorHAnsi"/>
          <w:lang w:val="lv-LV"/>
        </w:rPr>
        <w:t>ī tēma atsevišķi nav iekļauta uzņēmēju aptaujā, jo šī tēma attiecināma tieši uz investoriem</w:t>
      </w:r>
      <w:r w:rsidRPr="0019406C">
        <w:rPr>
          <w:rFonts w:asciiTheme="majorHAnsi" w:hAnsiTheme="majorHAnsi"/>
          <w:lang w:val="lv-LV"/>
        </w:rPr>
        <w:t>.</w:t>
      </w:r>
      <w:r w:rsidR="00975AF0" w:rsidRPr="0019406C">
        <w:rPr>
          <w:rFonts w:asciiTheme="majorHAnsi" w:hAnsiTheme="majorHAnsi"/>
          <w:lang w:val="lv-LV"/>
        </w:rPr>
        <w:t xml:space="preserve"> Ņemot vērā, ka investoru vidi ietekmē daudz dažādi faktori, bet tie varētu nebūt tieši ar administratīviem šķēršļiem saistīti, tad Latvijas pozīciju šajā rādītājā va</w:t>
      </w:r>
      <w:r w:rsidR="007B5F8A" w:rsidRPr="0019406C">
        <w:rPr>
          <w:rFonts w:asciiTheme="majorHAnsi" w:hAnsiTheme="majorHAnsi"/>
          <w:lang w:val="lv-LV"/>
        </w:rPr>
        <w:t xml:space="preserve">rētu </w:t>
      </w:r>
      <w:r w:rsidR="00615427" w:rsidRPr="0019406C">
        <w:rPr>
          <w:rFonts w:asciiTheme="majorHAnsi" w:hAnsiTheme="majorHAnsi"/>
          <w:lang w:val="lv-LV"/>
        </w:rPr>
        <w:t>uzlabot</w:t>
      </w:r>
      <w:r w:rsidR="00CF4742" w:rsidRPr="0019406C">
        <w:rPr>
          <w:rFonts w:asciiTheme="majorHAnsi" w:hAnsiTheme="majorHAnsi"/>
          <w:lang w:val="lv-LV"/>
        </w:rPr>
        <w:t>,</w:t>
      </w:r>
      <w:r w:rsidR="00615427" w:rsidRPr="0019406C">
        <w:rPr>
          <w:rFonts w:asciiTheme="majorHAnsi" w:hAnsiTheme="majorHAnsi"/>
          <w:lang w:val="lv-LV"/>
        </w:rPr>
        <w:t xml:space="preserve"> izvērtējot </w:t>
      </w:r>
      <w:r w:rsidR="00975AF0" w:rsidRPr="0019406C">
        <w:rPr>
          <w:rFonts w:asciiTheme="majorHAnsi" w:hAnsiTheme="majorHAnsi"/>
          <w:lang w:val="lv-LV"/>
        </w:rPr>
        <w:t>informācija</w:t>
      </w:r>
      <w:r w:rsidR="00615427" w:rsidRPr="0019406C">
        <w:rPr>
          <w:rFonts w:asciiTheme="majorHAnsi" w:hAnsiTheme="majorHAnsi"/>
          <w:lang w:val="lv-LV"/>
        </w:rPr>
        <w:t>s atklāšanas un vadības atbildības jautājumus</w:t>
      </w:r>
      <w:r w:rsidR="00975AF0" w:rsidRPr="0019406C">
        <w:rPr>
          <w:rFonts w:asciiTheme="majorHAnsi" w:hAnsiTheme="majorHAnsi"/>
          <w:lang w:val="lv-LV"/>
        </w:rPr>
        <w:t>.</w:t>
      </w:r>
      <w:r w:rsidR="00DC0BF7" w:rsidRPr="0019406C">
        <w:rPr>
          <w:rFonts w:asciiTheme="majorHAnsi" w:hAnsiTheme="majorHAnsi"/>
          <w:lang w:val="lv-LV"/>
        </w:rPr>
        <w:t xml:space="preserve"> Īpaši varētu pievērst uzmanību informācijas atklāšanai, jo </w:t>
      </w:r>
      <w:r w:rsidR="00A94CE1" w:rsidRPr="0019406C">
        <w:rPr>
          <w:rFonts w:asciiTheme="majorHAnsi" w:hAnsiTheme="majorHAnsi"/>
          <w:lang w:val="lv-LV"/>
        </w:rPr>
        <w:t>Lietuvā un Igaunijā sasniegti augstāki rādītāji tieši šajā rādītājā, kaut arī kopējais vērtējums visām Baltijas valstīm ir vienāds.</w:t>
      </w:r>
    </w:p>
    <w:p w:rsidR="00975AF0" w:rsidRPr="0019406C" w:rsidRDefault="00975AF0" w:rsidP="00444A73">
      <w:pPr>
        <w:pStyle w:val="BodyText"/>
        <w:spacing w:line="276" w:lineRule="auto"/>
        <w:jc w:val="both"/>
        <w:rPr>
          <w:rFonts w:asciiTheme="majorHAnsi" w:hAnsiTheme="majorHAnsi"/>
          <w:lang w:val="lv-LV"/>
        </w:rPr>
      </w:pPr>
      <w:r w:rsidRPr="0019406C">
        <w:rPr>
          <w:rFonts w:asciiTheme="majorHAnsi" w:hAnsiTheme="majorHAnsi"/>
          <w:lang w:val="lv-LV"/>
        </w:rPr>
        <w:lastRenderedPageBreak/>
        <w:t>Atsevišķi var minēt, ka uzņēmēju aptaujas rezultāti norāda arī, ka 44% no respondentiem kā šķērsli saskata likumu un noteikumu izmaiņu biežumu. Tas ir viens no faktoriem, kas apgrūtina investora spēju izse</w:t>
      </w:r>
      <w:r w:rsidR="00615427" w:rsidRPr="0019406C">
        <w:rPr>
          <w:rFonts w:asciiTheme="majorHAnsi" w:hAnsiTheme="majorHAnsi"/>
          <w:lang w:val="lv-LV"/>
        </w:rPr>
        <w:t xml:space="preserve">kot valstī esošajiem normatīviem, </w:t>
      </w:r>
      <w:r w:rsidRPr="0019406C">
        <w:rPr>
          <w:rFonts w:asciiTheme="majorHAnsi" w:hAnsiTheme="majorHAnsi"/>
          <w:lang w:val="lv-LV"/>
        </w:rPr>
        <w:t>palielina nepieciešamību pēc izdevumiem vietējiem konsultantiem</w:t>
      </w:r>
      <w:r w:rsidR="00615427" w:rsidRPr="0019406C">
        <w:rPr>
          <w:rFonts w:asciiTheme="majorHAnsi" w:hAnsiTheme="majorHAnsi"/>
          <w:lang w:val="lv-LV"/>
        </w:rPr>
        <w:t>, kā arī rada neuzticību kopumā</w:t>
      </w:r>
      <w:r w:rsidRPr="0019406C">
        <w:rPr>
          <w:rFonts w:asciiTheme="majorHAnsi" w:hAnsiTheme="majorHAnsi"/>
          <w:lang w:val="lv-LV"/>
        </w:rPr>
        <w:t>.</w:t>
      </w:r>
    </w:p>
    <w:p w:rsidR="00742A74" w:rsidRPr="0019406C" w:rsidRDefault="00975AF0" w:rsidP="00444A73">
      <w:pPr>
        <w:pStyle w:val="BodyText"/>
        <w:spacing w:line="276" w:lineRule="auto"/>
        <w:jc w:val="both"/>
        <w:rPr>
          <w:rFonts w:asciiTheme="majorHAnsi" w:hAnsiTheme="majorHAnsi"/>
          <w:lang w:val="lv-LV"/>
        </w:rPr>
      </w:pPr>
      <w:r w:rsidRPr="0019406C">
        <w:rPr>
          <w:rFonts w:asciiTheme="majorHAnsi" w:hAnsiTheme="majorHAnsi"/>
          <w:lang w:val="lv-LV"/>
        </w:rPr>
        <w:t>Ņemot vērā, ka uzņēmēju aptauja nesniedz detalizētu informāciju par nepieciešamajām izmaiņām likumdošanā attiecībā uz investoriem, ierosinām to skatīt kopā ar jautājumiem un priekšlikumiem par maksātnespējas procesu, kas ir viens no investoru aizsardzības mehānismiem.</w:t>
      </w:r>
    </w:p>
    <w:p w:rsidR="00627B52" w:rsidRPr="0019406C" w:rsidRDefault="00627B52" w:rsidP="00742A74">
      <w:pPr>
        <w:pStyle w:val="BodyText"/>
        <w:spacing w:line="276" w:lineRule="auto"/>
        <w:jc w:val="both"/>
        <w:rPr>
          <w:rFonts w:asciiTheme="majorHAnsi" w:hAnsiTheme="majorHAnsi"/>
          <w:lang w:val="lv-LV"/>
        </w:rPr>
      </w:pPr>
    </w:p>
    <w:p w:rsidR="0029580E" w:rsidRPr="0019406C" w:rsidRDefault="0029580E" w:rsidP="0029580E">
      <w:pPr>
        <w:pStyle w:val="Heading2"/>
        <w:rPr>
          <w:lang w:val="lv-LV"/>
        </w:rPr>
      </w:pPr>
      <w:bookmarkStart w:id="94" w:name="_Toc381343947"/>
      <w:bookmarkStart w:id="95" w:name="_Toc381717283"/>
      <w:bookmarkStart w:id="96" w:name="_Toc389226084"/>
      <w:r w:rsidRPr="0019406C">
        <w:rPr>
          <w:lang w:val="lv-LV"/>
        </w:rPr>
        <w:t>Pārrobežu tirdzniecība</w:t>
      </w:r>
      <w:bookmarkEnd w:id="94"/>
      <w:bookmarkEnd w:id="95"/>
      <w:bookmarkEnd w:id="96"/>
    </w:p>
    <w:p w:rsidR="0029580E" w:rsidRPr="0019406C" w:rsidRDefault="0029580E" w:rsidP="0029580E">
      <w:pPr>
        <w:pStyle w:val="BodyText"/>
        <w:rPr>
          <w:rFonts w:asciiTheme="majorHAnsi" w:hAnsiTheme="majorHAnsi"/>
          <w:lang w:val="lv-LV"/>
        </w:rPr>
      </w:pPr>
    </w:p>
    <w:p w:rsidR="001C3FE7" w:rsidRPr="0019406C" w:rsidRDefault="001C3FE7" w:rsidP="001C3FE7">
      <w:pPr>
        <w:pStyle w:val="BodyText"/>
        <w:rPr>
          <w:rFonts w:asciiTheme="majorHAnsi" w:hAnsiTheme="majorHAnsi"/>
          <w:b/>
          <w:sz w:val="22"/>
          <w:lang w:val="lv-LV"/>
        </w:rPr>
      </w:pPr>
      <w:r w:rsidRPr="0019406C">
        <w:rPr>
          <w:rFonts w:asciiTheme="majorHAnsi" w:hAnsiTheme="majorHAnsi"/>
          <w:b/>
          <w:sz w:val="22"/>
          <w:lang w:val="lv-LV"/>
        </w:rPr>
        <w:t>Uzņēmēju aptauja</w:t>
      </w:r>
    </w:p>
    <w:p w:rsidR="001C3FE7" w:rsidRPr="0019406C" w:rsidRDefault="001C3FE7" w:rsidP="001C3FE7">
      <w:pPr>
        <w:pStyle w:val="BodyText"/>
        <w:spacing w:line="276" w:lineRule="auto"/>
        <w:jc w:val="both"/>
        <w:rPr>
          <w:rFonts w:asciiTheme="majorHAnsi" w:hAnsiTheme="majorHAnsi"/>
          <w:lang w:val="lv-LV"/>
        </w:rPr>
      </w:pPr>
      <w:r w:rsidRPr="0019406C">
        <w:rPr>
          <w:rFonts w:asciiTheme="majorHAnsi" w:hAnsiTheme="majorHAnsi"/>
          <w:lang w:val="lv-LV"/>
        </w:rPr>
        <w:t>Latvijas Faktu veiktā uzņēmēju aptauja norāda uz sekojoš</w:t>
      </w:r>
      <w:r w:rsidR="00684216" w:rsidRPr="0019406C">
        <w:rPr>
          <w:rFonts w:asciiTheme="majorHAnsi" w:hAnsiTheme="majorHAnsi"/>
          <w:lang w:val="lv-LV"/>
        </w:rPr>
        <w:t xml:space="preserve">ām tendencēm </w:t>
      </w:r>
      <w:r w:rsidRPr="0019406C">
        <w:rPr>
          <w:rFonts w:asciiTheme="majorHAnsi" w:hAnsiTheme="majorHAnsi"/>
          <w:lang w:val="lv-LV"/>
        </w:rPr>
        <w:t>par pārrobežu tirdzniecību no uzņēmēju viedokļa:</w:t>
      </w:r>
    </w:p>
    <w:p w:rsidR="001C3FE7" w:rsidRPr="0019406C" w:rsidRDefault="001C3FE7" w:rsidP="00E521EE">
      <w:pPr>
        <w:pStyle w:val="BodyText"/>
        <w:numPr>
          <w:ilvl w:val="0"/>
          <w:numId w:val="35"/>
        </w:numPr>
        <w:spacing w:line="276" w:lineRule="auto"/>
        <w:jc w:val="both"/>
        <w:rPr>
          <w:rFonts w:asciiTheme="majorHAnsi" w:hAnsiTheme="majorHAnsi"/>
          <w:lang w:val="lv-LV"/>
        </w:rPr>
      </w:pPr>
      <w:r w:rsidRPr="0019406C">
        <w:rPr>
          <w:rFonts w:asciiTheme="majorHAnsi" w:hAnsiTheme="majorHAnsi"/>
          <w:lang w:val="lv-LV"/>
        </w:rPr>
        <w:t>Uzņēmēji ar „labi” novērtējuši starptautiskās tirdzniecības procedūru administrējošo iestāžu pakalpojumu kvalitāti. Minēto iestāžu pakalpojumu kvalitāte ir saglabājusi savu vērtējumu no 2011. uz 2014. gadu:</w:t>
      </w:r>
    </w:p>
    <w:p w:rsidR="001C3FE7" w:rsidRPr="0019406C" w:rsidRDefault="001C3FE7" w:rsidP="001C3FE7">
      <w:pPr>
        <w:pStyle w:val="BodyText"/>
        <w:spacing w:line="276" w:lineRule="auto"/>
        <w:jc w:val="both"/>
        <w:rPr>
          <w:rFonts w:asciiTheme="majorHAnsi" w:hAnsiTheme="majorHAnsi"/>
          <w:lang w:val="lv-LV"/>
        </w:rPr>
      </w:pPr>
      <w:r w:rsidRPr="0019406C">
        <w:rPr>
          <w:noProof/>
          <w:lang w:eastAsia="en-GB"/>
        </w:rPr>
        <w:drawing>
          <wp:inline distT="0" distB="0" distL="0" distR="0" wp14:anchorId="1178966D" wp14:editId="5A2F7C05">
            <wp:extent cx="6314536" cy="2147977"/>
            <wp:effectExtent l="0" t="0" r="0" b="508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1C3FE7" w:rsidRPr="0019406C" w:rsidRDefault="001C3FE7" w:rsidP="001C3FE7">
      <w:pPr>
        <w:pStyle w:val="Caption"/>
        <w:rPr>
          <w:rFonts w:asciiTheme="majorHAnsi" w:hAnsiTheme="majorHAnsi"/>
          <w:sz w:val="16"/>
          <w:lang w:val="lv-LV"/>
        </w:rPr>
      </w:pPr>
      <w:r w:rsidRPr="0019406C">
        <w:rPr>
          <w:rFonts w:asciiTheme="majorHAnsi" w:hAnsiTheme="majorHAnsi"/>
          <w:sz w:val="16"/>
          <w:lang w:val="lv-LV"/>
        </w:rPr>
        <w:t xml:space="preserve">Ilustrācija </w:t>
      </w:r>
      <w:r w:rsidRPr="0019406C">
        <w:rPr>
          <w:rFonts w:asciiTheme="majorHAnsi" w:hAnsiTheme="majorHAnsi"/>
          <w:sz w:val="16"/>
          <w:lang w:val="lv-LV"/>
        </w:rPr>
        <w:fldChar w:fldCharType="begin"/>
      </w:r>
      <w:r w:rsidRPr="0019406C">
        <w:rPr>
          <w:rFonts w:asciiTheme="majorHAnsi" w:hAnsiTheme="majorHAnsi"/>
          <w:sz w:val="16"/>
          <w:lang w:val="lv-LV"/>
        </w:rPr>
        <w:instrText xml:space="preserve"> SEQ Ilustrācija \* ARABIC </w:instrText>
      </w:r>
      <w:r w:rsidRPr="0019406C">
        <w:rPr>
          <w:rFonts w:asciiTheme="majorHAnsi" w:hAnsiTheme="majorHAnsi"/>
          <w:sz w:val="16"/>
          <w:lang w:val="lv-LV"/>
        </w:rPr>
        <w:fldChar w:fldCharType="separate"/>
      </w:r>
      <w:r w:rsidR="00410806" w:rsidRPr="0019406C">
        <w:rPr>
          <w:rFonts w:asciiTheme="majorHAnsi" w:hAnsiTheme="majorHAnsi"/>
          <w:noProof/>
          <w:sz w:val="16"/>
          <w:lang w:val="lv-LV"/>
        </w:rPr>
        <w:t>7</w:t>
      </w:r>
      <w:r w:rsidRPr="0019406C">
        <w:rPr>
          <w:rFonts w:asciiTheme="majorHAnsi" w:hAnsiTheme="majorHAnsi"/>
          <w:sz w:val="16"/>
          <w:lang w:val="lv-LV"/>
        </w:rPr>
        <w:fldChar w:fldCharType="end"/>
      </w:r>
      <w:r w:rsidRPr="0019406C">
        <w:rPr>
          <w:rFonts w:asciiTheme="majorHAnsi" w:hAnsiTheme="majorHAnsi"/>
          <w:sz w:val="16"/>
          <w:lang w:val="lv-LV"/>
        </w:rPr>
        <w:t xml:space="preserve"> Starptautiskās tirdzniecības procedūru administrējošo iestāžu pakalpojumu kvalitātes novērtējums </w:t>
      </w:r>
    </w:p>
    <w:p w:rsidR="001C3FE7" w:rsidRPr="0019406C" w:rsidRDefault="001C3FE7" w:rsidP="00E521EE">
      <w:pPr>
        <w:pStyle w:val="BodyText"/>
        <w:numPr>
          <w:ilvl w:val="0"/>
          <w:numId w:val="35"/>
        </w:numPr>
        <w:spacing w:line="276" w:lineRule="auto"/>
        <w:jc w:val="both"/>
        <w:rPr>
          <w:rFonts w:asciiTheme="majorHAnsi" w:hAnsiTheme="majorHAnsi"/>
          <w:lang w:val="lv-LV"/>
        </w:rPr>
      </w:pPr>
      <w:r w:rsidRPr="0019406C">
        <w:rPr>
          <w:rFonts w:asciiTheme="majorHAnsi" w:hAnsiTheme="majorHAnsi"/>
          <w:lang w:val="lv-LV"/>
        </w:rPr>
        <w:t>Samazinājies vidējais atmuitošanas procesa ilgums no 6</w:t>
      </w:r>
      <w:r w:rsidR="00410806" w:rsidRPr="0019406C">
        <w:rPr>
          <w:rFonts w:asciiTheme="majorHAnsi" w:hAnsiTheme="majorHAnsi"/>
          <w:lang w:val="lv-LV"/>
        </w:rPr>
        <w:t>,</w:t>
      </w:r>
      <w:r w:rsidRPr="0019406C">
        <w:rPr>
          <w:rFonts w:asciiTheme="majorHAnsi" w:hAnsiTheme="majorHAnsi"/>
          <w:lang w:val="lv-LV"/>
        </w:rPr>
        <w:t>9 dienām 2011. gadā uz 5</w:t>
      </w:r>
      <w:r w:rsidR="00410806" w:rsidRPr="0019406C">
        <w:rPr>
          <w:rFonts w:asciiTheme="majorHAnsi" w:hAnsiTheme="majorHAnsi"/>
          <w:lang w:val="lv-LV"/>
        </w:rPr>
        <w:t>,</w:t>
      </w:r>
      <w:r w:rsidRPr="0019406C">
        <w:rPr>
          <w:rFonts w:asciiTheme="majorHAnsi" w:hAnsiTheme="majorHAnsi"/>
          <w:lang w:val="lv-LV"/>
        </w:rPr>
        <w:t>3 dienām 2014. gadā. Skatoties uz 2007. gadā un 2009. gadā atmuitošanas procesam nepieciešamajām 2</w:t>
      </w:r>
      <w:r w:rsidR="00410806" w:rsidRPr="0019406C">
        <w:rPr>
          <w:rFonts w:asciiTheme="majorHAnsi" w:hAnsiTheme="majorHAnsi"/>
          <w:lang w:val="lv-LV"/>
        </w:rPr>
        <w:t>,</w:t>
      </w:r>
      <w:r w:rsidRPr="0019406C">
        <w:rPr>
          <w:rFonts w:asciiTheme="majorHAnsi" w:hAnsiTheme="majorHAnsi"/>
          <w:lang w:val="lv-LV"/>
        </w:rPr>
        <w:t>3 dienām, teorētiski pastāv iespēja šo procesu atvieglot, izsverot riska faktorus, kas saistīti ar šī procesa atvieglošanu uzņēmējiem:</w:t>
      </w:r>
    </w:p>
    <w:p w:rsidR="001C3FE7" w:rsidRPr="0019406C" w:rsidRDefault="001C3FE7" w:rsidP="001C3FE7">
      <w:pPr>
        <w:pStyle w:val="BodyText"/>
        <w:keepNext/>
        <w:spacing w:line="276" w:lineRule="auto"/>
        <w:jc w:val="both"/>
        <w:rPr>
          <w:lang w:val="lv-LV"/>
        </w:rPr>
      </w:pPr>
      <w:r w:rsidRPr="0019406C">
        <w:rPr>
          <w:noProof/>
          <w:lang w:eastAsia="en-GB"/>
        </w:rPr>
        <w:lastRenderedPageBreak/>
        <w:drawing>
          <wp:inline distT="0" distB="0" distL="0" distR="0" wp14:anchorId="6AB5B8A6" wp14:editId="58799EF5">
            <wp:extent cx="5451894" cy="2182483"/>
            <wp:effectExtent l="0" t="0" r="0" b="889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1C3FE7" w:rsidRPr="0019406C" w:rsidRDefault="001C3FE7" w:rsidP="001C3FE7">
      <w:pPr>
        <w:pStyle w:val="Caption"/>
        <w:jc w:val="both"/>
        <w:rPr>
          <w:rFonts w:asciiTheme="majorHAnsi" w:hAnsiTheme="majorHAnsi"/>
          <w:sz w:val="16"/>
          <w:lang w:val="lv-LV"/>
        </w:rPr>
      </w:pPr>
      <w:r w:rsidRPr="0019406C">
        <w:rPr>
          <w:sz w:val="16"/>
          <w:lang w:val="lv-LV"/>
        </w:rPr>
        <w:t xml:space="preserve">Ilustrācija </w:t>
      </w:r>
      <w:r w:rsidRPr="0019406C">
        <w:rPr>
          <w:sz w:val="16"/>
          <w:lang w:val="lv-LV"/>
        </w:rPr>
        <w:fldChar w:fldCharType="begin"/>
      </w:r>
      <w:r w:rsidRPr="0019406C">
        <w:rPr>
          <w:sz w:val="16"/>
          <w:lang w:val="lv-LV"/>
        </w:rPr>
        <w:instrText xml:space="preserve"> SEQ Ilustrācija \* ARABIC </w:instrText>
      </w:r>
      <w:r w:rsidRPr="0019406C">
        <w:rPr>
          <w:sz w:val="16"/>
          <w:lang w:val="lv-LV"/>
        </w:rPr>
        <w:fldChar w:fldCharType="separate"/>
      </w:r>
      <w:r w:rsidR="00410806" w:rsidRPr="0019406C">
        <w:rPr>
          <w:noProof/>
          <w:sz w:val="16"/>
          <w:lang w:val="lv-LV"/>
        </w:rPr>
        <w:t>8</w:t>
      </w:r>
      <w:r w:rsidRPr="0019406C">
        <w:rPr>
          <w:sz w:val="16"/>
          <w:lang w:val="lv-LV"/>
        </w:rPr>
        <w:fldChar w:fldCharType="end"/>
      </w:r>
      <w:r w:rsidRPr="0019406C">
        <w:rPr>
          <w:sz w:val="16"/>
          <w:lang w:val="lv-LV"/>
        </w:rPr>
        <w:t xml:space="preserve"> Vidējais atmuitošanas procesa ilgums (dienās)</w:t>
      </w:r>
    </w:p>
    <w:p w:rsidR="001C3FE7" w:rsidRPr="0019406C" w:rsidRDefault="001C3FE7" w:rsidP="00E521EE">
      <w:pPr>
        <w:pStyle w:val="BodyText"/>
        <w:numPr>
          <w:ilvl w:val="0"/>
          <w:numId w:val="35"/>
        </w:numPr>
        <w:spacing w:line="276" w:lineRule="auto"/>
        <w:jc w:val="both"/>
        <w:rPr>
          <w:rFonts w:asciiTheme="majorHAnsi" w:hAnsiTheme="majorHAnsi"/>
          <w:lang w:val="lv-LV"/>
        </w:rPr>
      </w:pPr>
      <w:r w:rsidRPr="0019406C">
        <w:rPr>
          <w:rFonts w:asciiTheme="majorHAnsi" w:hAnsiTheme="majorHAnsi"/>
          <w:lang w:val="lv-LV"/>
        </w:rPr>
        <w:t>Samazinājies to uzņēmumu skaits, kuriem kādi ar muitas procedūrām vai tās administrējošām iestādēm saistīti aspekti rada problēmas - no 58% 2011. gadā uz 48</w:t>
      </w:r>
      <w:r w:rsidR="00410806" w:rsidRPr="0019406C">
        <w:rPr>
          <w:rFonts w:asciiTheme="majorHAnsi" w:hAnsiTheme="majorHAnsi"/>
          <w:lang w:val="lv-LV"/>
        </w:rPr>
        <w:t>,</w:t>
      </w:r>
      <w:r w:rsidRPr="0019406C">
        <w:rPr>
          <w:rFonts w:asciiTheme="majorHAnsi" w:hAnsiTheme="majorHAnsi"/>
          <w:lang w:val="lv-LV"/>
        </w:rPr>
        <w:t xml:space="preserve">4% 2014. </w:t>
      </w:r>
      <w:r w:rsidR="00410806" w:rsidRPr="0019406C">
        <w:rPr>
          <w:rFonts w:asciiTheme="majorHAnsi" w:hAnsiTheme="majorHAnsi"/>
          <w:lang w:val="lv-LV"/>
        </w:rPr>
        <w:t>g</w:t>
      </w:r>
      <w:r w:rsidRPr="0019406C">
        <w:rPr>
          <w:rFonts w:asciiTheme="majorHAnsi" w:hAnsiTheme="majorHAnsi"/>
          <w:lang w:val="lv-LV"/>
        </w:rPr>
        <w:t>adā</w:t>
      </w:r>
      <w:r w:rsidR="00684216" w:rsidRPr="0019406C">
        <w:rPr>
          <w:rFonts w:asciiTheme="majorHAnsi" w:hAnsiTheme="majorHAnsi"/>
          <w:lang w:val="lv-LV"/>
        </w:rPr>
        <w:t>,</w:t>
      </w:r>
      <w:r w:rsidR="00410806" w:rsidRPr="0019406C">
        <w:rPr>
          <w:rFonts w:asciiTheme="majorHAnsi" w:hAnsiTheme="majorHAnsi"/>
          <w:lang w:val="lv-LV"/>
        </w:rPr>
        <w:t xml:space="preserve"> </w:t>
      </w:r>
      <w:r w:rsidR="00684216" w:rsidRPr="0019406C">
        <w:rPr>
          <w:rFonts w:asciiTheme="majorHAnsi" w:hAnsiTheme="majorHAnsi"/>
          <w:lang w:val="lv-LV"/>
        </w:rPr>
        <w:t>t</w:t>
      </w:r>
      <w:r w:rsidRPr="0019406C">
        <w:rPr>
          <w:rFonts w:asciiTheme="majorHAnsi" w:hAnsiTheme="majorHAnsi"/>
          <w:lang w:val="lv-LV"/>
        </w:rPr>
        <w:t>omēr joprojām 48</w:t>
      </w:r>
      <w:r w:rsidR="00410806" w:rsidRPr="0019406C">
        <w:rPr>
          <w:rFonts w:asciiTheme="majorHAnsi" w:hAnsiTheme="majorHAnsi"/>
          <w:lang w:val="lv-LV"/>
        </w:rPr>
        <w:t>,</w:t>
      </w:r>
      <w:r w:rsidRPr="0019406C">
        <w:rPr>
          <w:rFonts w:asciiTheme="majorHAnsi" w:hAnsiTheme="majorHAnsi"/>
          <w:lang w:val="lv-LV"/>
        </w:rPr>
        <w:t>4%</w:t>
      </w:r>
      <w:r w:rsidR="00684216" w:rsidRPr="0019406C">
        <w:rPr>
          <w:rFonts w:asciiTheme="majorHAnsi" w:hAnsiTheme="majorHAnsi"/>
          <w:lang w:val="lv-LV"/>
        </w:rPr>
        <w:t xml:space="preserve"> respondentu</w:t>
      </w:r>
      <w:r w:rsidRPr="0019406C">
        <w:rPr>
          <w:rFonts w:asciiTheme="majorHAnsi" w:hAnsiTheme="majorHAnsi"/>
          <w:lang w:val="lv-LV"/>
        </w:rPr>
        <w:t>, kas ir gandrīz puse no uzņēmumiem, muitas procedūras rada problēmas.</w:t>
      </w:r>
    </w:p>
    <w:p w:rsidR="001C3FE7" w:rsidRPr="0019406C" w:rsidRDefault="001C3FE7" w:rsidP="00E521EE">
      <w:pPr>
        <w:pStyle w:val="BodyText"/>
        <w:numPr>
          <w:ilvl w:val="0"/>
          <w:numId w:val="35"/>
        </w:numPr>
        <w:spacing w:line="276" w:lineRule="auto"/>
        <w:jc w:val="both"/>
        <w:rPr>
          <w:rFonts w:asciiTheme="majorHAnsi" w:hAnsiTheme="majorHAnsi"/>
          <w:lang w:val="lv-LV"/>
        </w:rPr>
      </w:pPr>
      <w:r w:rsidRPr="0019406C">
        <w:rPr>
          <w:rFonts w:asciiTheme="majorHAnsi" w:hAnsiTheme="majorHAnsi"/>
          <w:lang w:val="lv-LV"/>
        </w:rPr>
        <w:t>Uzņēmēji pārrobežu tirdzniecības jomā saskata sekojošas problēmas</w:t>
      </w:r>
      <w:r w:rsidR="00EC0A62" w:rsidRPr="0019406C">
        <w:rPr>
          <w:rFonts w:asciiTheme="majorHAnsi" w:hAnsiTheme="majorHAnsi"/>
          <w:lang w:val="lv-LV"/>
        </w:rPr>
        <w:t>: (1) m</w:t>
      </w:r>
      <w:r w:rsidRPr="0019406C">
        <w:rPr>
          <w:rFonts w:asciiTheme="majorHAnsi" w:hAnsiTheme="majorHAnsi"/>
          <w:lang w:val="lv-LV"/>
        </w:rPr>
        <w:t>uitas normatīvo aktu / procedūru izmaiņu biežums (28</w:t>
      </w:r>
      <w:r w:rsidR="00410806" w:rsidRPr="0019406C">
        <w:rPr>
          <w:rFonts w:asciiTheme="majorHAnsi" w:hAnsiTheme="majorHAnsi"/>
          <w:lang w:val="lv-LV"/>
        </w:rPr>
        <w:t>,</w:t>
      </w:r>
      <w:r w:rsidRPr="0019406C">
        <w:rPr>
          <w:rFonts w:asciiTheme="majorHAnsi" w:hAnsiTheme="majorHAnsi"/>
          <w:lang w:val="lv-LV"/>
        </w:rPr>
        <w:t>6%), (2) kravu fiziskā kontrole (21</w:t>
      </w:r>
      <w:r w:rsidR="00410806" w:rsidRPr="0019406C">
        <w:rPr>
          <w:rFonts w:asciiTheme="majorHAnsi" w:hAnsiTheme="majorHAnsi"/>
          <w:lang w:val="lv-LV"/>
        </w:rPr>
        <w:t>,</w:t>
      </w:r>
      <w:r w:rsidRPr="0019406C">
        <w:rPr>
          <w:rFonts w:asciiTheme="majorHAnsi" w:hAnsiTheme="majorHAnsi"/>
          <w:lang w:val="lv-LV"/>
        </w:rPr>
        <w:t>4%) un (3) muitas deklarāciju aizpildīšana (17</w:t>
      </w:r>
      <w:r w:rsidR="00410806" w:rsidRPr="0019406C">
        <w:rPr>
          <w:rFonts w:asciiTheme="majorHAnsi" w:hAnsiTheme="majorHAnsi"/>
          <w:lang w:val="lv-LV"/>
        </w:rPr>
        <w:t>,</w:t>
      </w:r>
      <w:r w:rsidRPr="0019406C">
        <w:rPr>
          <w:rFonts w:asciiTheme="majorHAnsi" w:hAnsiTheme="majorHAnsi"/>
          <w:lang w:val="lv-LV"/>
        </w:rPr>
        <w:t>7%). Detalizētāks problēmu uzskaitījums atspoguļots zemāk.</w:t>
      </w:r>
    </w:p>
    <w:p w:rsidR="001C3FE7" w:rsidRPr="0019406C" w:rsidRDefault="001C3FE7" w:rsidP="001C3FE7">
      <w:pPr>
        <w:pStyle w:val="BodyText"/>
        <w:keepNext/>
        <w:spacing w:line="276" w:lineRule="auto"/>
        <w:jc w:val="both"/>
        <w:rPr>
          <w:lang w:val="lv-LV"/>
        </w:rPr>
      </w:pPr>
      <w:r w:rsidRPr="0019406C">
        <w:rPr>
          <w:noProof/>
          <w:lang w:eastAsia="en-GB"/>
        </w:rPr>
        <w:drawing>
          <wp:inline distT="0" distB="0" distL="0" distR="0" wp14:anchorId="4CD3F100" wp14:editId="79D1583A">
            <wp:extent cx="5454595" cy="2775005"/>
            <wp:effectExtent l="0" t="0" r="0" b="635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1C3FE7" w:rsidRPr="0019406C" w:rsidRDefault="001C3FE7" w:rsidP="001C3FE7">
      <w:pPr>
        <w:pStyle w:val="Caption"/>
        <w:rPr>
          <w:rFonts w:asciiTheme="majorHAnsi" w:hAnsiTheme="majorHAnsi"/>
          <w:sz w:val="16"/>
          <w:lang w:val="lv-LV"/>
        </w:rPr>
      </w:pPr>
      <w:r w:rsidRPr="0019406C">
        <w:rPr>
          <w:sz w:val="16"/>
          <w:lang w:val="lv-LV"/>
        </w:rPr>
        <w:t xml:space="preserve">Ilustrācija </w:t>
      </w:r>
      <w:r w:rsidRPr="0019406C">
        <w:rPr>
          <w:sz w:val="16"/>
          <w:lang w:val="lv-LV"/>
        </w:rPr>
        <w:fldChar w:fldCharType="begin"/>
      </w:r>
      <w:r w:rsidRPr="0019406C">
        <w:rPr>
          <w:sz w:val="16"/>
          <w:lang w:val="lv-LV"/>
        </w:rPr>
        <w:instrText xml:space="preserve"> SEQ Ilustrācija \* ARABIC </w:instrText>
      </w:r>
      <w:r w:rsidRPr="0019406C">
        <w:rPr>
          <w:sz w:val="16"/>
          <w:lang w:val="lv-LV"/>
        </w:rPr>
        <w:fldChar w:fldCharType="separate"/>
      </w:r>
      <w:r w:rsidR="00410806" w:rsidRPr="0019406C">
        <w:rPr>
          <w:noProof/>
          <w:sz w:val="16"/>
          <w:lang w:val="lv-LV"/>
        </w:rPr>
        <w:t>9</w:t>
      </w:r>
      <w:r w:rsidRPr="0019406C">
        <w:rPr>
          <w:sz w:val="16"/>
          <w:lang w:val="lv-LV"/>
        </w:rPr>
        <w:fldChar w:fldCharType="end"/>
      </w:r>
      <w:r w:rsidRPr="0019406C">
        <w:rPr>
          <w:sz w:val="16"/>
          <w:lang w:val="lv-LV"/>
        </w:rPr>
        <w:t xml:space="preserve"> Ar muitas procedūrām vai tās administrējošām iestādēm saistītu problēmu intensitāte</w:t>
      </w:r>
    </w:p>
    <w:p w:rsidR="001C3FE7" w:rsidRPr="0019406C" w:rsidRDefault="001C3FE7" w:rsidP="001C3FE7">
      <w:pPr>
        <w:pStyle w:val="BodyText"/>
        <w:spacing w:line="276" w:lineRule="auto"/>
        <w:jc w:val="both"/>
        <w:rPr>
          <w:lang w:val="lv-LV"/>
        </w:rPr>
      </w:pPr>
      <w:r w:rsidRPr="0019406C">
        <w:rPr>
          <w:rFonts w:asciiTheme="majorHAnsi" w:hAnsiTheme="majorHAnsi"/>
          <w:lang w:val="lv-LV"/>
        </w:rPr>
        <w:t>No uzņēmēju aptaujas rezultātiem var secināt, ka, lai arī lielākā daļa uzņēmēju ir apmierināti ar saistīto procedūru administrējošo iestāžu pakalpojumu kvalitāti, uzņēmēji kā zemu novērtē tieši muitas darbību. Tādēļ, lai arī procedūru ilgums samazinās un muitas procedūras kā šķērsli uzņēmējdarbībai uzskata arvien mazāka uzņēmēju daļa, šajā jomā vēl ir vieta</w:t>
      </w:r>
      <w:r w:rsidR="008C509C" w:rsidRPr="0019406C">
        <w:rPr>
          <w:rFonts w:asciiTheme="majorHAnsi" w:hAnsiTheme="majorHAnsi"/>
          <w:lang w:val="lv-LV"/>
        </w:rPr>
        <w:t xml:space="preserve"> pakalpojumu kvalitātes</w:t>
      </w:r>
      <w:r w:rsidRPr="0019406C">
        <w:rPr>
          <w:rFonts w:asciiTheme="majorHAnsi" w:hAnsiTheme="majorHAnsi"/>
          <w:lang w:val="lv-LV"/>
        </w:rPr>
        <w:t xml:space="preserve"> uzlabojumiem.</w:t>
      </w:r>
    </w:p>
    <w:p w:rsidR="002A2698" w:rsidRPr="0019406C" w:rsidRDefault="002A2698" w:rsidP="002A2698">
      <w:pPr>
        <w:pStyle w:val="BodyText"/>
        <w:rPr>
          <w:rFonts w:asciiTheme="majorHAnsi" w:hAnsiTheme="majorHAnsi"/>
          <w:b/>
          <w:sz w:val="22"/>
          <w:lang w:val="lv-LV"/>
        </w:rPr>
      </w:pPr>
      <w:r w:rsidRPr="0019406C">
        <w:rPr>
          <w:rFonts w:asciiTheme="majorHAnsi" w:hAnsiTheme="majorHAnsi"/>
          <w:b/>
          <w:sz w:val="22"/>
          <w:lang w:val="lv-LV"/>
        </w:rPr>
        <w:t>Doing Business pētījums</w:t>
      </w:r>
    </w:p>
    <w:p w:rsidR="002A2698" w:rsidRPr="0019406C" w:rsidRDefault="002A2698" w:rsidP="002A2698">
      <w:pPr>
        <w:pStyle w:val="BodyText"/>
        <w:spacing w:line="276" w:lineRule="auto"/>
        <w:jc w:val="both"/>
        <w:rPr>
          <w:rFonts w:asciiTheme="majorHAnsi" w:hAnsiTheme="majorHAnsi"/>
          <w:lang w:val="lv-LV"/>
        </w:rPr>
      </w:pPr>
      <w:r w:rsidRPr="0019406C">
        <w:rPr>
          <w:rFonts w:asciiTheme="majorHAnsi" w:hAnsiTheme="majorHAnsi"/>
          <w:lang w:val="lv-LV"/>
        </w:rPr>
        <w:t xml:space="preserve">Pārrobežu tirdzniecības jomā Latvija DB2014 pētījumā ir uzrādījusi ļoti labu rezultātu, pakāpjoties par 6 pozīcijām uz 17. vietu kopējā valstu vērtējumā. Balstoties uz DB2014 pētījumu, Latvija ir veikusi reformas un </w:t>
      </w:r>
      <w:r w:rsidRPr="0019406C">
        <w:rPr>
          <w:rFonts w:asciiTheme="majorHAnsi" w:hAnsiTheme="majorHAnsi"/>
          <w:lang w:val="lv-LV"/>
        </w:rPr>
        <w:lastRenderedPageBreak/>
        <w:t xml:space="preserve">samazinājusi importam nepieciešamo dokumentu skaitu, tādējādi atvieglojot un veicinot pārrobežu tirdzniecību. </w:t>
      </w:r>
    </w:p>
    <w:p w:rsidR="002A2698" w:rsidRPr="0019406C" w:rsidRDefault="002A2698" w:rsidP="002A2698">
      <w:pPr>
        <w:pStyle w:val="BodyText"/>
        <w:spacing w:line="276" w:lineRule="auto"/>
        <w:jc w:val="both"/>
        <w:rPr>
          <w:rFonts w:asciiTheme="majorHAnsi" w:hAnsiTheme="majorHAnsi"/>
          <w:lang w:val="lv-LV"/>
        </w:rPr>
      </w:pPr>
      <w:r w:rsidRPr="0019406C">
        <w:rPr>
          <w:rFonts w:asciiTheme="majorHAnsi" w:hAnsiTheme="majorHAnsi"/>
          <w:lang w:val="lv-LV"/>
        </w:rPr>
        <w:t>Lai gan Čehija pārrobežu tirdzniecības ziņā atrodas krietni zemāk par Latviju, šī valsts ar 2013. gadu ir ieviesusi iespēju elektroniskai dokumentu iesniegšanai. Šī reforma ir pozitīvi novērtēta un norāda uz digitalizācijas svarīgumu pārrobežu tirdzniecības uzlabošanā.</w:t>
      </w:r>
    </w:p>
    <w:p w:rsidR="002A2698" w:rsidRPr="0019406C" w:rsidRDefault="002A2698" w:rsidP="002A2698">
      <w:pPr>
        <w:pStyle w:val="Caption"/>
        <w:keepNext/>
        <w:rPr>
          <w:rFonts w:asciiTheme="majorHAnsi" w:hAnsiTheme="majorHAnsi"/>
          <w:sz w:val="16"/>
          <w:lang w:val="lv-LV"/>
        </w:rPr>
      </w:pPr>
      <w:bookmarkStart w:id="97" w:name="_Toc381343982"/>
      <w:bookmarkStart w:id="98" w:name="_Toc381717291"/>
      <w:bookmarkStart w:id="99" w:name="_Toc389225092"/>
      <w:r w:rsidRPr="0019406C">
        <w:rPr>
          <w:rFonts w:asciiTheme="majorHAnsi" w:hAnsiTheme="majorHAnsi"/>
          <w:sz w:val="16"/>
          <w:lang w:val="lv-LV"/>
        </w:rPr>
        <w:t xml:space="preserve">Tabula </w:t>
      </w:r>
      <w:r w:rsidRPr="0019406C">
        <w:rPr>
          <w:rFonts w:asciiTheme="majorHAnsi" w:hAnsiTheme="majorHAnsi"/>
          <w:sz w:val="16"/>
          <w:lang w:val="lv-LV"/>
        </w:rPr>
        <w:fldChar w:fldCharType="begin"/>
      </w:r>
      <w:r w:rsidRPr="0019406C">
        <w:rPr>
          <w:rFonts w:asciiTheme="majorHAnsi" w:hAnsiTheme="majorHAnsi"/>
          <w:sz w:val="16"/>
          <w:lang w:val="lv-LV"/>
        </w:rPr>
        <w:instrText xml:space="preserve"> SEQ Tabula \* ARABIC </w:instrText>
      </w:r>
      <w:r w:rsidRPr="0019406C">
        <w:rPr>
          <w:rFonts w:asciiTheme="majorHAnsi" w:hAnsiTheme="majorHAnsi"/>
          <w:sz w:val="16"/>
          <w:lang w:val="lv-LV"/>
        </w:rPr>
        <w:fldChar w:fldCharType="separate"/>
      </w:r>
      <w:r w:rsidR="00410806" w:rsidRPr="0019406C">
        <w:rPr>
          <w:rFonts w:asciiTheme="majorHAnsi" w:hAnsiTheme="majorHAnsi"/>
          <w:noProof/>
          <w:sz w:val="16"/>
          <w:lang w:val="lv-LV"/>
        </w:rPr>
        <w:t>18</w:t>
      </w:r>
      <w:r w:rsidRPr="0019406C">
        <w:rPr>
          <w:rFonts w:asciiTheme="majorHAnsi" w:hAnsiTheme="majorHAnsi"/>
          <w:noProof/>
          <w:sz w:val="16"/>
          <w:lang w:val="lv-LV"/>
        </w:rPr>
        <w:fldChar w:fldCharType="end"/>
      </w:r>
      <w:r w:rsidRPr="0019406C">
        <w:rPr>
          <w:rFonts w:asciiTheme="majorHAnsi" w:hAnsiTheme="majorHAnsi"/>
          <w:sz w:val="16"/>
          <w:lang w:val="lv-LV"/>
        </w:rPr>
        <w:t xml:space="preserve"> “</w:t>
      </w:r>
      <w:proofErr w:type="spellStart"/>
      <w:r w:rsidRPr="0019406C">
        <w:rPr>
          <w:rFonts w:asciiTheme="majorHAnsi" w:hAnsiTheme="majorHAnsi"/>
          <w:sz w:val="16"/>
          <w:lang w:val="lv-LV"/>
        </w:rPr>
        <w:t>Trading</w:t>
      </w:r>
      <w:proofErr w:type="spellEnd"/>
      <w:r w:rsidRPr="0019406C">
        <w:rPr>
          <w:rFonts w:asciiTheme="majorHAnsi" w:hAnsiTheme="majorHAnsi"/>
          <w:sz w:val="16"/>
          <w:lang w:val="lv-LV"/>
        </w:rPr>
        <w:t xml:space="preserve"> </w:t>
      </w:r>
      <w:proofErr w:type="spellStart"/>
      <w:r w:rsidRPr="0019406C">
        <w:rPr>
          <w:rFonts w:asciiTheme="majorHAnsi" w:hAnsiTheme="majorHAnsi"/>
          <w:sz w:val="16"/>
          <w:lang w:val="lv-LV"/>
        </w:rPr>
        <w:t>Across</w:t>
      </w:r>
      <w:proofErr w:type="spellEnd"/>
      <w:r w:rsidRPr="0019406C">
        <w:rPr>
          <w:rFonts w:asciiTheme="majorHAnsi" w:hAnsiTheme="majorHAnsi"/>
          <w:sz w:val="16"/>
          <w:lang w:val="lv-LV"/>
        </w:rPr>
        <w:t xml:space="preserve"> </w:t>
      </w:r>
      <w:proofErr w:type="spellStart"/>
      <w:r w:rsidRPr="0019406C">
        <w:rPr>
          <w:rFonts w:asciiTheme="majorHAnsi" w:hAnsiTheme="majorHAnsi"/>
          <w:sz w:val="16"/>
          <w:lang w:val="lv-LV"/>
        </w:rPr>
        <w:t>Borders</w:t>
      </w:r>
      <w:proofErr w:type="spellEnd"/>
      <w:r w:rsidRPr="0019406C">
        <w:rPr>
          <w:rFonts w:asciiTheme="majorHAnsi" w:hAnsiTheme="majorHAnsi"/>
          <w:sz w:val="16"/>
          <w:lang w:val="lv-LV"/>
        </w:rPr>
        <w:t>”, pārrobežu tirdzniecības indekss</w:t>
      </w:r>
      <w:bookmarkEnd w:id="97"/>
      <w:bookmarkEnd w:id="98"/>
      <w:bookmarkEnd w:id="99"/>
    </w:p>
    <w:tbl>
      <w:tblPr>
        <w:tblStyle w:val="LightList-Accent11"/>
        <w:tblW w:w="5000" w:type="pct"/>
        <w:tblLook w:val="00A0" w:firstRow="1" w:lastRow="0" w:firstColumn="1" w:lastColumn="0" w:noHBand="0" w:noVBand="0"/>
      </w:tblPr>
      <w:tblGrid>
        <w:gridCol w:w="1314"/>
        <w:gridCol w:w="1115"/>
        <w:gridCol w:w="1117"/>
        <w:gridCol w:w="1169"/>
        <w:gridCol w:w="5365"/>
      </w:tblGrid>
      <w:tr w:rsidR="002A2698" w:rsidRPr="0019406C" w:rsidTr="00AE0B1D">
        <w:trPr>
          <w:cnfStyle w:val="100000000000" w:firstRow="1" w:lastRow="0" w:firstColumn="0" w:lastColumn="0" w:oddVBand="0" w:evenVBand="0" w:oddHBand="0" w:evenHBand="0" w:firstRowFirstColumn="0" w:firstRowLastColumn="0" w:lastRowFirstColumn="0" w:lastRowLastColumn="0"/>
          <w:trHeight w:val="190"/>
          <w:tblHeader/>
        </w:trPr>
        <w:tc>
          <w:tcPr>
            <w:cnfStyle w:val="001000000000" w:firstRow="0" w:lastRow="0" w:firstColumn="1" w:lastColumn="0" w:oddVBand="0" w:evenVBand="0" w:oddHBand="0" w:evenHBand="0" w:firstRowFirstColumn="0" w:firstRowLastColumn="0" w:lastRowFirstColumn="0" w:lastRowLastColumn="0"/>
            <w:tcW w:w="652" w:type="pct"/>
            <w:vAlign w:val="center"/>
          </w:tcPr>
          <w:p w:rsidR="002A2698" w:rsidRPr="0019406C" w:rsidRDefault="002A2698" w:rsidP="00AE0B1D">
            <w:pPr>
              <w:rPr>
                <w:rFonts w:asciiTheme="majorHAnsi" w:eastAsia="Cambria" w:hAnsiTheme="majorHAnsi" w:cs="Times New Roman"/>
                <w:lang w:val="lv-LV"/>
              </w:rPr>
            </w:pPr>
            <w:r w:rsidRPr="0019406C">
              <w:rPr>
                <w:rFonts w:asciiTheme="majorHAnsi" w:eastAsia="Cambria" w:hAnsiTheme="majorHAnsi" w:cs="Times New Roman"/>
                <w:lang w:val="lv-LV"/>
              </w:rPr>
              <w:t>Valsts</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2013</w:t>
            </w:r>
          </w:p>
        </w:tc>
        <w:tc>
          <w:tcPr>
            <w:tcW w:w="554" w:type="pct"/>
            <w:vAlign w:val="center"/>
          </w:tcPr>
          <w:p w:rsidR="002A2698" w:rsidRPr="0019406C" w:rsidRDefault="002A2698" w:rsidP="00AE0B1D">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2014</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Izmaiņas</w:t>
            </w:r>
          </w:p>
        </w:tc>
        <w:tc>
          <w:tcPr>
            <w:tcW w:w="2661" w:type="pct"/>
          </w:tcPr>
          <w:p w:rsidR="002A2698" w:rsidRPr="0019406C" w:rsidRDefault="002A2698" w:rsidP="00AE0B1D">
            <w:pP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Veiktās reformas</w:t>
            </w:r>
          </w:p>
        </w:tc>
      </w:tr>
      <w:tr w:rsidR="002A2698" w:rsidRPr="0019406C" w:rsidTr="00AE0B1D">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2A2698" w:rsidRPr="0019406C" w:rsidRDefault="002A2698" w:rsidP="00AE0B1D">
            <w:pPr>
              <w:rPr>
                <w:rFonts w:asciiTheme="majorHAnsi" w:hAnsiTheme="majorHAnsi"/>
                <w:b w:val="0"/>
                <w:lang w:val="lv-LV"/>
              </w:rPr>
            </w:pPr>
            <w:r w:rsidRPr="0019406C">
              <w:rPr>
                <w:rFonts w:asciiTheme="majorHAnsi" w:hAnsiTheme="majorHAnsi"/>
                <w:b w:val="0"/>
                <w:lang w:val="lv-LV"/>
              </w:rPr>
              <w:t>Zviedrija</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6</w:t>
            </w:r>
          </w:p>
        </w:tc>
        <w:tc>
          <w:tcPr>
            <w:tcW w:w="554" w:type="pct"/>
            <w:vAlign w:val="center"/>
          </w:tcPr>
          <w:p w:rsidR="002A2698" w:rsidRPr="0019406C" w:rsidRDefault="002A2698" w:rsidP="00AE0B1D">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6</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2A2698" w:rsidRPr="0019406C" w:rsidRDefault="002A2698" w:rsidP="00AE0B1D">
            <w:pPr>
              <w:jc w:val="center"/>
              <w:rPr>
                <w:rFonts w:asciiTheme="majorHAnsi" w:eastAsia="Cambria" w:hAnsiTheme="majorHAnsi" w:cs="Times New Roman"/>
                <w:b/>
                <w:lang w:val="lv-LV"/>
              </w:rPr>
            </w:pPr>
            <w:r w:rsidRPr="0019406C">
              <w:rPr>
                <w:rFonts w:asciiTheme="majorHAnsi" w:eastAsia="Cambria" w:hAnsiTheme="majorHAnsi" w:cs="Times New Roman"/>
                <w:b/>
                <w:lang w:val="lv-LV"/>
              </w:rPr>
              <w:t>-</w:t>
            </w:r>
          </w:p>
        </w:tc>
        <w:tc>
          <w:tcPr>
            <w:tcW w:w="2661" w:type="pct"/>
          </w:tcPr>
          <w:p w:rsidR="002A2698" w:rsidRPr="0019406C" w:rsidRDefault="002A2698" w:rsidP="00AE0B1D">
            <w:pPr>
              <w:tabs>
                <w:tab w:val="left" w:pos="1815"/>
              </w:tabs>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2A2698" w:rsidRPr="0019406C" w:rsidTr="00AE0B1D">
        <w:trPr>
          <w:trHeight w:val="274"/>
        </w:trPr>
        <w:tc>
          <w:tcPr>
            <w:cnfStyle w:val="001000000000" w:firstRow="0" w:lastRow="0" w:firstColumn="1" w:lastColumn="0" w:oddVBand="0" w:evenVBand="0" w:oddHBand="0" w:evenHBand="0" w:firstRowFirstColumn="0" w:firstRowLastColumn="0" w:lastRowFirstColumn="0" w:lastRowLastColumn="0"/>
            <w:tcW w:w="652" w:type="pct"/>
            <w:vAlign w:val="center"/>
          </w:tcPr>
          <w:p w:rsidR="002A2698" w:rsidRPr="0019406C" w:rsidRDefault="002A2698" w:rsidP="00AE0B1D">
            <w:pPr>
              <w:rPr>
                <w:rFonts w:asciiTheme="majorHAnsi" w:eastAsia="Cambria" w:hAnsiTheme="majorHAnsi" w:cs="Times New Roman"/>
                <w:b w:val="0"/>
                <w:lang w:val="lv-LV"/>
              </w:rPr>
            </w:pPr>
            <w:r w:rsidRPr="0019406C">
              <w:rPr>
                <w:rFonts w:asciiTheme="majorHAnsi" w:hAnsiTheme="majorHAnsi"/>
                <w:b w:val="0"/>
                <w:lang w:val="lv-LV"/>
              </w:rPr>
              <w:t>Igaunija</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8</w:t>
            </w:r>
          </w:p>
        </w:tc>
        <w:tc>
          <w:tcPr>
            <w:tcW w:w="554" w:type="pct"/>
            <w:vAlign w:val="center"/>
          </w:tcPr>
          <w:p w:rsidR="002A2698" w:rsidRPr="0019406C" w:rsidRDefault="002A2698" w:rsidP="00AE0B1D">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7</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2A2698" w:rsidRPr="0019406C" w:rsidRDefault="002A2698" w:rsidP="00AE0B1D">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w:t>
            </w:r>
          </w:p>
        </w:tc>
        <w:tc>
          <w:tcPr>
            <w:tcW w:w="2661" w:type="pct"/>
          </w:tcPr>
          <w:p w:rsidR="002A2698" w:rsidRPr="0019406C" w:rsidRDefault="002A2698" w:rsidP="00AE0B1D">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2A2698" w:rsidRPr="0019406C" w:rsidTr="00AE0B1D">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2A2698" w:rsidRPr="0019406C" w:rsidRDefault="002A2698" w:rsidP="00AE0B1D">
            <w:pPr>
              <w:rPr>
                <w:rFonts w:asciiTheme="majorHAnsi" w:hAnsiTheme="majorHAnsi"/>
                <w:b w:val="0"/>
                <w:lang w:val="lv-LV"/>
              </w:rPr>
            </w:pPr>
            <w:r w:rsidRPr="0019406C">
              <w:rPr>
                <w:rFonts w:asciiTheme="majorHAnsi" w:hAnsiTheme="majorHAnsi"/>
                <w:b w:val="0"/>
                <w:lang w:val="lv-LV"/>
              </w:rPr>
              <w:t>Somija</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9</w:t>
            </w:r>
          </w:p>
        </w:tc>
        <w:tc>
          <w:tcPr>
            <w:tcW w:w="554" w:type="pct"/>
            <w:vAlign w:val="center"/>
          </w:tcPr>
          <w:p w:rsidR="002A2698" w:rsidRPr="0019406C" w:rsidRDefault="002A2698" w:rsidP="00AE0B1D">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9</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2A2698" w:rsidRPr="0019406C" w:rsidRDefault="002A2698" w:rsidP="00AE0B1D">
            <w:pPr>
              <w:jc w:val="center"/>
              <w:rPr>
                <w:rFonts w:asciiTheme="majorHAnsi" w:eastAsia="Cambria" w:hAnsiTheme="majorHAnsi" w:cs="Times New Roman"/>
                <w:b/>
                <w:lang w:val="lv-LV"/>
              </w:rPr>
            </w:pPr>
            <w:r w:rsidRPr="0019406C">
              <w:rPr>
                <w:rFonts w:asciiTheme="majorHAnsi" w:eastAsia="Cambria" w:hAnsiTheme="majorHAnsi" w:cs="Times New Roman"/>
                <w:b/>
                <w:lang w:val="lv-LV"/>
              </w:rPr>
              <w:t>-</w:t>
            </w:r>
          </w:p>
        </w:tc>
        <w:tc>
          <w:tcPr>
            <w:tcW w:w="2661" w:type="pct"/>
          </w:tcPr>
          <w:p w:rsidR="002A2698" w:rsidRPr="0019406C" w:rsidRDefault="002A2698" w:rsidP="00AE0B1D">
            <w:pPr>
              <w:tabs>
                <w:tab w:val="left" w:pos="1110"/>
              </w:tabs>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2A2698" w:rsidRPr="0019406C" w:rsidTr="00AE0B1D">
        <w:trPr>
          <w:trHeight w:val="270"/>
        </w:trPr>
        <w:tc>
          <w:tcPr>
            <w:cnfStyle w:val="001000000000" w:firstRow="0" w:lastRow="0" w:firstColumn="1" w:lastColumn="0" w:oddVBand="0" w:evenVBand="0" w:oddHBand="0" w:evenHBand="0" w:firstRowFirstColumn="0" w:firstRowLastColumn="0" w:lastRowFirstColumn="0" w:lastRowLastColumn="0"/>
            <w:tcW w:w="652" w:type="pct"/>
            <w:vAlign w:val="center"/>
          </w:tcPr>
          <w:p w:rsidR="002A2698" w:rsidRPr="0019406C" w:rsidRDefault="002A2698" w:rsidP="00AE0B1D">
            <w:pPr>
              <w:rPr>
                <w:rFonts w:asciiTheme="majorHAnsi" w:eastAsia="Cambria" w:hAnsiTheme="majorHAnsi" w:cs="Times New Roman"/>
                <w:b w:val="0"/>
                <w:lang w:val="lv-LV"/>
              </w:rPr>
            </w:pPr>
            <w:r w:rsidRPr="0019406C">
              <w:rPr>
                <w:rFonts w:asciiTheme="majorHAnsi" w:hAnsiTheme="majorHAnsi"/>
                <w:b w:val="0"/>
                <w:lang w:val="lv-LV"/>
              </w:rPr>
              <w:t xml:space="preserve">Lietuva </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15</w:t>
            </w:r>
          </w:p>
        </w:tc>
        <w:tc>
          <w:tcPr>
            <w:tcW w:w="554" w:type="pct"/>
            <w:vAlign w:val="center"/>
          </w:tcPr>
          <w:p w:rsidR="002A2698" w:rsidRPr="0019406C" w:rsidRDefault="002A2698" w:rsidP="00AE0B1D">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15</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2A2698" w:rsidRPr="0019406C" w:rsidRDefault="002A2698" w:rsidP="00AE0B1D">
            <w:pPr>
              <w:jc w:val="center"/>
              <w:rPr>
                <w:rFonts w:asciiTheme="majorHAnsi" w:eastAsia="Cambria" w:hAnsiTheme="majorHAnsi" w:cs="Times New Roman"/>
                <w:b/>
                <w:lang w:val="lv-LV"/>
              </w:rPr>
            </w:pPr>
            <w:r w:rsidRPr="0019406C">
              <w:rPr>
                <w:rFonts w:asciiTheme="majorHAnsi" w:eastAsia="Cambria" w:hAnsiTheme="majorHAnsi" w:cs="Times New Roman"/>
                <w:b/>
                <w:lang w:val="lv-LV"/>
              </w:rPr>
              <w:t>-</w:t>
            </w:r>
          </w:p>
        </w:tc>
        <w:tc>
          <w:tcPr>
            <w:tcW w:w="2661" w:type="pct"/>
          </w:tcPr>
          <w:p w:rsidR="002A2698" w:rsidRPr="0019406C" w:rsidRDefault="002A2698" w:rsidP="00AE0B1D">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2A2698" w:rsidRPr="0019406C" w:rsidTr="00AE0B1D">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2A2698" w:rsidRPr="0019406C" w:rsidRDefault="002A2698" w:rsidP="00AE0B1D">
            <w:pPr>
              <w:rPr>
                <w:rFonts w:asciiTheme="majorHAnsi" w:hAnsiTheme="majorHAnsi"/>
                <w:b w:val="0"/>
                <w:lang w:val="lv-LV"/>
              </w:rPr>
            </w:pPr>
            <w:r w:rsidRPr="0019406C">
              <w:rPr>
                <w:rFonts w:asciiTheme="majorHAnsi" w:hAnsiTheme="majorHAnsi"/>
                <w:b w:val="0"/>
                <w:lang w:val="lv-LV"/>
              </w:rPr>
              <w:t>Lielbritānija</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16</w:t>
            </w:r>
          </w:p>
        </w:tc>
        <w:tc>
          <w:tcPr>
            <w:tcW w:w="554" w:type="pct"/>
            <w:vAlign w:val="center"/>
          </w:tcPr>
          <w:p w:rsidR="002A2698" w:rsidRPr="0019406C" w:rsidRDefault="002A2698" w:rsidP="00AE0B1D">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16</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2A2698" w:rsidRPr="0019406C" w:rsidRDefault="002A2698" w:rsidP="00AE0B1D">
            <w:pPr>
              <w:jc w:val="center"/>
              <w:rPr>
                <w:rFonts w:asciiTheme="majorHAnsi" w:eastAsia="Cambria" w:hAnsiTheme="majorHAnsi" w:cs="Times New Roman"/>
                <w:b/>
                <w:lang w:val="lv-LV"/>
              </w:rPr>
            </w:pPr>
            <w:r w:rsidRPr="0019406C">
              <w:rPr>
                <w:rFonts w:asciiTheme="majorHAnsi" w:eastAsia="Cambria" w:hAnsiTheme="majorHAnsi" w:cs="Times New Roman"/>
                <w:b/>
                <w:lang w:val="lv-LV"/>
              </w:rPr>
              <w:t>-</w:t>
            </w:r>
          </w:p>
        </w:tc>
        <w:tc>
          <w:tcPr>
            <w:tcW w:w="2661" w:type="pct"/>
          </w:tcPr>
          <w:p w:rsidR="002A2698" w:rsidRPr="0019406C" w:rsidRDefault="002A2698" w:rsidP="00AE0B1D">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2A2698" w:rsidRPr="0019406C" w:rsidTr="00AE0B1D">
        <w:trPr>
          <w:trHeight w:val="280"/>
        </w:trPr>
        <w:tc>
          <w:tcPr>
            <w:cnfStyle w:val="001000000000" w:firstRow="0" w:lastRow="0" w:firstColumn="1" w:lastColumn="0" w:oddVBand="0" w:evenVBand="0" w:oddHBand="0" w:evenHBand="0" w:firstRowFirstColumn="0" w:firstRowLastColumn="0" w:lastRowFirstColumn="0" w:lastRowLastColumn="0"/>
            <w:tcW w:w="652" w:type="pct"/>
            <w:shd w:val="clear" w:color="auto" w:fill="FFE199" w:themeFill="accent2" w:themeFillTint="66"/>
            <w:vAlign w:val="center"/>
          </w:tcPr>
          <w:p w:rsidR="002A2698" w:rsidRPr="0019406C" w:rsidRDefault="002A2698" w:rsidP="00AE0B1D">
            <w:pPr>
              <w:rPr>
                <w:rFonts w:asciiTheme="majorHAnsi" w:eastAsia="Cambria" w:hAnsiTheme="majorHAnsi" w:cs="Times New Roman"/>
                <w:b w:val="0"/>
                <w:lang w:val="lv-LV"/>
              </w:rPr>
            </w:pPr>
            <w:r w:rsidRPr="0019406C">
              <w:rPr>
                <w:rFonts w:asciiTheme="majorHAnsi" w:eastAsia="Cambria" w:hAnsiTheme="majorHAnsi" w:cs="Times New Roman"/>
                <w:b w:val="0"/>
                <w:lang w:val="lv-LV"/>
              </w:rPr>
              <w:t>Latvija</w:t>
            </w:r>
          </w:p>
        </w:tc>
        <w:tc>
          <w:tcPr>
            <w:cnfStyle w:val="000010000000" w:firstRow="0" w:lastRow="0" w:firstColumn="0" w:lastColumn="0" w:oddVBand="1" w:evenVBand="0" w:oddHBand="0" w:evenHBand="0" w:firstRowFirstColumn="0" w:firstRowLastColumn="0" w:lastRowFirstColumn="0" w:lastRowLastColumn="0"/>
            <w:tcW w:w="553" w:type="pct"/>
            <w:shd w:val="clear" w:color="auto" w:fill="FFE199" w:themeFill="accent2" w:themeFillTint="66"/>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23</w:t>
            </w:r>
          </w:p>
        </w:tc>
        <w:tc>
          <w:tcPr>
            <w:tcW w:w="554" w:type="pct"/>
            <w:shd w:val="clear" w:color="auto" w:fill="FFE199" w:themeFill="accent2" w:themeFillTint="66"/>
            <w:vAlign w:val="center"/>
          </w:tcPr>
          <w:p w:rsidR="002A2698" w:rsidRPr="0019406C" w:rsidRDefault="002A2698" w:rsidP="00AE0B1D">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17</w:t>
            </w:r>
          </w:p>
        </w:tc>
        <w:tc>
          <w:tcPr>
            <w:cnfStyle w:val="000010000000" w:firstRow="0" w:lastRow="0" w:firstColumn="0" w:lastColumn="0" w:oddVBand="1" w:evenVBand="0" w:oddHBand="0" w:evenHBand="0" w:firstRowFirstColumn="0" w:firstRowLastColumn="0" w:lastRowFirstColumn="0" w:lastRowLastColumn="0"/>
            <w:tcW w:w="580" w:type="pct"/>
            <w:shd w:val="clear" w:color="auto" w:fill="FFE199" w:themeFill="accent2" w:themeFillTint="66"/>
            <w:vAlign w:val="center"/>
          </w:tcPr>
          <w:p w:rsidR="002A2698" w:rsidRPr="0019406C" w:rsidRDefault="002A2698" w:rsidP="00AE0B1D">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6</w:t>
            </w:r>
          </w:p>
        </w:tc>
        <w:tc>
          <w:tcPr>
            <w:tcW w:w="2661" w:type="pct"/>
            <w:shd w:val="clear" w:color="auto" w:fill="FFE199" w:themeFill="accent2" w:themeFillTint="66"/>
          </w:tcPr>
          <w:p w:rsidR="002A2698" w:rsidRPr="0019406C" w:rsidRDefault="002A2698" w:rsidP="00AE0B1D">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Samazināts importam nepieciešamo dokumentu skaits.</w:t>
            </w:r>
          </w:p>
        </w:tc>
      </w:tr>
      <w:tr w:rsidR="002A2698" w:rsidRPr="0019406C" w:rsidTr="00AE0B1D">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2A2698" w:rsidRPr="0019406C" w:rsidRDefault="002A2698" w:rsidP="00AE0B1D">
            <w:pPr>
              <w:rPr>
                <w:rFonts w:asciiTheme="majorHAnsi" w:hAnsiTheme="majorHAnsi"/>
                <w:b w:val="0"/>
                <w:lang w:val="lv-LV"/>
              </w:rPr>
            </w:pPr>
            <w:r w:rsidRPr="0019406C">
              <w:rPr>
                <w:rFonts w:asciiTheme="majorHAnsi" w:hAnsiTheme="majorHAnsi"/>
                <w:b w:val="0"/>
                <w:lang w:val="lv-LV"/>
              </w:rPr>
              <w:t>Dānija</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32</w:t>
            </w:r>
          </w:p>
        </w:tc>
        <w:tc>
          <w:tcPr>
            <w:tcW w:w="554" w:type="pct"/>
            <w:vAlign w:val="center"/>
          </w:tcPr>
          <w:p w:rsidR="002A2698" w:rsidRPr="0019406C" w:rsidRDefault="002A2698" w:rsidP="00AE0B1D">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40</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2A2698" w:rsidRPr="0019406C" w:rsidRDefault="002A2698" w:rsidP="00AE0B1D">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-8</w:t>
            </w:r>
          </w:p>
        </w:tc>
        <w:tc>
          <w:tcPr>
            <w:tcW w:w="2661" w:type="pct"/>
          </w:tcPr>
          <w:p w:rsidR="002A2698" w:rsidRPr="0019406C" w:rsidRDefault="002A2698" w:rsidP="00AE0B1D">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2A2698" w:rsidRPr="0019406C" w:rsidTr="00AE0B1D">
        <w:trPr>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2A2698" w:rsidRPr="0019406C" w:rsidRDefault="002A2698" w:rsidP="00AE0B1D">
            <w:pPr>
              <w:rPr>
                <w:rFonts w:asciiTheme="majorHAnsi" w:eastAsia="Cambria" w:hAnsiTheme="majorHAnsi" w:cs="Times New Roman"/>
                <w:b w:val="0"/>
                <w:lang w:val="lv-LV"/>
              </w:rPr>
            </w:pPr>
            <w:r w:rsidRPr="0019406C">
              <w:rPr>
                <w:rFonts w:asciiTheme="majorHAnsi" w:hAnsiTheme="majorHAnsi"/>
                <w:b w:val="0"/>
                <w:lang w:val="lv-LV"/>
              </w:rPr>
              <w:t>Polija</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50</w:t>
            </w:r>
          </w:p>
        </w:tc>
        <w:tc>
          <w:tcPr>
            <w:tcW w:w="554" w:type="pct"/>
            <w:vAlign w:val="center"/>
          </w:tcPr>
          <w:p w:rsidR="002A2698" w:rsidRPr="0019406C" w:rsidRDefault="002A2698" w:rsidP="00AE0B1D">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49</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2A2698" w:rsidRPr="0019406C" w:rsidRDefault="002A2698" w:rsidP="00AE0B1D">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w:t>
            </w:r>
          </w:p>
        </w:tc>
        <w:tc>
          <w:tcPr>
            <w:tcW w:w="2661" w:type="pct"/>
          </w:tcPr>
          <w:p w:rsidR="002A2698" w:rsidRPr="0019406C" w:rsidRDefault="002A2698" w:rsidP="00AE0B1D">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2A2698" w:rsidRPr="0019406C" w:rsidTr="00AE0B1D">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52" w:type="pct"/>
            <w:vAlign w:val="center"/>
          </w:tcPr>
          <w:p w:rsidR="002A2698" w:rsidRPr="0019406C" w:rsidRDefault="002A2698" w:rsidP="00AE0B1D">
            <w:pPr>
              <w:rPr>
                <w:rFonts w:asciiTheme="majorHAnsi" w:hAnsiTheme="majorHAnsi"/>
                <w:b w:val="0"/>
                <w:lang w:val="lv-LV"/>
              </w:rPr>
            </w:pPr>
            <w:r w:rsidRPr="0019406C">
              <w:rPr>
                <w:rFonts w:asciiTheme="majorHAnsi" w:hAnsiTheme="majorHAnsi"/>
                <w:b w:val="0"/>
                <w:lang w:val="lv-LV"/>
              </w:rPr>
              <w:t>Čehija</w:t>
            </w:r>
          </w:p>
        </w:tc>
        <w:tc>
          <w:tcPr>
            <w:cnfStyle w:val="000010000000" w:firstRow="0" w:lastRow="0" w:firstColumn="0" w:lastColumn="0" w:oddVBand="1" w:evenVBand="0" w:oddHBand="0" w:evenHBand="0" w:firstRowFirstColumn="0" w:firstRowLastColumn="0" w:lastRowFirstColumn="0" w:lastRowLastColumn="0"/>
            <w:tcW w:w="553"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71</w:t>
            </w:r>
          </w:p>
        </w:tc>
        <w:tc>
          <w:tcPr>
            <w:tcW w:w="554" w:type="pct"/>
            <w:vAlign w:val="center"/>
          </w:tcPr>
          <w:p w:rsidR="002A2698" w:rsidRPr="0019406C" w:rsidRDefault="002A2698" w:rsidP="00AE0B1D">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68</w:t>
            </w:r>
          </w:p>
        </w:tc>
        <w:tc>
          <w:tcPr>
            <w:cnfStyle w:val="000010000000" w:firstRow="0" w:lastRow="0" w:firstColumn="0" w:lastColumn="0" w:oddVBand="1" w:evenVBand="0" w:oddHBand="0" w:evenHBand="0" w:firstRowFirstColumn="0" w:firstRowLastColumn="0" w:lastRowFirstColumn="0" w:lastRowLastColumn="0"/>
            <w:tcW w:w="580" w:type="pct"/>
            <w:vAlign w:val="center"/>
          </w:tcPr>
          <w:p w:rsidR="002A2698" w:rsidRPr="0019406C" w:rsidRDefault="002A2698" w:rsidP="00AE0B1D">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3</w:t>
            </w:r>
          </w:p>
        </w:tc>
        <w:tc>
          <w:tcPr>
            <w:tcW w:w="2661" w:type="pct"/>
          </w:tcPr>
          <w:p w:rsidR="002A2698" w:rsidRPr="0019406C" w:rsidRDefault="002A2698" w:rsidP="00AE0B1D">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Iespēja elektroniski iesniegt muitas deklarāciju un citus dokumentus (2013).</w:t>
            </w:r>
          </w:p>
        </w:tc>
      </w:tr>
    </w:tbl>
    <w:p w:rsidR="002A2698" w:rsidRPr="0019406C" w:rsidRDefault="002A2698" w:rsidP="002A2698">
      <w:pPr>
        <w:pStyle w:val="BodyText"/>
        <w:rPr>
          <w:rFonts w:asciiTheme="majorHAnsi" w:hAnsiTheme="majorHAnsi"/>
          <w:lang w:val="lv-LV"/>
        </w:rPr>
      </w:pPr>
    </w:p>
    <w:p w:rsidR="002A2698" w:rsidRPr="0019406C" w:rsidRDefault="002A2698" w:rsidP="002A2698">
      <w:pPr>
        <w:pStyle w:val="BodyText"/>
        <w:spacing w:line="276" w:lineRule="auto"/>
        <w:jc w:val="both"/>
        <w:rPr>
          <w:rFonts w:asciiTheme="majorHAnsi" w:hAnsiTheme="majorHAnsi"/>
          <w:lang w:val="lv-LV"/>
        </w:rPr>
      </w:pPr>
      <w:r w:rsidRPr="0019406C">
        <w:rPr>
          <w:rFonts w:asciiTheme="majorHAnsi" w:hAnsiTheme="majorHAnsi"/>
          <w:lang w:val="lv-LV"/>
        </w:rPr>
        <w:t>Neskatoties uz to, ka Latvija šajā DB indeksā uzrāda ļoti konkurētspējīgu rezultātu, pavadītais laiks atmuitošanas procesā ir daudz augstāks nekā vidēji OECD. Piemēram, OECD tās ir 4 dienas, bet Latvijā- 11.</w:t>
      </w:r>
    </w:p>
    <w:p w:rsidR="002A2698" w:rsidRPr="0019406C" w:rsidRDefault="002A2698" w:rsidP="002A2698">
      <w:pPr>
        <w:pStyle w:val="Caption"/>
        <w:keepNext/>
        <w:rPr>
          <w:rFonts w:asciiTheme="majorHAnsi" w:hAnsiTheme="majorHAnsi"/>
          <w:sz w:val="16"/>
          <w:lang w:val="lv-LV"/>
        </w:rPr>
      </w:pPr>
      <w:bookmarkStart w:id="100" w:name="_Toc381343983"/>
      <w:bookmarkStart w:id="101" w:name="_Toc381717292"/>
      <w:bookmarkStart w:id="102" w:name="_Toc389225093"/>
      <w:r w:rsidRPr="0019406C">
        <w:rPr>
          <w:rFonts w:asciiTheme="majorHAnsi" w:hAnsiTheme="majorHAnsi"/>
          <w:sz w:val="16"/>
          <w:lang w:val="lv-LV"/>
        </w:rPr>
        <w:t xml:space="preserve">Tabula </w:t>
      </w:r>
      <w:r w:rsidRPr="0019406C">
        <w:rPr>
          <w:rFonts w:asciiTheme="majorHAnsi" w:hAnsiTheme="majorHAnsi"/>
          <w:sz w:val="16"/>
          <w:lang w:val="lv-LV"/>
        </w:rPr>
        <w:fldChar w:fldCharType="begin"/>
      </w:r>
      <w:r w:rsidRPr="0019406C">
        <w:rPr>
          <w:rFonts w:asciiTheme="majorHAnsi" w:hAnsiTheme="majorHAnsi"/>
          <w:sz w:val="16"/>
          <w:lang w:val="lv-LV"/>
        </w:rPr>
        <w:instrText xml:space="preserve"> SEQ Tabula \* ARABIC </w:instrText>
      </w:r>
      <w:r w:rsidRPr="0019406C">
        <w:rPr>
          <w:rFonts w:asciiTheme="majorHAnsi" w:hAnsiTheme="majorHAnsi"/>
          <w:sz w:val="16"/>
          <w:lang w:val="lv-LV"/>
        </w:rPr>
        <w:fldChar w:fldCharType="separate"/>
      </w:r>
      <w:r w:rsidR="00410806" w:rsidRPr="0019406C">
        <w:rPr>
          <w:rFonts w:asciiTheme="majorHAnsi" w:hAnsiTheme="majorHAnsi"/>
          <w:noProof/>
          <w:sz w:val="16"/>
          <w:lang w:val="lv-LV"/>
        </w:rPr>
        <w:t>19</w:t>
      </w:r>
      <w:r w:rsidRPr="0019406C">
        <w:rPr>
          <w:rFonts w:asciiTheme="majorHAnsi" w:hAnsiTheme="majorHAnsi"/>
          <w:sz w:val="16"/>
          <w:lang w:val="lv-LV"/>
        </w:rPr>
        <w:fldChar w:fldCharType="end"/>
      </w:r>
      <w:r w:rsidRPr="0019406C">
        <w:rPr>
          <w:rFonts w:asciiTheme="majorHAnsi" w:hAnsiTheme="majorHAnsi"/>
          <w:sz w:val="16"/>
          <w:lang w:val="lv-LV"/>
        </w:rPr>
        <w:t xml:space="preserve"> Atmuitošanas procesa ilguma salīdzinājums</w:t>
      </w:r>
      <w:bookmarkEnd w:id="100"/>
      <w:bookmarkEnd w:id="101"/>
      <w:bookmarkEnd w:id="102"/>
    </w:p>
    <w:tbl>
      <w:tblPr>
        <w:tblStyle w:val="LightList-Accent11"/>
        <w:tblW w:w="5000" w:type="pct"/>
        <w:tblBorders>
          <w:insideH w:val="single" w:sz="8" w:space="0" w:color="DC6900" w:themeColor="accent1"/>
          <w:insideV w:val="single" w:sz="8" w:space="0" w:color="DC6900" w:themeColor="accent1"/>
        </w:tblBorders>
        <w:tblLook w:val="04A0" w:firstRow="1" w:lastRow="0" w:firstColumn="1" w:lastColumn="0" w:noHBand="0" w:noVBand="1"/>
      </w:tblPr>
      <w:tblGrid>
        <w:gridCol w:w="2037"/>
        <w:gridCol w:w="1023"/>
        <w:gridCol w:w="1071"/>
        <w:gridCol w:w="900"/>
        <w:gridCol w:w="1119"/>
        <w:gridCol w:w="956"/>
        <w:gridCol w:w="986"/>
        <w:gridCol w:w="835"/>
        <w:gridCol w:w="1153"/>
      </w:tblGrid>
      <w:tr w:rsidR="002A2698" w:rsidRPr="0019406C" w:rsidTr="00AE0B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4" w:type="pct"/>
            <w:vAlign w:val="center"/>
          </w:tcPr>
          <w:p w:rsidR="002A2698" w:rsidRPr="0019406C" w:rsidRDefault="002A2698" w:rsidP="00AE0B1D">
            <w:pPr>
              <w:pStyle w:val="BodyText"/>
              <w:rPr>
                <w:rFonts w:asciiTheme="majorHAnsi" w:hAnsiTheme="majorHAnsi"/>
                <w:lang w:val="lv-LV"/>
              </w:rPr>
            </w:pPr>
            <w:r w:rsidRPr="0019406C">
              <w:rPr>
                <w:rFonts w:asciiTheme="majorHAnsi" w:hAnsiTheme="majorHAnsi"/>
                <w:lang w:val="lv-LV"/>
              </w:rPr>
              <w:t>Rādītājs</w:t>
            </w:r>
          </w:p>
        </w:tc>
        <w:tc>
          <w:tcPr>
            <w:tcW w:w="503" w:type="pct"/>
            <w:vAlign w:val="center"/>
          </w:tcPr>
          <w:p w:rsidR="002A2698" w:rsidRPr="0019406C" w:rsidRDefault="002A2698" w:rsidP="00AE0B1D">
            <w:pPr>
              <w:pStyle w:val="BodyText"/>
              <w:jc w:val="center"/>
              <w:cnfStyle w:val="100000000000" w:firstRow="1"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Latvijā DB2013</w:t>
            </w:r>
          </w:p>
        </w:tc>
        <w:tc>
          <w:tcPr>
            <w:tcW w:w="534" w:type="pct"/>
            <w:vAlign w:val="center"/>
          </w:tcPr>
          <w:p w:rsidR="002A2698" w:rsidRPr="0019406C" w:rsidRDefault="002A2698" w:rsidP="00AE0B1D">
            <w:pPr>
              <w:pStyle w:val="BodyText"/>
              <w:jc w:val="center"/>
              <w:cnfStyle w:val="100000000000" w:firstRow="1"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Latvijā DB2014</w:t>
            </w:r>
          </w:p>
        </w:tc>
        <w:tc>
          <w:tcPr>
            <w:tcW w:w="443" w:type="pct"/>
            <w:vAlign w:val="center"/>
          </w:tcPr>
          <w:p w:rsidR="002A2698" w:rsidRPr="0019406C" w:rsidRDefault="002A2698" w:rsidP="00AE0B1D">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Dānija</w:t>
            </w:r>
          </w:p>
        </w:tc>
        <w:tc>
          <w:tcPr>
            <w:tcW w:w="558" w:type="pct"/>
            <w:vAlign w:val="center"/>
          </w:tcPr>
          <w:p w:rsidR="002A2698" w:rsidRPr="0019406C" w:rsidRDefault="002A2698" w:rsidP="00AE0B1D">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Igaunija</w:t>
            </w:r>
          </w:p>
        </w:tc>
        <w:tc>
          <w:tcPr>
            <w:tcW w:w="477" w:type="pct"/>
            <w:vAlign w:val="center"/>
          </w:tcPr>
          <w:p w:rsidR="002A2698" w:rsidRPr="0019406C" w:rsidRDefault="002A2698" w:rsidP="00AE0B1D">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Somija</w:t>
            </w:r>
          </w:p>
        </w:tc>
        <w:tc>
          <w:tcPr>
            <w:tcW w:w="485" w:type="pct"/>
            <w:vAlign w:val="center"/>
          </w:tcPr>
          <w:p w:rsidR="002A2698" w:rsidRPr="0019406C" w:rsidRDefault="002A2698" w:rsidP="00AE0B1D">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Lietuva</w:t>
            </w:r>
          </w:p>
        </w:tc>
        <w:tc>
          <w:tcPr>
            <w:tcW w:w="411" w:type="pct"/>
            <w:vAlign w:val="center"/>
          </w:tcPr>
          <w:p w:rsidR="002A2698" w:rsidRPr="0019406C" w:rsidRDefault="002A2698" w:rsidP="00AE0B1D">
            <w:pPr>
              <w:pStyle w:val="BodyText"/>
              <w:jc w:val="center"/>
              <w:cnfStyle w:val="100000000000" w:firstRow="1"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OECD</w:t>
            </w:r>
          </w:p>
        </w:tc>
        <w:tc>
          <w:tcPr>
            <w:tcW w:w="576" w:type="pct"/>
            <w:vAlign w:val="center"/>
          </w:tcPr>
          <w:p w:rsidR="002A2698" w:rsidRPr="0019406C" w:rsidRDefault="002A2698" w:rsidP="00AE0B1D">
            <w:pPr>
              <w:pStyle w:val="BodyText"/>
              <w:jc w:val="center"/>
              <w:cnfStyle w:val="100000000000" w:firstRow="1"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Anketa</w:t>
            </w:r>
          </w:p>
        </w:tc>
      </w:tr>
      <w:tr w:rsidR="002A2698" w:rsidRPr="0019406C" w:rsidTr="00AE0B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4" w:type="pct"/>
          </w:tcPr>
          <w:p w:rsidR="002A2698" w:rsidRPr="0019406C" w:rsidRDefault="002A2698" w:rsidP="00AE0B1D">
            <w:pPr>
              <w:pStyle w:val="BodyText"/>
              <w:rPr>
                <w:rFonts w:asciiTheme="majorHAnsi" w:hAnsiTheme="majorHAnsi"/>
                <w:b w:val="0"/>
                <w:lang w:val="lv-LV"/>
              </w:rPr>
            </w:pPr>
            <w:r w:rsidRPr="0019406C">
              <w:rPr>
                <w:rFonts w:asciiTheme="majorHAnsi" w:hAnsiTheme="majorHAnsi"/>
                <w:b w:val="0"/>
                <w:lang w:val="lv-LV"/>
              </w:rPr>
              <w:t>Pavadītais laiks atmuitošanas procesā, dienas</w:t>
            </w:r>
          </w:p>
        </w:tc>
        <w:tc>
          <w:tcPr>
            <w:tcW w:w="503" w:type="pct"/>
            <w:vAlign w:val="center"/>
          </w:tcPr>
          <w:p w:rsidR="002A2698" w:rsidRPr="0019406C" w:rsidRDefault="002A2698" w:rsidP="00AE0B1D">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11</w:t>
            </w:r>
          </w:p>
        </w:tc>
        <w:tc>
          <w:tcPr>
            <w:tcW w:w="534" w:type="pct"/>
            <w:vAlign w:val="center"/>
          </w:tcPr>
          <w:p w:rsidR="002A2698" w:rsidRPr="0019406C" w:rsidRDefault="002A2698" w:rsidP="00AE0B1D">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11</w:t>
            </w:r>
          </w:p>
        </w:tc>
        <w:tc>
          <w:tcPr>
            <w:tcW w:w="443" w:type="pct"/>
            <w:vAlign w:val="center"/>
          </w:tcPr>
          <w:p w:rsidR="002A2698" w:rsidRPr="0019406C" w:rsidRDefault="002A2698" w:rsidP="00AE0B1D">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5</w:t>
            </w:r>
          </w:p>
        </w:tc>
        <w:tc>
          <w:tcPr>
            <w:tcW w:w="558" w:type="pct"/>
            <w:vAlign w:val="center"/>
          </w:tcPr>
          <w:p w:rsidR="002A2698" w:rsidRPr="0019406C" w:rsidRDefault="002A2698" w:rsidP="00AE0B1D">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5</w:t>
            </w:r>
          </w:p>
        </w:tc>
        <w:tc>
          <w:tcPr>
            <w:tcW w:w="477" w:type="pct"/>
            <w:vAlign w:val="center"/>
          </w:tcPr>
          <w:p w:rsidR="002A2698" w:rsidRPr="0019406C" w:rsidRDefault="002A2698" w:rsidP="00AE0B1D">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7</w:t>
            </w:r>
          </w:p>
        </w:tc>
        <w:tc>
          <w:tcPr>
            <w:tcW w:w="485" w:type="pct"/>
            <w:vAlign w:val="center"/>
          </w:tcPr>
          <w:p w:rsidR="002A2698" w:rsidRPr="0019406C" w:rsidRDefault="002A2698" w:rsidP="00AE0B1D">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9</w:t>
            </w:r>
          </w:p>
        </w:tc>
        <w:tc>
          <w:tcPr>
            <w:tcW w:w="411" w:type="pct"/>
            <w:vAlign w:val="center"/>
          </w:tcPr>
          <w:p w:rsidR="002A2698" w:rsidRPr="0019406C" w:rsidRDefault="002A2698" w:rsidP="00AE0B1D">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4</w:t>
            </w:r>
          </w:p>
        </w:tc>
        <w:tc>
          <w:tcPr>
            <w:tcW w:w="576" w:type="pct"/>
            <w:vAlign w:val="center"/>
          </w:tcPr>
          <w:p w:rsidR="002A2698" w:rsidRPr="0019406C" w:rsidRDefault="002A2698" w:rsidP="00C1288D">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b/>
                <w:lang w:val="lv-LV"/>
              </w:rPr>
            </w:pPr>
            <w:r w:rsidRPr="0019406C">
              <w:rPr>
                <w:rFonts w:asciiTheme="majorHAnsi" w:hAnsiTheme="majorHAnsi"/>
                <w:b/>
                <w:lang w:val="lv-LV"/>
              </w:rPr>
              <w:t>5</w:t>
            </w:r>
            <w:r w:rsidR="00C1288D" w:rsidRPr="0019406C">
              <w:rPr>
                <w:rFonts w:asciiTheme="majorHAnsi" w:hAnsiTheme="majorHAnsi"/>
                <w:b/>
                <w:lang w:val="lv-LV"/>
              </w:rPr>
              <w:t>,</w:t>
            </w:r>
            <w:r w:rsidRPr="0019406C">
              <w:rPr>
                <w:rFonts w:asciiTheme="majorHAnsi" w:hAnsiTheme="majorHAnsi"/>
                <w:b/>
                <w:lang w:val="lv-LV"/>
              </w:rPr>
              <w:t>3</w:t>
            </w:r>
          </w:p>
        </w:tc>
      </w:tr>
    </w:tbl>
    <w:p w:rsidR="002A2698" w:rsidRPr="0019406C" w:rsidRDefault="002A2698" w:rsidP="002A2698">
      <w:pPr>
        <w:pStyle w:val="BodyText"/>
        <w:rPr>
          <w:rFonts w:asciiTheme="majorHAnsi" w:hAnsiTheme="majorHAnsi"/>
          <w:lang w:val="lv-LV"/>
        </w:rPr>
      </w:pPr>
    </w:p>
    <w:p w:rsidR="002A2698" w:rsidRPr="0019406C" w:rsidRDefault="002A2698" w:rsidP="002A2698">
      <w:pPr>
        <w:pStyle w:val="BodyText"/>
        <w:spacing w:line="276" w:lineRule="auto"/>
        <w:rPr>
          <w:rFonts w:asciiTheme="majorHAnsi" w:hAnsiTheme="majorHAnsi"/>
          <w:lang w:val="lv-LV"/>
        </w:rPr>
      </w:pPr>
      <w:r w:rsidRPr="0019406C">
        <w:rPr>
          <w:rFonts w:asciiTheme="majorHAnsi" w:hAnsiTheme="majorHAnsi"/>
          <w:lang w:val="lv-LV"/>
        </w:rPr>
        <w:t>Lai arī DB vērtējumā Latvijā atmuitošanas process prasa 11 dienas, uzņēmēji aptaujā min, ka tas prasa vidēji 5</w:t>
      </w:r>
      <w:r w:rsidR="00EC0A62" w:rsidRPr="0019406C">
        <w:rPr>
          <w:rFonts w:asciiTheme="majorHAnsi" w:hAnsiTheme="majorHAnsi"/>
          <w:lang w:val="lv-LV"/>
        </w:rPr>
        <w:t>,</w:t>
      </w:r>
      <w:r w:rsidRPr="0019406C">
        <w:rPr>
          <w:rFonts w:asciiTheme="majorHAnsi" w:hAnsiTheme="majorHAnsi"/>
          <w:lang w:val="lv-LV"/>
        </w:rPr>
        <w:t xml:space="preserve">3 dienas, tādējādi norādot uz vēl labāku procesu Latvijā, nekā tas ir novērtēts DB pētījumā. </w:t>
      </w:r>
    </w:p>
    <w:p w:rsidR="00534CB9" w:rsidRPr="0019406C" w:rsidRDefault="00534CB9" w:rsidP="00534CB9">
      <w:pPr>
        <w:pStyle w:val="BodyText"/>
        <w:rPr>
          <w:rFonts w:asciiTheme="majorHAnsi" w:hAnsiTheme="majorHAnsi"/>
          <w:b/>
          <w:sz w:val="22"/>
          <w:lang w:val="lv-LV"/>
        </w:rPr>
      </w:pPr>
      <w:r w:rsidRPr="0019406C">
        <w:rPr>
          <w:rFonts w:asciiTheme="majorHAnsi" w:hAnsiTheme="majorHAnsi"/>
          <w:b/>
          <w:sz w:val="22"/>
          <w:lang w:val="lv-LV"/>
        </w:rPr>
        <w:t>Secinājumi un priekšlikumi</w:t>
      </w:r>
    </w:p>
    <w:p w:rsidR="002A2698" w:rsidRPr="0019406C" w:rsidRDefault="002A2698" w:rsidP="002A2698">
      <w:pPr>
        <w:pStyle w:val="BodyText"/>
        <w:spacing w:line="276" w:lineRule="auto"/>
        <w:jc w:val="both"/>
        <w:rPr>
          <w:rFonts w:asciiTheme="majorHAnsi" w:hAnsiTheme="majorHAnsi"/>
          <w:lang w:val="lv-LV"/>
        </w:rPr>
      </w:pPr>
      <w:r w:rsidRPr="0019406C">
        <w:rPr>
          <w:rFonts w:asciiTheme="majorHAnsi" w:hAnsiTheme="majorHAnsi"/>
          <w:lang w:val="lv-LV"/>
        </w:rPr>
        <w:t xml:space="preserve">Latvija pārrobežu tirdzniecībā DB2014 </w:t>
      </w:r>
      <w:r w:rsidR="0072729F" w:rsidRPr="0019406C">
        <w:rPr>
          <w:rFonts w:asciiTheme="majorHAnsi" w:hAnsiTheme="majorHAnsi"/>
          <w:lang w:val="lv-LV"/>
        </w:rPr>
        <w:t>pētījumā</w:t>
      </w:r>
      <w:r w:rsidRPr="0019406C">
        <w:rPr>
          <w:rFonts w:asciiTheme="majorHAnsi" w:hAnsiTheme="majorHAnsi"/>
          <w:lang w:val="lv-LV"/>
        </w:rPr>
        <w:t xml:space="preserve"> tiek ierindota 17. vietā, kas ir otrs augstākais vērtējums Latvijai DB2014 pētījumā. Kā galvenais kavējošais šķērslis pētījumā minētas 11 dienas, kas nepieciešamas atmuitošanas procesam. Tomēr uzņēmēji uzskata, ka atmuitošanas process prasa vidēji 5</w:t>
      </w:r>
      <w:r w:rsidR="00EC0A62" w:rsidRPr="0019406C">
        <w:rPr>
          <w:rFonts w:asciiTheme="majorHAnsi" w:hAnsiTheme="majorHAnsi"/>
          <w:lang w:val="lv-LV"/>
        </w:rPr>
        <w:t>,</w:t>
      </w:r>
      <w:r w:rsidRPr="0019406C">
        <w:rPr>
          <w:rFonts w:asciiTheme="majorHAnsi" w:hAnsiTheme="majorHAnsi"/>
          <w:lang w:val="lv-LV"/>
        </w:rPr>
        <w:t>3 dienas. Tādējādi DB2014 pētījuma rādītāji varētu tikt uzlaboti nākamajā pētījumā, ja tiktu ņemts vērā minētais uzņēmēju viedoklis par procesu ilgumu.</w:t>
      </w:r>
    </w:p>
    <w:p w:rsidR="008302E0" w:rsidRPr="0019406C" w:rsidRDefault="002A2698" w:rsidP="00811CA0">
      <w:pPr>
        <w:pStyle w:val="BodyText"/>
        <w:spacing w:line="276" w:lineRule="auto"/>
        <w:jc w:val="both"/>
        <w:rPr>
          <w:rFonts w:asciiTheme="majorHAnsi" w:hAnsiTheme="majorHAnsi"/>
          <w:lang w:val="lv-LV"/>
        </w:rPr>
      </w:pPr>
      <w:r w:rsidRPr="0019406C">
        <w:rPr>
          <w:rFonts w:asciiTheme="majorHAnsi" w:hAnsiTheme="majorHAnsi"/>
          <w:lang w:val="lv-LV"/>
        </w:rPr>
        <w:t xml:space="preserve">Ņemot vērā Latvijas augsto novērtējumu DB2014 pētījumā un pozitīvo vērtējumu no uzņēmēju viedokļa, lai arī </w:t>
      </w:r>
      <w:r w:rsidR="0072729F" w:rsidRPr="0019406C">
        <w:rPr>
          <w:rFonts w:asciiTheme="majorHAnsi" w:hAnsiTheme="majorHAnsi"/>
          <w:lang w:val="lv-LV"/>
        </w:rPr>
        <w:t>šajā</w:t>
      </w:r>
      <w:r w:rsidRPr="0019406C">
        <w:rPr>
          <w:rFonts w:asciiTheme="majorHAnsi" w:hAnsiTheme="majorHAnsi"/>
          <w:lang w:val="lv-LV"/>
        </w:rPr>
        <w:t xml:space="preserve"> nozarē pastāv uzlabojumu iespējas un būtu jāuzlabo muitas pakalpojumu kvalitāte, to </w:t>
      </w:r>
      <w:r w:rsidR="0072729F" w:rsidRPr="0019406C">
        <w:rPr>
          <w:rFonts w:asciiTheme="majorHAnsi" w:hAnsiTheme="majorHAnsi"/>
          <w:lang w:val="lv-LV"/>
        </w:rPr>
        <w:t>neizvirzām</w:t>
      </w:r>
      <w:r w:rsidRPr="0019406C">
        <w:rPr>
          <w:rFonts w:asciiTheme="majorHAnsi" w:hAnsiTheme="majorHAnsi"/>
          <w:lang w:val="lv-LV"/>
        </w:rPr>
        <w:t xml:space="preserve"> kā prioritār</w:t>
      </w:r>
      <w:r w:rsidR="008C509C" w:rsidRPr="0019406C">
        <w:rPr>
          <w:rFonts w:asciiTheme="majorHAnsi" w:hAnsiTheme="majorHAnsi"/>
          <w:lang w:val="lv-LV"/>
        </w:rPr>
        <w:t xml:space="preserve">u šī pētījuma ietvaros </w:t>
      </w:r>
      <w:r w:rsidRPr="0019406C">
        <w:rPr>
          <w:rFonts w:asciiTheme="majorHAnsi" w:hAnsiTheme="majorHAnsi"/>
          <w:lang w:val="lv-LV"/>
        </w:rPr>
        <w:t>un priekšlikumi uzņēmējdarbības atvieglošanai</w:t>
      </w:r>
      <w:r w:rsidR="008C509C" w:rsidRPr="0019406C">
        <w:rPr>
          <w:rFonts w:asciiTheme="majorHAnsi" w:hAnsiTheme="majorHAnsi"/>
          <w:lang w:val="lv-LV"/>
        </w:rPr>
        <w:t xml:space="preserve"> saistībā ar pārrobežu </w:t>
      </w:r>
      <w:r w:rsidR="0072729F" w:rsidRPr="0019406C">
        <w:rPr>
          <w:rFonts w:asciiTheme="majorHAnsi" w:hAnsiTheme="majorHAnsi"/>
          <w:lang w:val="lv-LV"/>
        </w:rPr>
        <w:t>tirdzniecību</w:t>
      </w:r>
      <w:r w:rsidRPr="0019406C">
        <w:rPr>
          <w:rFonts w:asciiTheme="majorHAnsi" w:hAnsiTheme="majorHAnsi"/>
          <w:lang w:val="lv-LV"/>
        </w:rPr>
        <w:t xml:space="preserve"> tālāk</w:t>
      </w:r>
      <w:r w:rsidR="008C509C" w:rsidRPr="0019406C">
        <w:rPr>
          <w:rFonts w:asciiTheme="majorHAnsi" w:hAnsiTheme="majorHAnsi"/>
          <w:lang w:val="lv-LV"/>
        </w:rPr>
        <w:t xml:space="preserve"> netiek</w:t>
      </w:r>
      <w:r w:rsidRPr="0019406C">
        <w:rPr>
          <w:rFonts w:asciiTheme="majorHAnsi" w:hAnsiTheme="majorHAnsi"/>
          <w:lang w:val="lv-LV"/>
        </w:rPr>
        <w:t xml:space="preserve"> izvirzīti.</w:t>
      </w:r>
      <w:r w:rsidR="008C509C" w:rsidRPr="0019406C">
        <w:rPr>
          <w:rFonts w:asciiTheme="majorHAnsi" w:hAnsiTheme="majorHAnsi"/>
          <w:lang w:val="lv-LV"/>
        </w:rPr>
        <w:t xml:space="preserve"> </w:t>
      </w:r>
      <w:r w:rsidR="0072729F" w:rsidRPr="0019406C">
        <w:rPr>
          <w:rFonts w:asciiTheme="majorHAnsi" w:hAnsiTheme="majorHAnsi"/>
          <w:lang w:val="lv-LV"/>
        </w:rPr>
        <w:t>Ziņojumā</w:t>
      </w:r>
      <w:r w:rsidR="008C509C" w:rsidRPr="0019406C">
        <w:rPr>
          <w:rFonts w:asciiTheme="majorHAnsi" w:hAnsiTheme="majorHAnsi"/>
          <w:lang w:val="lv-LV"/>
        </w:rPr>
        <w:t xml:space="preserve"> uzsvars tiek likts uz identificētajām problemātiskajām jomām kā no uzņēmēju viedokļa, tā no DB2014 pētījuma rezultātiem.</w:t>
      </w:r>
    </w:p>
    <w:p w:rsidR="0029580E" w:rsidRPr="0019406C" w:rsidRDefault="0029580E" w:rsidP="0029580E">
      <w:pPr>
        <w:pStyle w:val="Heading2"/>
        <w:rPr>
          <w:lang w:val="lv-LV"/>
        </w:rPr>
      </w:pPr>
      <w:bookmarkStart w:id="103" w:name="_Toc381343948"/>
      <w:bookmarkStart w:id="104" w:name="_Toc381717284"/>
      <w:bookmarkStart w:id="105" w:name="_Toc389226085"/>
      <w:r w:rsidRPr="0019406C">
        <w:rPr>
          <w:lang w:val="lv-LV"/>
        </w:rPr>
        <w:lastRenderedPageBreak/>
        <w:t>Līgumu izpilde (administratīvās tiesas un alternatīvie strīdu risināšanas veidi)</w:t>
      </w:r>
      <w:bookmarkEnd w:id="103"/>
      <w:bookmarkEnd w:id="104"/>
      <w:bookmarkEnd w:id="105"/>
    </w:p>
    <w:p w:rsidR="0029580E" w:rsidRPr="0019406C" w:rsidRDefault="0029580E" w:rsidP="0029580E">
      <w:pPr>
        <w:pStyle w:val="BodyText"/>
        <w:rPr>
          <w:rFonts w:asciiTheme="majorHAnsi" w:hAnsiTheme="majorHAnsi"/>
          <w:b/>
          <w:lang w:val="lv-LV"/>
        </w:rPr>
      </w:pPr>
    </w:p>
    <w:p w:rsidR="00251DFD" w:rsidRPr="0019406C" w:rsidRDefault="00251DFD" w:rsidP="00251DFD">
      <w:pPr>
        <w:pStyle w:val="BodyText"/>
        <w:spacing w:after="120"/>
        <w:jc w:val="both"/>
        <w:rPr>
          <w:rFonts w:asciiTheme="majorHAnsi" w:hAnsiTheme="majorHAnsi"/>
          <w:b/>
          <w:sz w:val="22"/>
          <w:lang w:val="lv-LV"/>
        </w:rPr>
      </w:pPr>
      <w:r w:rsidRPr="0019406C">
        <w:rPr>
          <w:rFonts w:asciiTheme="majorHAnsi" w:hAnsiTheme="majorHAnsi"/>
          <w:b/>
          <w:sz w:val="22"/>
          <w:lang w:val="lv-LV"/>
        </w:rPr>
        <w:t>Uzņēmēju aptauja</w:t>
      </w:r>
    </w:p>
    <w:p w:rsidR="00251DFD" w:rsidRPr="0019406C" w:rsidRDefault="00251DFD" w:rsidP="000857A7">
      <w:pPr>
        <w:pStyle w:val="BodyText"/>
        <w:spacing w:line="276" w:lineRule="auto"/>
        <w:jc w:val="both"/>
        <w:rPr>
          <w:rFonts w:asciiTheme="majorHAnsi" w:hAnsiTheme="majorHAnsi"/>
          <w:lang w:val="lv-LV"/>
        </w:rPr>
      </w:pPr>
      <w:r w:rsidRPr="0019406C">
        <w:rPr>
          <w:rFonts w:asciiTheme="majorHAnsi" w:hAnsiTheme="majorHAnsi"/>
          <w:lang w:val="lv-LV"/>
        </w:rPr>
        <w:t>Latvijas Faktu veiktā uzņēmēju aptauja norāda uz sekojošiem secinājumiem par līgumu izpildes jeb tiesu darbu un alternatīvo strīdu risināšanu Latvijā no uzņēmēju viedokļa:</w:t>
      </w:r>
    </w:p>
    <w:p w:rsidR="00251DFD" w:rsidRPr="0019406C" w:rsidRDefault="00251DFD" w:rsidP="00E521EE">
      <w:pPr>
        <w:pStyle w:val="BodyText"/>
        <w:numPr>
          <w:ilvl w:val="0"/>
          <w:numId w:val="29"/>
        </w:numPr>
        <w:spacing w:after="120" w:line="276" w:lineRule="auto"/>
        <w:jc w:val="both"/>
        <w:rPr>
          <w:rFonts w:asciiTheme="majorHAnsi" w:hAnsiTheme="majorHAnsi"/>
          <w:lang w:val="lv-LV"/>
        </w:rPr>
      </w:pPr>
      <w:r w:rsidRPr="0019406C">
        <w:rPr>
          <w:rFonts w:asciiTheme="majorHAnsi" w:hAnsiTheme="majorHAnsi"/>
          <w:lang w:val="lv-LV"/>
        </w:rPr>
        <w:t xml:space="preserve">22% no visiem respondentiem sniedza vērtējumu par LR tiesu darbu kopumā, kontrolējot negodīgus komersantus. 61% no tiem, kas sniedza savu vērtējumu par LR tiesu darbu, uzskata, ka LR tiesu darbs vērtējams pozitīvi, </w:t>
      </w:r>
      <w:proofErr w:type="spellStart"/>
      <w:r w:rsidRPr="0019406C">
        <w:rPr>
          <w:rFonts w:asciiTheme="majorHAnsi" w:hAnsiTheme="majorHAnsi"/>
          <w:lang w:val="lv-LV"/>
        </w:rPr>
        <w:t>t.i</w:t>
      </w:r>
      <w:proofErr w:type="spellEnd"/>
      <w:r w:rsidRPr="0019406C">
        <w:rPr>
          <w:rFonts w:asciiTheme="majorHAnsi" w:hAnsiTheme="majorHAnsi"/>
          <w:lang w:val="lv-LV"/>
        </w:rPr>
        <w:t>. sniedza atbildes „ļoti labi” – 3%, „labi” – 34% un „diezgan labi” – 25%.</w:t>
      </w:r>
    </w:p>
    <w:p w:rsidR="00251DFD" w:rsidRPr="0019406C" w:rsidRDefault="00251DFD" w:rsidP="00E521EE">
      <w:pPr>
        <w:pStyle w:val="BodyText"/>
        <w:numPr>
          <w:ilvl w:val="0"/>
          <w:numId w:val="29"/>
        </w:numPr>
        <w:spacing w:after="120" w:line="276" w:lineRule="auto"/>
        <w:jc w:val="both"/>
        <w:rPr>
          <w:rFonts w:asciiTheme="majorHAnsi" w:hAnsiTheme="majorHAnsi"/>
          <w:lang w:val="lv-LV"/>
        </w:rPr>
      </w:pPr>
      <w:r w:rsidRPr="0019406C">
        <w:rPr>
          <w:rFonts w:asciiTheme="majorHAnsi" w:hAnsiTheme="majorHAnsi"/>
          <w:lang w:val="lv-LV"/>
        </w:rPr>
        <w:t>Tikai 4% novērtējuši, ka pēdējo divu gadu laikā tiesu varas darbība radījusi šķēršļus uzņēmējdarbībai, tomēr vidējais šķēršļa intensitātes rādītājs bija „2,7” četru ballu skalā. Salīdzinot ar iepriekšējo aptauju, kavēkļa izplatība samazinājusies par 11 procentpunktiem.</w:t>
      </w:r>
    </w:p>
    <w:p w:rsidR="00251DFD" w:rsidRPr="0019406C" w:rsidRDefault="00251DFD" w:rsidP="00E521EE">
      <w:pPr>
        <w:pStyle w:val="BodyText"/>
        <w:numPr>
          <w:ilvl w:val="0"/>
          <w:numId w:val="29"/>
        </w:numPr>
        <w:spacing w:after="120" w:line="276" w:lineRule="auto"/>
        <w:jc w:val="both"/>
        <w:rPr>
          <w:rFonts w:asciiTheme="majorHAnsi" w:hAnsiTheme="majorHAnsi"/>
          <w:lang w:val="lv-LV"/>
        </w:rPr>
      </w:pPr>
      <w:r w:rsidRPr="0019406C">
        <w:rPr>
          <w:rFonts w:asciiTheme="majorHAnsi" w:hAnsiTheme="majorHAnsi"/>
          <w:lang w:val="lv-LV"/>
        </w:rPr>
        <w:t xml:space="preserve">Tikai 3 respondenti no 734 bija saskārušies ar LR tiesām, tādēļ šāds respondentu apjoms ir pārāk mazs, lai iegūtos secinājumus par tiesu varu vispārinātu uz visu reprezentatīvo kopu. </w:t>
      </w:r>
    </w:p>
    <w:p w:rsidR="00C21790" w:rsidRPr="0019406C" w:rsidRDefault="00C21790" w:rsidP="00811CA0">
      <w:pPr>
        <w:pStyle w:val="BodyText"/>
        <w:spacing w:before="240"/>
        <w:rPr>
          <w:rFonts w:asciiTheme="majorHAnsi" w:hAnsiTheme="majorHAnsi"/>
          <w:b/>
          <w:sz w:val="22"/>
          <w:lang w:val="lv-LV"/>
        </w:rPr>
      </w:pPr>
      <w:proofErr w:type="spellStart"/>
      <w:r w:rsidRPr="0019406C">
        <w:rPr>
          <w:rFonts w:asciiTheme="majorHAnsi" w:hAnsiTheme="majorHAnsi"/>
          <w:b/>
          <w:sz w:val="22"/>
          <w:lang w:val="lv-LV"/>
        </w:rPr>
        <w:t>Doing</w:t>
      </w:r>
      <w:proofErr w:type="spellEnd"/>
      <w:r w:rsidRPr="0019406C">
        <w:rPr>
          <w:rFonts w:asciiTheme="majorHAnsi" w:hAnsiTheme="majorHAnsi"/>
          <w:b/>
          <w:sz w:val="22"/>
          <w:lang w:val="lv-LV"/>
        </w:rPr>
        <w:t xml:space="preserve"> </w:t>
      </w:r>
      <w:proofErr w:type="spellStart"/>
      <w:r w:rsidRPr="0019406C">
        <w:rPr>
          <w:rFonts w:asciiTheme="majorHAnsi" w:hAnsiTheme="majorHAnsi"/>
          <w:b/>
          <w:sz w:val="22"/>
          <w:lang w:val="lv-LV"/>
        </w:rPr>
        <w:t>Business</w:t>
      </w:r>
      <w:proofErr w:type="spellEnd"/>
      <w:r w:rsidRPr="0019406C">
        <w:rPr>
          <w:rFonts w:asciiTheme="majorHAnsi" w:hAnsiTheme="majorHAnsi"/>
          <w:b/>
          <w:sz w:val="22"/>
          <w:lang w:val="lv-LV"/>
        </w:rPr>
        <w:t xml:space="preserve"> pētījums</w:t>
      </w:r>
    </w:p>
    <w:p w:rsidR="00C21790" w:rsidRPr="0019406C" w:rsidRDefault="00C21790" w:rsidP="006B022F">
      <w:pPr>
        <w:pStyle w:val="BodyText"/>
        <w:spacing w:line="276" w:lineRule="auto"/>
        <w:jc w:val="both"/>
        <w:rPr>
          <w:rFonts w:asciiTheme="majorHAnsi" w:hAnsiTheme="majorHAnsi"/>
          <w:lang w:val="lv-LV"/>
        </w:rPr>
      </w:pPr>
      <w:r w:rsidRPr="0019406C">
        <w:rPr>
          <w:rFonts w:asciiTheme="majorHAnsi" w:hAnsiTheme="majorHAnsi"/>
          <w:lang w:val="lv-LV"/>
        </w:rPr>
        <w:t>Kā viena no apskatītajām valstīm, kas uz 2014. gadu ir veikusi reformas, jāmin Igaunija, tādējādi pakāpjoties kopējā vērtējumā par 2 vietām. Čehija ir piemērojusi izmaiņas savā sistēmā, vienkāršojot un paātrinot tiesvedību attiecībā uz spriedumu izpildi.</w:t>
      </w:r>
    </w:p>
    <w:p w:rsidR="00C21790" w:rsidRPr="0019406C" w:rsidRDefault="00C21790" w:rsidP="00C21790">
      <w:pPr>
        <w:pStyle w:val="Caption"/>
        <w:keepNext/>
        <w:rPr>
          <w:rFonts w:asciiTheme="majorHAnsi" w:hAnsiTheme="majorHAnsi"/>
          <w:sz w:val="16"/>
          <w:lang w:val="lv-LV"/>
        </w:rPr>
      </w:pPr>
      <w:bookmarkStart w:id="106" w:name="_Toc381343984"/>
      <w:bookmarkStart w:id="107" w:name="_Toc381717293"/>
      <w:bookmarkStart w:id="108" w:name="_Toc389225094"/>
      <w:r w:rsidRPr="0019406C">
        <w:rPr>
          <w:rFonts w:asciiTheme="majorHAnsi" w:hAnsiTheme="majorHAnsi"/>
          <w:sz w:val="16"/>
          <w:lang w:val="lv-LV"/>
        </w:rPr>
        <w:t xml:space="preserve">Tabula </w:t>
      </w:r>
      <w:r w:rsidRPr="0019406C">
        <w:rPr>
          <w:rFonts w:asciiTheme="majorHAnsi" w:hAnsiTheme="majorHAnsi"/>
          <w:sz w:val="16"/>
          <w:lang w:val="lv-LV"/>
        </w:rPr>
        <w:fldChar w:fldCharType="begin"/>
      </w:r>
      <w:r w:rsidRPr="0019406C">
        <w:rPr>
          <w:rFonts w:asciiTheme="majorHAnsi" w:hAnsiTheme="majorHAnsi"/>
          <w:sz w:val="16"/>
          <w:lang w:val="lv-LV"/>
        </w:rPr>
        <w:instrText xml:space="preserve"> SEQ Tabula \* ARABIC </w:instrText>
      </w:r>
      <w:r w:rsidRPr="0019406C">
        <w:rPr>
          <w:rFonts w:asciiTheme="majorHAnsi" w:hAnsiTheme="majorHAnsi"/>
          <w:sz w:val="16"/>
          <w:lang w:val="lv-LV"/>
        </w:rPr>
        <w:fldChar w:fldCharType="separate"/>
      </w:r>
      <w:r w:rsidR="00410806" w:rsidRPr="0019406C">
        <w:rPr>
          <w:rFonts w:asciiTheme="majorHAnsi" w:hAnsiTheme="majorHAnsi"/>
          <w:noProof/>
          <w:sz w:val="16"/>
          <w:lang w:val="lv-LV"/>
        </w:rPr>
        <w:t>20</w:t>
      </w:r>
      <w:r w:rsidRPr="0019406C">
        <w:rPr>
          <w:rFonts w:asciiTheme="majorHAnsi" w:hAnsiTheme="majorHAnsi"/>
          <w:noProof/>
          <w:sz w:val="16"/>
          <w:lang w:val="lv-LV"/>
        </w:rPr>
        <w:fldChar w:fldCharType="end"/>
      </w:r>
      <w:r w:rsidRPr="0019406C">
        <w:rPr>
          <w:rFonts w:asciiTheme="majorHAnsi" w:hAnsiTheme="majorHAnsi"/>
          <w:sz w:val="16"/>
          <w:lang w:val="lv-LV"/>
        </w:rPr>
        <w:t xml:space="preserve"> "</w:t>
      </w:r>
      <w:proofErr w:type="spellStart"/>
      <w:r w:rsidRPr="0019406C">
        <w:rPr>
          <w:rFonts w:asciiTheme="majorHAnsi" w:hAnsiTheme="majorHAnsi"/>
          <w:sz w:val="16"/>
          <w:lang w:val="lv-LV"/>
        </w:rPr>
        <w:t>Enforcing</w:t>
      </w:r>
      <w:proofErr w:type="spellEnd"/>
      <w:r w:rsidRPr="0019406C">
        <w:rPr>
          <w:rFonts w:asciiTheme="majorHAnsi" w:hAnsiTheme="majorHAnsi"/>
          <w:sz w:val="16"/>
          <w:lang w:val="lv-LV"/>
        </w:rPr>
        <w:t xml:space="preserve"> </w:t>
      </w:r>
      <w:proofErr w:type="spellStart"/>
      <w:r w:rsidRPr="0019406C">
        <w:rPr>
          <w:rFonts w:asciiTheme="majorHAnsi" w:hAnsiTheme="majorHAnsi"/>
          <w:sz w:val="16"/>
          <w:lang w:val="lv-LV"/>
        </w:rPr>
        <w:t>Contracts</w:t>
      </w:r>
      <w:proofErr w:type="spellEnd"/>
      <w:r w:rsidRPr="0019406C">
        <w:rPr>
          <w:rFonts w:asciiTheme="majorHAnsi" w:hAnsiTheme="majorHAnsi"/>
          <w:sz w:val="16"/>
          <w:lang w:val="lv-LV"/>
        </w:rPr>
        <w:t>", līgumu izpildes indekss</w:t>
      </w:r>
      <w:bookmarkEnd w:id="106"/>
      <w:bookmarkEnd w:id="107"/>
      <w:bookmarkEnd w:id="108"/>
    </w:p>
    <w:tbl>
      <w:tblPr>
        <w:tblStyle w:val="LightList-Accent11"/>
        <w:tblW w:w="5000" w:type="pct"/>
        <w:tblLook w:val="00A0" w:firstRow="1" w:lastRow="0" w:firstColumn="1" w:lastColumn="0" w:noHBand="0" w:noVBand="0"/>
      </w:tblPr>
      <w:tblGrid>
        <w:gridCol w:w="1309"/>
        <w:gridCol w:w="1068"/>
        <w:gridCol w:w="1135"/>
        <w:gridCol w:w="1163"/>
        <w:gridCol w:w="5405"/>
      </w:tblGrid>
      <w:tr w:rsidR="00C21790" w:rsidRPr="0019406C" w:rsidTr="008D1E3B">
        <w:trPr>
          <w:cnfStyle w:val="100000000000" w:firstRow="1" w:lastRow="0" w:firstColumn="0" w:lastColumn="0" w:oddVBand="0" w:evenVBand="0" w:oddHBand="0" w:evenHBand="0" w:firstRowFirstColumn="0" w:firstRowLastColumn="0" w:lastRowFirstColumn="0" w:lastRowLastColumn="0"/>
          <w:trHeight w:val="190"/>
        </w:trPr>
        <w:tc>
          <w:tcPr>
            <w:cnfStyle w:val="001000000000" w:firstRow="0" w:lastRow="0" w:firstColumn="1" w:lastColumn="0" w:oddVBand="0" w:evenVBand="0" w:oddHBand="0" w:evenHBand="0" w:firstRowFirstColumn="0" w:firstRowLastColumn="0" w:lastRowFirstColumn="0" w:lastRowLastColumn="0"/>
            <w:tcW w:w="649" w:type="pct"/>
            <w:vAlign w:val="center"/>
          </w:tcPr>
          <w:p w:rsidR="00C21790" w:rsidRPr="0019406C" w:rsidRDefault="00C21790" w:rsidP="008D1E3B">
            <w:pPr>
              <w:rPr>
                <w:rFonts w:asciiTheme="majorHAnsi" w:eastAsia="Cambria" w:hAnsiTheme="majorHAnsi" w:cs="Times New Roman"/>
                <w:lang w:val="lv-LV"/>
              </w:rPr>
            </w:pPr>
            <w:r w:rsidRPr="0019406C">
              <w:rPr>
                <w:rFonts w:asciiTheme="majorHAnsi" w:eastAsia="Cambria" w:hAnsiTheme="majorHAnsi" w:cs="Times New Roman"/>
                <w:lang w:val="lv-LV"/>
              </w:rPr>
              <w:t>Valsts</w:t>
            </w:r>
          </w:p>
        </w:tc>
        <w:tc>
          <w:tcPr>
            <w:cnfStyle w:val="000010000000" w:firstRow="0" w:lastRow="0" w:firstColumn="0" w:lastColumn="0" w:oddVBand="1" w:evenVBand="0" w:oddHBand="0" w:evenHBand="0" w:firstRowFirstColumn="0" w:firstRowLastColumn="0" w:lastRowFirstColumn="0" w:lastRowLastColumn="0"/>
            <w:tcW w:w="530" w:type="pct"/>
            <w:vAlign w:val="center"/>
          </w:tcPr>
          <w:p w:rsidR="00C21790" w:rsidRPr="0019406C" w:rsidRDefault="00C21790" w:rsidP="008D1E3B">
            <w:pPr>
              <w:jc w:val="center"/>
              <w:rPr>
                <w:rFonts w:asciiTheme="majorHAnsi" w:eastAsia="Cambria" w:hAnsiTheme="majorHAnsi" w:cs="Times New Roman"/>
                <w:lang w:val="lv-LV"/>
              </w:rPr>
            </w:pPr>
            <w:r w:rsidRPr="0019406C">
              <w:rPr>
                <w:rFonts w:asciiTheme="majorHAnsi" w:eastAsia="Cambria" w:hAnsiTheme="majorHAnsi" w:cs="Times New Roman"/>
                <w:lang w:val="lv-LV"/>
              </w:rPr>
              <w:t>2013</w:t>
            </w:r>
          </w:p>
        </w:tc>
        <w:tc>
          <w:tcPr>
            <w:tcW w:w="563" w:type="pct"/>
            <w:vAlign w:val="center"/>
          </w:tcPr>
          <w:p w:rsidR="00C21790" w:rsidRPr="0019406C" w:rsidRDefault="00C21790" w:rsidP="008D1E3B">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2014</w:t>
            </w:r>
          </w:p>
        </w:tc>
        <w:tc>
          <w:tcPr>
            <w:cnfStyle w:val="000010000000" w:firstRow="0" w:lastRow="0" w:firstColumn="0" w:lastColumn="0" w:oddVBand="1" w:evenVBand="0" w:oddHBand="0" w:evenHBand="0" w:firstRowFirstColumn="0" w:firstRowLastColumn="0" w:lastRowFirstColumn="0" w:lastRowLastColumn="0"/>
            <w:tcW w:w="577" w:type="pct"/>
            <w:vAlign w:val="center"/>
          </w:tcPr>
          <w:p w:rsidR="00C21790" w:rsidRPr="0019406C" w:rsidRDefault="00C21790" w:rsidP="008D1E3B">
            <w:pPr>
              <w:jc w:val="center"/>
              <w:rPr>
                <w:rFonts w:asciiTheme="majorHAnsi" w:eastAsia="Cambria" w:hAnsiTheme="majorHAnsi" w:cs="Times New Roman"/>
                <w:lang w:val="lv-LV"/>
              </w:rPr>
            </w:pPr>
            <w:r w:rsidRPr="0019406C">
              <w:rPr>
                <w:rFonts w:asciiTheme="majorHAnsi" w:eastAsia="Cambria" w:hAnsiTheme="majorHAnsi" w:cs="Times New Roman"/>
                <w:lang w:val="lv-LV"/>
              </w:rPr>
              <w:t>Izmaiņas</w:t>
            </w:r>
          </w:p>
        </w:tc>
        <w:tc>
          <w:tcPr>
            <w:tcW w:w="2682" w:type="pct"/>
          </w:tcPr>
          <w:p w:rsidR="00C21790" w:rsidRPr="0019406C" w:rsidRDefault="00A4401C" w:rsidP="00A4401C">
            <w:pP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Veiktās reformas</w:t>
            </w:r>
          </w:p>
        </w:tc>
      </w:tr>
      <w:tr w:rsidR="00C21790" w:rsidRPr="0019406C" w:rsidTr="008D1E3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49" w:type="pct"/>
            <w:vAlign w:val="center"/>
          </w:tcPr>
          <w:p w:rsidR="00C21790" w:rsidRPr="0019406C" w:rsidRDefault="00C21790" w:rsidP="008D1E3B">
            <w:pPr>
              <w:rPr>
                <w:rFonts w:asciiTheme="majorHAnsi" w:hAnsiTheme="majorHAnsi"/>
                <w:b w:val="0"/>
                <w:lang w:val="lv-LV"/>
              </w:rPr>
            </w:pPr>
            <w:r w:rsidRPr="0019406C">
              <w:rPr>
                <w:rFonts w:asciiTheme="majorHAnsi" w:hAnsiTheme="majorHAnsi"/>
                <w:b w:val="0"/>
                <w:lang w:val="lv-LV"/>
              </w:rPr>
              <w:t>Somija</w:t>
            </w:r>
          </w:p>
        </w:tc>
        <w:tc>
          <w:tcPr>
            <w:cnfStyle w:val="000010000000" w:firstRow="0" w:lastRow="0" w:firstColumn="0" w:lastColumn="0" w:oddVBand="1" w:evenVBand="0" w:oddHBand="0" w:evenHBand="0" w:firstRowFirstColumn="0" w:firstRowLastColumn="0" w:lastRowFirstColumn="0" w:lastRowLastColumn="0"/>
            <w:tcW w:w="530" w:type="pct"/>
            <w:vAlign w:val="center"/>
          </w:tcPr>
          <w:p w:rsidR="00C21790" w:rsidRPr="0019406C" w:rsidRDefault="00C21790" w:rsidP="008D1E3B">
            <w:pPr>
              <w:jc w:val="center"/>
              <w:rPr>
                <w:rFonts w:asciiTheme="majorHAnsi" w:eastAsia="Cambria" w:hAnsiTheme="majorHAnsi" w:cs="Times New Roman"/>
                <w:lang w:val="lv-LV"/>
              </w:rPr>
            </w:pPr>
            <w:r w:rsidRPr="0019406C">
              <w:rPr>
                <w:rFonts w:asciiTheme="majorHAnsi" w:eastAsia="Cambria" w:hAnsiTheme="majorHAnsi" w:cs="Times New Roman"/>
                <w:lang w:val="lv-LV"/>
              </w:rPr>
              <w:t>8</w:t>
            </w:r>
          </w:p>
        </w:tc>
        <w:tc>
          <w:tcPr>
            <w:tcW w:w="563" w:type="pct"/>
            <w:vAlign w:val="center"/>
          </w:tcPr>
          <w:p w:rsidR="00C21790" w:rsidRPr="0019406C" w:rsidRDefault="00C21790" w:rsidP="008D1E3B">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8</w:t>
            </w:r>
          </w:p>
        </w:tc>
        <w:tc>
          <w:tcPr>
            <w:cnfStyle w:val="000010000000" w:firstRow="0" w:lastRow="0" w:firstColumn="0" w:lastColumn="0" w:oddVBand="1" w:evenVBand="0" w:oddHBand="0" w:evenHBand="0" w:firstRowFirstColumn="0" w:firstRowLastColumn="0" w:lastRowFirstColumn="0" w:lastRowLastColumn="0"/>
            <w:tcW w:w="577" w:type="pct"/>
            <w:vAlign w:val="center"/>
          </w:tcPr>
          <w:p w:rsidR="00C21790" w:rsidRPr="0019406C" w:rsidRDefault="00C21790" w:rsidP="008D1E3B">
            <w:pPr>
              <w:jc w:val="center"/>
              <w:rPr>
                <w:rFonts w:asciiTheme="majorHAnsi" w:eastAsia="Cambria" w:hAnsiTheme="majorHAnsi" w:cs="Times New Roman"/>
                <w:b/>
                <w:lang w:val="lv-LV"/>
              </w:rPr>
            </w:pPr>
            <w:r w:rsidRPr="0019406C">
              <w:rPr>
                <w:rFonts w:asciiTheme="majorHAnsi" w:eastAsia="Cambria" w:hAnsiTheme="majorHAnsi" w:cs="Times New Roman"/>
                <w:b/>
                <w:lang w:val="lv-LV"/>
              </w:rPr>
              <w:t>-</w:t>
            </w:r>
          </w:p>
        </w:tc>
        <w:tc>
          <w:tcPr>
            <w:tcW w:w="2682" w:type="pct"/>
          </w:tcPr>
          <w:p w:rsidR="00C21790" w:rsidRPr="0019406C" w:rsidRDefault="00C21790" w:rsidP="008D1E3B">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C21790" w:rsidRPr="0019406C" w:rsidTr="008D1E3B">
        <w:trPr>
          <w:trHeight w:val="270"/>
        </w:trPr>
        <w:tc>
          <w:tcPr>
            <w:cnfStyle w:val="001000000000" w:firstRow="0" w:lastRow="0" w:firstColumn="1" w:lastColumn="0" w:oddVBand="0" w:evenVBand="0" w:oddHBand="0" w:evenHBand="0" w:firstRowFirstColumn="0" w:firstRowLastColumn="0" w:lastRowFirstColumn="0" w:lastRowLastColumn="0"/>
            <w:tcW w:w="649" w:type="pct"/>
            <w:vAlign w:val="center"/>
          </w:tcPr>
          <w:p w:rsidR="00C21790" w:rsidRPr="0019406C" w:rsidRDefault="00C21790" w:rsidP="008D1E3B">
            <w:pPr>
              <w:rPr>
                <w:rFonts w:asciiTheme="majorHAnsi" w:eastAsia="Cambria" w:hAnsiTheme="majorHAnsi" w:cs="Times New Roman"/>
                <w:b w:val="0"/>
                <w:lang w:val="lv-LV"/>
              </w:rPr>
            </w:pPr>
            <w:r w:rsidRPr="0019406C">
              <w:rPr>
                <w:rFonts w:asciiTheme="majorHAnsi" w:hAnsiTheme="majorHAnsi"/>
                <w:b w:val="0"/>
                <w:lang w:val="lv-LV"/>
              </w:rPr>
              <w:t xml:space="preserve">Lietuva </w:t>
            </w:r>
          </w:p>
        </w:tc>
        <w:tc>
          <w:tcPr>
            <w:cnfStyle w:val="000010000000" w:firstRow="0" w:lastRow="0" w:firstColumn="0" w:lastColumn="0" w:oddVBand="1" w:evenVBand="0" w:oddHBand="0" w:evenHBand="0" w:firstRowFirstColumn="0" w:firstRowLastColumn="0" w:lastRowFirstColumn="0" w:lastRowLastColumn="0"/>
            <w:tcW w:w="530" w:type="pct"/>
            <w:vAlign w:val="center"/>
          </w:tcPr>
          <w:p w:rsidR="00C21790" w:rsidRPr="0019406C" w:rsidRDefault="00C21790" w:rsidP="008D1E3B">
            <w:pPr>
              <w:jc w:val="center"/>
              <w:rPr>
                <w:rFonts w:asciiTheme="majorHAnsi" w:eastAsia="Cambria" w:hAnsiTheme="majorHAnsi" w:cs="Times New Roman"/>
                <w:lang w:val="lv-LV"/>
              </w:rPr>
            </w:pPr>
            <w:r w:rsidRPr="0019406C">
              <w:rPr>
                <w:rFonts w:asciiTheme="majorHAnsi" w:eastAsia="Cambria" w:hAnsiTheme="majorHAnsi" w:cs="Times New Roman"/>
                <w:lang w:val="lv-LV"/>
              </w:rPr>
              <w:t>16</w:t>
            </w:r>
          </w:p>
        </w:tc>
        <w:tc>
          <w:tcPr>
            <w:tcW w:w="563" w:type="pct"/>
            <w:vAlign w:val="center"/>
          </w:tcPr>
          <w:p w:rsidR="00C21790" w:rsidRPr="0019406C" w:rsidRDefault="00C21790" w:rsidP="008D1E3B">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17</w:t>
            </w:r>
          </w:p>
        </w:tc>
        <w:tc>
          <w:tcPr>
            <w:cnfStyle w:val="000010000000" w:firstRow="0" w:lastRow="0" w:firstColumn="0" w:lastColumn="0" w:oddVBand="1" w:evenVBand="0" w:oddHBand="0" w:evenHBand="0" w:firstRowFirstColumn="0" w:firstRowLastColumn="0" w:lastRowFirstColumn="0" w:lastRowLastColumn="0"/>
            <w:tcW w:w="577" w:type="pct"/>
            <w:vAlign w:val="center"/>
          </w:tcPr>
          <w:p w:rsidR="00C21790" w:rsidRPr="0019406C" w:rsidRDefault="00C21790" w:rsidP="008D1E3B">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w:t>
            </w:r>
          </w:p>
        </w:tc>
        <w:tc>
          <w:tcPr>
            <w:tcW w:w="2682" w:type="pct"/>
          </w:tcPr>
          <w:p w:rsidR="00C21790" w:rsidRPr="0019406C" w:rsidRDefault="00C21790" w:rsidP="008D1E3B">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C21790" w:rsidRPr="0019406C" w:rsidTr="008D1E3B">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649" w:type="pct"/>
            <w:shd w:val="clear" w:color="auto" w:fill="FFE199" w:themeFill="accent2" w:themeFillTint="66"/>
            <w:vAlign w:val="center"/>
          </w:tcPr>
          <w:p w:rsidR="00C21790" w:rsidRPr="0019406C" w:rsidRDefault="00C21790" w:rsidP="008D1E3B">
            <w:pPr>
              <w:rPr>
                <w:rFonts w:asciiTheme="majorHAnsi" w:eastAsia="Cambria" w:hAnsiTheme="majorHAnsi" w:cs="Times New Roman"/>
                <w:b w:val="0"/>
                <w:lang w:val="lv-LV"/>
              </w:rPr>
            </w:pPr>
            <w:r w:rsidRPr="0019406C">
              <w:rPr>
                <w:rFonts w:asciiTheme="majorHAnsi" w:eastAsia="Cambria" w:hAnsiTheme="majorHAnsi" w:cs="Times New Roman"/>
                <w:b w:val="0"/>
                <w:lang w:val="lv-LV"/>
              </w:rPr>
              <w:t>Latvija</w:t>
            </w:r>
          </w:p>
        </w:tc>
        <w:tc>
          <w:tcPr>
            <w:cnfStyle w:val="000010000000" w:firstRow="0" w:lastRow="0" w:firstColumn="0" w:lastColumn="0" w:oddVBand="1" w:evenVBand="0" w:oddHBand="0" w:evenHBand="0" w:firstRowFirstColumn="0" w:firstRowLastColumn="0" w:lastRowFirstColumn="0" w:lastRowLastColumn="0"/>
            <w:tcW w:w="530" w:type="pct"/>
            <w:shd w:val="clear" w:color="auto" w:fill="FFE199" w:themeFill="accent2" w:themeFillTint="66"/>
            <w:vAlign w:val="center"/>
          </w:tcPr>
          <w:p w:rsidR="00C21790" w:rsidRPr="0019406C" w:rsidRDefault="00C21790" w:rsidP="008D1E3B">
            <w:pPr>
              <w:jc w:val="center"/>
              <w:rPr>
                <w:rFonts w:asciiTheme="majorHAnsi" w:eastAsia="Cambria" w:hAnsiTheme="majorHAnsi" w:cs="Times New Roman"/>
                <w:lang w:val="lv-LV"/>
              </w:rPr>
            </w:pPr>
            <w:r w:rsidRPr="0019406C">
              <w:rPr>
                <w:rFonts w:asciiTheme="majorHAnsi" w:eastAsia="Cambria" w:hAnsiTheme="majorHAnsi" w:cs="Times New Roman"/>
                <w:lang w:val="lv-LV"/>
              </w:rPr>
              <w:t>21</w:t>
            </w:r>
          </w:p>
        </w:tc>
        <w:tc>
          <w:tcPr>
            <w:tcW w:w="563" w:type="pct"/>
            <w:shd w:val="clear" w:color="auto" w:fill="FFE199" w:themeFill="accent2" w:themeFillTint="66"/>
            <w:vAlign w:val="center"/>
          </w:tcPr>
          <w:p w:rsidR="00C21790" w:rsidRPr="0019406C" w:rsidRDefault="00C21790" w:rsidP="008D1E3B">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21</w:t>
            </w:r>
          </w:p>
        </w:tc>
        <w:tc>
          <w:tcPr>
            <w:cnfStyle w:val="000010000000" w:firstRow="0" w:lastRow="0" w:firstColumn="0" w:lastColumn="0" w:oddVBand="1" w:evenVBand="0" w:oddHBand="0" w:evenHBand="0" w:firstRowFirstColumn="0" w:firstRowLastColumn="0" w:lastRowFirstColumn="0" w:lastRowLastColumn="0"/>
            <w:tcW w:w="577" w:type="pct"/>
            <w:shd w:val="clear" w:color="auto" w:fill="FFE199" w:themeFill="accent2" w:themeFillTint="66"/>
            <w:vAlign w:val="center"/>
          </w:tcPr>
          <w:p w:rsidR="00C21790" w:rsidRPr="0019406C" w:rsidRDefault="00C21790" w:rsidP="008D1E3B">
            <w:pPr>
              <w:jc w:val="center"/>
              <w:rPr>
                <w:rFonts w:asciiTheme="majorHAnsi" w:eastAsia="Cambria" w:hAnsiTheme="majorHAnsi" w:cs="Times New Roman"/>
                <w:b/>
                <w:lang w:val="lv-LV"/>
              </w:rPr>
            </w:pPr>
            <w:r w:rsidRPr="0019406C">
              <w:rPr>
                <w:rFonts w:asciiTheme="majorHAnsi" w:eastAsia="Cambria" w:hAnsiTheme="majorHAnsi" w:cs="Times New Roman"/>
                <w:b/>
                <w:lang w:val="lv-LV"/>
              </w:rPr>
              <w:t>-</w:t>
            </w:r>
          </w:p>
        </w:tc>
        <w:tc>
          <w:tcPr>
            <w:tcW w:w="2682" w:type="pct"/>
            <w:shd w:val="clear" w:color="auto" w:fill="FFE199" w:themeFill="accent2" w:themeFillTint="66"/>
          </w:tcPr>
          <w:p w:rsidR="00C21790" w:rsidRPr="0019406C" w:rsidRDefault="00C21790" w:rsidP="008D1E3B">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C21790" w:rsidRPr="0019406C" w:rsidTr="008D1E3B">
        <w:trPr>
          <w:trHeight w:val="264"/>
        </w:trPr>
        <w:tc>
          <w:tcPr>
            <w:cnfStyle w:val="001000000000" w:firstRow="0" w:lastRow="0" w:firstColumn="1" w:lastColumn="0" w:oddVBand="0" w:evenVBand="0" w:oddHBand="0" w:evenHBand="0" w:firstRowFirstColumn="0" w:firstRowLastColumn="0" w:lastRowFirstColumn="0" w:lastRowLastColumn="0"/>
            <w:tcW w:w="649" w:type="pct"/>
            <w:vAlign w:val="center"/>
          </w:tcPr>
          <w:p w:rsidR="00C21790" w:rsidRPr="0019406C" w:rsidRDefault="00C21790" w:rsidP="008D1E3B">
            <w:pPr>
              <w:rPr>
                <w:rFonts w:asciiTheme="majorHAnsi" w:hAnsiTheme="majorHAnsi"/>
                <w:b w:val="0"/>
                <w:lang w:val="lv-LV"/>
              </w:rPr>
            </w:pPr>
            <w:r w:rsidRPr="0019406C">
              <w:rPr>
                <w:rFonts w:asciiTheme="majorHAnsi" w:hAnsiTheme="majorHAnsi"/>
                <w:b w:val="0"/>
                <w:lang w:val="lv-LV"/>
              </w:rPr>
              <w:t>Zviedrija</w:t>
            </w:r>
          </w:p>
        </w:tc>
        <w:tc>
          <w:tcPr>
            <w:cnfStyle w:val="000010000000" w:firstRow="0" w:lastRow="0" w:firstColumn="0" w:lastColumn="0" w:oddVBand="1" w:evenVBand="0" w:oddHBand="0" w:evenHBand="0" w:firstRowFirstColumn="0" w:firstRowLastColumn="0" w:lastRowFirstColumn="0" w:lastRowLastColumn="0"/>
            <w:tcW w:w="530" w:type="pct"/>
            <w:vAlign w:val="center"/>
          </w:tcPr>
          <w:p w:rsidR="00C21790" w:rsidRPr="0019406C" w:rsidRDefault="00C21790" w:rsidP="008D1E3B">
            <w:pPr>
              <w:jc w:val="center"/>
              <w:rPr>
                <w:rFonts w:asciiTheme="majorHAnsi" w:eastAsia="Cambria" w:hAnsiTheme="majorHAnsi" w:cs="Times New Roman"/>
                <w:lang w:val="lv-LV"/>
              </w:rPr>
            </w:pPr>
            <w:r w:rsidRPr="0019406C">
              <w:rPr>
                <w:rFonts w:asciiTheme="majorHAnsi" w:eastAsia="Cambria" w:hAnsiTheme="majorHAnsi" w:cs="Times New Roman"/>
                <w:lang w:val="lv-LV"/>
              </w:rPr>
              <w:t>25</w:t>
            </w:r>
          </w:p>
        </w:tc>
        <w:tc>
          <w:tcPr>
            <w:tcW w:w="563" w:type="pct"/>
            <w:vAlign w:val="center"/>
          </w:tcPr>
          <w:p w:rsidR="00C21790" w:rsidRPr="0019406C" w:rsidRDefault="00C21790" w:rsidP="008D1E3B">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25</w:t>
            </w:r>
          </w:p>
        </w:tc>
        <w:tc>
          <w:tcPr>
            <w:cnfStyle w:val="000010000000" w:firstRow="0" w:lastRow="0" w:firstColumn="0" w:lastColumn="0" w:oddVBand="1" w:evenVBand="0" w:oddHBand="0" w:evenHBand="0" w:firstRowFirstColumn="0" w:firstRowLastColumn="0" w:lastRowFirstColumn="0" w:lastRowLastColumn="0"/>
            <w:tcW w:w="577" w:type="pct"/>
            <w:vAlign w:val="center"/>
          </w:tcPr>
          <w:p w:rsidR="00C21790" w:rsidRPr="0019406C" w:rsidRDefault="00C21790" w:rsidP="008D1E3B">
            <w:pPr>
              <w:jc w:val="center"/>
              <w:rPr>
                <w:rFonts w:asciiTheme="majorHAnsi" w:eastAsia="Cambria" w:hAnsiTheme="majorHAnsi" w:cs="Times New Roman"/>
                <w:b/>
                <w:lang w:val="lv-LV"/>
              </w:rPr>
            </w:pPr>
            <w:r w:rsidRPr="0019406C">
              <w:rPr>
                <w:rFonts w:asciiTheme="majorHAnsi" w:eastAsia="Cambria" w:hAnsiTheme="majorHAnsi" w:cs="Times New Roman"/>
                <w:b/>
                <w:lang w:val="lv-LV"/>
              </w:rPr>
              <w:t>-</w:t>
            </w:r>
          </w:p>
        </w:tc>
        <w:tc>
          <w:tcPr>
            <w:tcW w:w="2682" w:type="pct"/>
          </w:tcPr>
          <w:p w:rsidR="00C21790" w:rsidRPr="0019406C" w:rsidRDefault="00C21790" w:rsidP="008D1E3B">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C21790" w:rsidRPr="0019406C" w:rsidTr="008D1E3B">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649" w:type="pct"/>
            <w:vAlign w:val="center"/>
          </w:tcPr>
          <w:p w:rsidR="00C21790" w:rsidRPr="0019406C" w:rsidRDefault="00C21790" w:rsidP="008D1E3B">
            <w:pPr>
              <w:rPr>
                <w:rFonts w:asciiTheme="majorHAnsi" w:eastAsia="Cambria" w:hAnsiTheme="majorHAnsi" w:cs="Times New Roman"/>
                <w:b w:val="0"/>
                <w:lang w:val="lv-LV"/>
              </w:rPr>
            </w:pPr>
            <w:r w:rsidRPr="0019406C">
              <w:rPr>
                <w:rFonts w:asciiTheme="majorHAnsi" w:hAnsiTheme="majorHAnsi"/>
                <w:b w:val="0"/>
                <w:lang w:val="lv-LV"/>
              </w:rPr>
              <w:t>Igaunija</w:t>
            </w:r>
          </w:p>
        </w:tc>
        <w:tc>
          <w:tcPr>
            <w:cnfStyle w:val="000010000000" w:firstRow="0" w:lastRow="0" w:firstColumn="0" w:lastColumn="0" w:oddVBand="1" w:evenVBand="0" w:oddHBand="0" w:evenHBand="0" w:firstRowFirstColumn="0" w:firstRowLastColumn="0" w:lastRowFirstColumn="0" w:lastRowLastColumn="0"/>
            <w:tcW w:w="530" w:type="pct"/>
            <w:vAlign w:val="center"/>
          </w:tcPr>
          <w:p w:rsidR="00C21790" w:rsidRPr="0019406C" w:rsidRDefault="00C21790" w:rsidP="008D1E3B">
            <w:pPr>
              <w:jc w:val="center"/>
              <w:rPr>
                <w:rFonts w:asciiTheme="majorHAnsi" w:eastAsia="Cambria" w:hAnsiTheme="majorHAnsi" w:cs="Times New Roman"/>
                <w:lang w:val="lv-LV"/>
              </w:rPr>
            </w:pPr>
            <w:r w:rsidRPr="0019406C">
              <w:rPr>
                <w:rFonts w:asciiTheme="majorHAnsi" w:eastAsia="Cambria" w:hAnsiTheme="majorHAnsi" w:cs="Times New Roman"/>
                <w:lang w:val="lv-LV"/>
              </w:rPr>
              <w:t>28</w:t>
            </w:r>
          </w:p>
        </w:tc>
        <w:tc>
          <w:tcPr>
            <w:tcW w:w="563" w:type="pct"/>
            <w:vAlign w:val="center"/>
          </w:tcPr>
          <w:p w:rsidR="00C21790" w:rsidRPr="0019406C" w:rsidRDefault="00C21790" w:rsidP="008D1E3B">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26</w:t>
            </w:r>
          </w:p>
        </w:tc>
        <w:tc>
          <w:tcPr>
            <w:cnfStyle w:val="000010000000" w:firstRow="0" w:lastRow="0" w:firstColumn="0" w:lastColumn="0" w:oddVBand="1" w:evenVBand="0" w:oddHBand="0" w:evenHBand="0" w:firstRowFirstColumn="0" w:firstRowLastColumn="0" w:lastRowFirstColumn="0" w:lastRowLastColumn="0"/>
            <w:tcW w:w="577" w:type="pct"/>
            <w:vAlign w:val="center"/>
          </w:tcPr>
          <w:p w:rsidR="00C21790" w:rsidRPr="0019406C" w:rsidRDefault="00C21790" w:rsidP="008D1E3B">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2</w:t>
            </w:r>
          </w:p>
        </w:tc>
        <w:tc>
          <w:tcPr>
            <w:tcW w:w="2682" w:type="pct"/>
          </w:tcPr>
          <w:p w:rsidR="00C21790" w:rsidRPr="0019406C" w:rsidRDefault="00C21790" w:rsidP="008D1E3B">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Samazinātas tiesas nodevas.</w:t>
            </w:r>
          </w:p>
        </w:tc>
      </w:tr>
      <w:tr w:rsidR="00C21790" w:rsidRPr="0019406C" w:rsidTr="008D1E3B">
        <w:trPr>
          <w:trHeight w:val="264"/>
        </w:trPr>
        <w:tc>
          <w:tcPr>
            <w:cnfStyle w:val="001000000000" w:firstRow="0" w:lastRow="0" w:firstColumn="1" w:lastColumn="0" w:oddVBand="0" w:evenVBand="0" w:oddHBand="0" w:evenHBand="0" w:firstRowFirstColumn="0" w:firstRowLastColumn="0" w:lastRowFirstColumn="0" w:lastRowLastColumn="0"/>
            <w:tcW w:w="649" w:type="pct"/>
            <w:vAlign w:val="center"/>
          </w:tcPr>
          <w:p w:rsidR="00C21790" w:rsidRPr="0019406C" w:rsidRDefault="00C21790" w:rsidP="008D1E3B">
            <w:pPr>
              <w:rPr>
                <w:rFonts w:asciiTheme="majorHAnsi" w:hAnsiTheme="majorHAnsi"/>
                <w:b w:val="0"/>
                <w:lang w:val="lv-LV"/>
              </w:rPr>
            </w:pPr>
            <w:r w:rsidRPr="0019406C">
              <w:rPr>
                <w:rFonts w:asciiTheme="majorHAnsi" w:hAnsiTheme="majorHAnsi"/>
                <w:b w:val="0"/>
                <w:lang w:val="lv-LV"/>
              </w:rPr>
              <w:t>Dānija</w:t>
            </w:r>
          </w:p>
        </w:tc>
        <w:tc>
          <w:tcPr>
            <w:cnfStyle w:val="000010000000" w:firstRow="0" w:lastRow="0" w:firstColumn="0" w:lastColumn="0" w:oddVBand="1" w:evenVBand="0" w:oddHBand="0" w:evenHBand="0" w:firstRowFirstColumn="0" w:firstRowLastColumn="0" w:lastRowFirstColumn="0" w:lastRowLastColumn="0"/>
            <w:tcW w:w="530" w:type="pct"/>
            <w:vAlign w:val="center"/>
          </w:tcPr>
          <w:p w:rsidR="00C21790" w:rsidRPr="0019406C" w:rsidRDefault="00C21790" w:rsidP="008D1E3B">
            <w:pPr>
              <w:jc w:val="center"/>
              <w:rPr>
                <w:rFonts w:asciiTheme="majorHAnsi" w:eastAsia="Cambria" w:hAnsiTheme="majorHAnsi" w:cs="Times New Roman"/>
                <w:lang w:val="lv-LV"/>
              </w:rPr>
            </w:pPr>
            <w:r w:rsidRPr="0019406C">
              <w:rPr>
                <w:rFonts w:asciiTheme="majorHAnsi" w:eastAsia="Cambria" w:hAnsiTheme="majorHAnsi" w:cs="Times New Roman"/>
                <w:lang w:val="lv-LV"/>
              </w:rPr>
              <w:t>32</w:t>
            </w:r>
          </w:p>
        </w:tc>
        <w:tc>
          <w:tcPr>
            <w:tcW w:w="563" w:type="pct"/>
            <w:vAlign w:val="center"/>
          </w:tcPr>
          <w:p w:rsidR="00C21790" w:rsidRPr="0019406C" w:rsidRDefault="00C21790" w:rsidP="008D1E3B">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40</w:t>
            </w:r>
          </w:p>
        </w:tc>
        <w:tc>
          <w:tcPr>
            <w:cnfStyle w:val="000010000000" w:firstRow="0" w:lastRow="0" w:firstColumn="0" w:lastColumn="0" w:oddVBand="1" w:evenVBand="0" w:oddHBand="0" w:evenHBand="0" w:firstRowFirstColumn="0" w:firstRowLastColumn="0" w:lastRowFirstColumn="0" w:lastRowLastColumn="0"/>
            <w:tcW w:w="577" w:type="pct"/>
            <w:vAlign w:val="center"/>
          </w:tcPr>
          <w:p w:rsidR="00C21790" w:rsidRPr="0019406C" w:rsidRDefault="00C21790" w:rsidP="008D1E3B">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-8</w:t>
            </w:r>
          </w:p>
        </w:tc>
        <w:tc>
          <w:tcPr>
            <w:tcW w:w="2682" w:type="pct"/>
          </w:tcPr>
          <w:p w:rsidR="00C21790" w:rsidRPr="0019406C" w:rsidRDefault="00C21790" w:rsidP="008D1E3B">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C21790" w:rsidRPr="00BB0049" w:rsidTr="008D1E3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49" w:type="pct"/>
            <w:vAlign w:val="center"/>
          </w:tcPr>
          <w:p w:rsidR="00C21790" w:rsidRPr="0019406C" w:rsidRDefault="00C21790" w:rsidP="008D1E3B">
            <w:pPr>
              <w:rPr>
                <w:rFonts w:asciiTheme="majorHAnsi" w:eastAsia="Cambria" w:hAnsiTheme="majorHAnsi" w:cs="Times New Roman"/>
                <w:b w:val="0"/>
                <w:lang w:val="lv-LV"/>
              </w:rPr>
            </w:pPr>
            <w:r w:rsidRPr="0019406C">
              <w:rPr>
                <w:rFonts w:asciiTheme="majorHAnsi" w:hAnsiTheme="majorHAnsi"/>
                <w:b w:val="0"/>
                <w:lang w:val="lv-LV"/>
              </w:rPr>
              <w:t>Polija</w:t>
            </w:r>
          </w:p>
        </w:tc>
        <w:tc>
          <w:tcPr>
            <w:cnfStyle w:val="000010000000" w:firstRow="0" w:lastRow="0" w:firstColumn="0" w:lastColumn="0" w:oddVBand="1" w:evenVBand="0" w:oddHBand="0" w:evenHBand="0" w:firstRowFirstColumn="0" w:firstRowLastColumn="0" w:lastRowFirstColumn="0" w:lastRowLastColumn="0"/>
            <w:tcW w:w="530" w:type="pct"/>
            <w:vAlign w:val="center"/>
          </w:tcPr>
          <w:p w:rsidR="00C21790" w:rsidRPr="0019406C" w:rsidRDefault="00C21790" w:rsidP="008D1E3B">
            <w:pPr>
              <w:jc w:val="center"/>
              <w:rPr>
                <w:rFonts w:asciiTheme="majorHAnsi" w:eastAsia="Cambria" w:hAnsiTheme="majorHAnsi" w:cs="Times New Roman"/>
                <w:lang w:val="lv-LV"/>
              </w:rPr>
            </w:pPr>
            <w:r w:rsidRPr="0019406C">
              <w:rPr>
                <w:rFonts w:asciiTheme="majorHAnsi" w:eastAsia="Cambria" w:hAnsiTheme="majorHAnsi" w:cs="Times New Roman"/>
                <w:lang w:val="lv-LV"/>
              </w:rPr>
              <w:t>54</w:t>
            </w:r>
          </w:p>
        </w:tc>
        <w:tc>
          <w:tcPr>
            <w:tcW w:w="563" w:type="pct"/>
            <w:vAlign w:val="center"/>
          </w:tcPr>
          <w:p w:rsidR="00C21790" w:rsidRPr="0019406C" w:rsidRDefault="00C21790" w:rsidP="008D1E3B">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55</w:t>
            </w:r>
          </w:p>
        </w:tc>
        <w:tc>
          <w:tcPr>
            <w:cnfStyle w:val="000010000000" w:firstRow="0" w:lastRow="0" w:firstColumn="0" w:lastColumn="0" w:oddVBand="1" w:evenVBand="0" w:oddHBand="0" w:evenHBand="0" w:firstRowFirstColumn="0" w:firstRowLastColumn="0" w:lastRowFirstColumn="0" w:lastRowLastColumn="0"/>
            <w:tcW w:w="577" w:type="pct"/>
            <w:vAlign w:val="center"/>
          </w:tcPr>
          <w:p w:rsidR="00C21790" w:rsidRPr="0019406C" w:rsidRDefault="00C21790" w:rsidP="008D1E3B">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w:t>
            </w:r>
          </w:p>
        </w:tc>
        <w:tc>
          <w:tcPr>
            <w:tcW w:w="2682" w:type="pct"/>
          </w:tcPr>
          <w:p w:rsidR="00C21790" w:rsidRPr="0019406C" w:rsidRDefault="00C21790" w:rsidP="008D1E3B">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Pieņēma darbā vairāk tiesnešu tiesās un veica izmaiņas civillikumā.</w:t>
            </w:r>
          </w:p>
        </w:tc>
      </w:tr>
      <w:tr w:rsidR="00C21790" w:rsidRPr="0019406C" w:rsidTr="008D1E3B">
        <w:trPr>
          <w:trHeight w:val="264"/>
        </w:trPr>
        <w:tc>
          <w:tcPr>
            <w:cnfStyle w:val="001000000000" w:firstRow="0" w:lastRow="0" w:firstColumn="1" w:lastColumn="0" w:oddVBand="0" w:evenVBand="0" w:oddHBand="0" w:evenHBand="0" w:firstRowFirstColumn="0" w:firstRowLastColumn="0" w:lastRowFirstColumn="0" w:lastRowLastColumn="0"/>
            <w:tcW w:w="649" w:type="pct"/>
            <w:vAlign w:val="center"/>
          </w:tcPr>
          <w:p w:rsidR="00C21790" w:rsidRPr="0019406C" w:rsidRDefault="00C21790" w:rsidP="008D1E3B">
            <w:pPr>
              <w:rPr>
                <w:rFonts w:asciiTheme="majorHAnsi" w:hAnsiTheme="majorHAnsi"/>
                <w:b w:val="0"/>
                <w:lang w:val="lv-LV"/>
              </w:rPr>
            </w:pPr>
            <w:r w:rsidRPr="0019406C">
              <w:rPr>
                <w:rFonts w:asciiTheme="majorHAnsi" w:hAnsiTheme="majorHAnsi"/>
                <w:b w:val="0"/>
                <w:lang w:val="lv-LV"/>
              </w:rPr>
              <w:t>Lielbritānija</w:t>
            </w:r>
          </w:p>
        </w:tc>
        <w:tc>
          <w:tcPr>
            <w:cnfStyle w:val="000010000000" w:firstRow="0" w:lastRow="0" w:firstColumn="0" w:lastColumn="0" w:oddVBand="1" w:evenVBand="0" w:oddHBand="0" w:evenHBand="0" w:firstRowFirstColumn="0" w:firstRowLastColumn="0" w:lastRowFirstColumn="0" w:lastRowLastColumn="0"/>
            <w:tcW w:w="530" w:type="pct"/>
            <w:vAlign w:val="center"/>
          </w:tcPr>
          <w:p w:rsidR="00C21790" w:rsidRPr="0019406C" w:rsidRDefault="00C21790" w:rsidP="008D1E3B">
            <w:pPr>
              <w:jc w:val="center"/>
              <w:rPr>
                <w:rFonts w:asciiTheme="majorHAnsi" w:eastAsia="Cambria" w:hAnsiTheme="majorHAnsi" w:cs="Times New Roman"/>
                <w:lang w:val="lv-LV"/>
              </w:rPr>
            </w:pPr>
            <w:r w:rsidRPr="0019406C">
              <w:rPr>
                <w:rFonts w:asciiTheme="majorHAnsi" w:eastAsia="Cambria" w:hAnsiTheme="majorHAnsi" w:cs="Times New Roman"/>
                <w:lang w:val="lv-LV"/>
              </w:rPr>
              <w:t>57</w:t>
            </w:r>
          </w:p>
        </w:tc>
        <w:tc>
          <w:tcPr>
            <w:tcW w:w="563" w:type="pct"/>
            <w:vAlign w:val="center"/>
          </w:tcPr>
          <w:p w:rsidR="00C21790" w:rsidRPr="0019406C" w:rsidRDefault="00C21790" w:rsidP="008D1E3B">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56</w:t>
            </w:r>
          </w:p>
        </w:tc>
        <w:tc>
          <w:tcPr>
            <w:cnfStyle w:val="000010000000" w:firstRow="0" w:lastRow="0" w:firstColumn="0" w:lastColumn="0" w:oddVBand="1" w:evenVBand="0" w:oddHBand="0" w:evenHBand="0" w:firstRowFirstColumn="0" w:firstRowLastColumn="0" w:lastRowFirstColumn="0" w:lastRowLastColumn="0"/>
            <w:tcW w:w="577" w:type="pct"/>
            <w:vAlign w:val="center"/>
          </w:tcPr>
          <w:p w:rsidR="00C21790" w:rsidRPr="0019406C" w:rsidRDefault="00C21790" w:rsidP="008D1E3B">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w:t>
            </w:r>
          </w:p>
        </w:tc>
        <w:tc>
          <w:tcPr>
            <w:tcW w:w="2682" w:type="pct"/>
          </w:tcPr>
          <w:p w:rsidR="00C21790" w:rsidRPr="0019406C" w:rsidRDefault="00C21790" w:rsidP="008D1E3B">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C21790" w:rsidRPr="00BB0049" w:rsidTr="008D1E3B">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49" w:type="pct"/>
            <w:vAlign w:val="center"/>
          </w:tcPr>
          <w:p w:rsidR="00C21790" w:rsidRPr="0019406C" w:rsidRDefault="00C21790" w:rsidP="008D1E3B">
            <w:pPr>
              <w:rPr>
                <w:rFonts w:asciiTheme="majorHAnsi" w:hAnsiTheme="majorHAnsi"/>
                <w:b w:val="0"/>
                <w:lang w:val="lv-LV"/>
              </w:rPr>
            </w:pPr>
            <w:r w:rsidRPr="0019406C">
              <w:rPr>
                <w:rFonts w:asciiTheme="majorHAnsi" w:hAnsiTheme="majorHAnsi"/>
                <w:b w:val="0"/>
                <w:lang w:val="lv-LV"/>
              </w:rPr>
              <w:t>Čehija</w:t>
            </w:r>
          </w:p>
        </w:tc>
        <w:tc>
          <w:tcPr>
            <w:cnfStyle w:val="000010000000" w:firstRow="0" w:lastRow="0" w:firstColumn="0" w:lastColumn="0" w:oddVBand="1" w:evenVBand="0" w:oddHBand="0" w:evenHBand="0" w:firstRowFirstColumn="0" w:firstRowLastColumn="0" w:lastRowFirstColumn="0" w:lastRowLastColumn="0"/>
            <w:tcW w:w="530" w:type="pct"/>
            <w:vAlign w:val="center"/>
          </w:tcPr>
          <w:p w:rsidR="00C21790" w:rsidRPr="0019406C" w:rsidRDefault="00C21790" w:rsidP="008D1E3B">
            <w:pPr>
              <w:jc w:val="center"/>
              <w:rPr>
                <w:rFonts w:asciiTheme="majorHAnsi" w:eastAsia="Cambria" w:hAnsiTheme="majorHAnsi" w:cs="Times New Roman"/>
                <w:lang w:val="lv-LV"/>
              </w:rPr>
            </w:pPr>
            <w:r w:rsidRPr="0019406C">
              <w:rPr>
                <w:rFonts w:asciiTheme="majorHAnsi" w:eastAsia="Cambria" w:hAnsiTheme="majorHAnsi" w:cs="Times New Roman"/>
                <w:lang w:val="lv-LV"/>
              </w:rPr>
              <w:t>75</w:t>
            </w:r>
          </w:p>
        </w:tc>
        <w:tc>
          <w:tcPr>
            <w:tcW w:w="563" w:type="pct"/>
            <w:vAlign w:val="center"/>
          </w:tcPr>
          <w:p w:rsidR="00C21790" w:rsidRPr="0019406C" w:rsidRDefault="00C21790" w:rsidP="008D1E3B">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75</w:t>
            </w:r>
          </w:p>
        </w:tc>
        <w:tc>
          <w:tcPr>
            <w:cnfStyle w:val="000010000000" w:firstRow="0" w:lastRow="0" w:firstColumn="0" w:lastColumn="0" w:oddVBand="1" w:evenVBand="0" w:oddHBand="0" w:evenHBand="0" w:firstRowFirstColumn="0" w:firstRowLastColumn="0" w:lastRowFirstColumn="0" w:lastRowLastColumn="0"/>
            <w:tcW w:w="577" w:type="pct"/>
            <w:vAlign w:val="center"/>
          </w:tcPr>
          <w:p w:rsidR="00C21790" w:rsidRPr="0019406C" w:rsidRDefault="00C21790" w:rsidP="008D1E3B">
            <w:pPr>
              <w:jc w:val="center"/>
              <w:rPr>
                <w:rFonts w:asciiTheme="majorHAnsi" w:eastAsia="Cambria" w:hAnsiTheme="majorHAnsi" w:cs="Times New Roman"/>
                <w:b/>
                <w:lang w:val="lv-LV"/>
              </w:rPr>
            </w:pPr>
            <w:r w:rsidRPr="0019406C">
              <w:rPr>
                <w:rFonts w:asciiTheme="majorHAnsi" w:eastAsia="Cambria" w:hAnsiTheme="majorHAnsi" w:cs="Times New Roman"/>
                <w:b/>
                <w:lang w:val="lv-LV"/>
              </w:rPr>
              <w:t>-</w:t>
            </w:r>
          </w:p>
        </w:tc>
        <w:tc>
          <w:tcPr>
            <w:tcW w:w="2682" w:type="pct"/>
          </w:tcPr>
          <w:p w:rsidR="00C21790" w:rsidRPr="0019406C" w:rsidRDefault="00C21790" w:rsidP="008D1E3B">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Vienkāršoja un paātrināja tiesvedību attiecībā uz spriedumu izpildi</w:t>
            </w:r>
          </w:p>
        </w:tc>
      </w:tr>
    </w:tbl>
    <w:p w:rsidR="00C21790" w:rsidRPr="0019406C" w:rsidRDefault="00C21790" w:rsidP="00C21790">
      <w:pPr>
        <w:pStyle w:val="BodyText"/>
        <w:rPr>
          <w:rFonts w:asciiTheme="majorHAnsi" w:hAnsiTheme="majorHAnsi"/>
          <w:lang w:val="lv-LV"/>
        </w:rPr>
      </w:pPr>
    </w:p>
    <w:p w:rsidR="00811CA0" w:rsidRPr="0019406C" w:rsidRDefault="00C21790" w:rsidP="006B022F">
      <w:pPr>
        <w:pStyle w:val="BodyText"/>
        <w:spacing w:line="276" w:lineRule="auto"/>
        <w:jc w:val="both"/>
        <w:rPr>
          <w:rFonts w:asciiTheme="majorHAnsi" w:hAnsiTheme="majorHAnsi"/>
          <w:lang w:val="lv-LV"/>
        </w:rPr>
      </w:pPr>
      <w:r w:rsidRPr="0019406C">
        <w:rPr>
          <w:rFonts w:asciiTheme="majorHAnsi" w:hAnsiTheme="majorHAnsi"/>
          <w:lang w:val="lv-LV"/>
        </w:rPr>
        <w:t>Latvijas pozīcija saistībā ar līgumu izpildi tiek vērtēta kā nemainīga kopš 2013.</w:t>
      </w:r>
      <w:r w:rsidR="00251DFD" w:rsidRPr="0019406C">
        <w:rPr>
          <w:rFonts w:asciiTheme="majorHAnsi" w:hAnsiTheme="majorHAnsi"/>
          <w:lang w:val="lv-LV"/>
        </w:rPr>
        <w:t xml:space="preserve"> </w:t>
      </w:r>
      <w:r w:rsidRPr="0019406C">
        <w:rPr>
          <w:rFonts w:asciiTheme="majorHAnsi" w:hAnsiTheme="majorHAnsi"/>
          <w:lang w:val="lv-LV"/>
        </w:rPr>
        <w:t>gada. Turklāt, salīdzinot ar OECD rezultātiem, Latvijas rezultāti ir virs vidējā. Piemēram, kopējo nepieciešamo procedūru skaits Latvijā ir 27, bet OECD vidēji līgumu izpildei vajadzīga 31 procedūra. Tas prasa arī mazāk laika: Latvijā ap 469 dienām, bet OECD tās ir 529 dienas.</w:t>
      </w:r>
    </w:p>
    <w:p w:rsidR="00C21790" w:rsidRPr="0019406C" w:rsidRDefault="00C21790" w:rsidP="00C21790">
      <w:pPr>
        <w:pStyle w:val="Caption"/>
        <w:keepNext/>
        <w:rPr>
          <w:rFonts w:asciiTheme="majorHAnsi" w:hAnsiTheme="majorHAnsi"/>
          <w:sz w:val="16"/>
          <w:lang w:val="lv-LV"/>
        </w:rPr>
      </w:pPr>
      <w:bookmarkStart w:id="109" w:name="_Toc381343985"/>
      <w:bookmarkStart w:id="110" w:name="_Toc381717294"/>
      <w:bookmarkStart w:id="111" w:name="_Toc389225095"/>
      <w:r w:rsidRPr="0019406C">
        <w:rPr>
          <w:rFonts w:asciiTheme="majorHAnsi" w:hAnsiTheme="majorHAnsi"/>
          <w:sz w:val="16"/>
          <w:lang w:val="lv-LV"/>
        </w:rPr>
        <w:t xml:space="preserve">Tabula </w:t>
      </w:r>
      <w:r w:rsidRPr="0019406C">
        <w:rPr>
          <w:rFonts w:asciiTheme="majorHAnsi" w:hAnsiTheme="majorHAnsi"/>
          <w:sz w:val="16"/>
          <w:lang w:val="lv-LV"/>
        </w:rPr>
        <w:fldChar w:fldCharType="begin"/>
      </w:r>
      <w:r w:rsidRPr="0019406C">
        <w:rPr>
          <w:rFonts w:asciiTheme="majorHAnsi" w:hAnsiTheme="majorHAnsi"/>
          <w:sz w:val="16"/>
          <w:lang w:val="lv-LV"/>
        </w:rPr>
        <w:instrText xml:space="preserve"> SEQ Tabula \* ARABIC </w:instrText>
      </w:r>
      <w:r w:rsidRPr="0019406C">
        <w:rPr>
          <w:rFonts w:asciiTheme="majorHAnsi" w:hAnsiTheme="majorHAnsi"/>
          <w:sz w:val="16"/>
          <w:lang w:val="lv-LV"/>
        </w:rPr>
        <w:fldChar w:fldCharType="separate"/>
      </w:r>
      <w:r w:rsidR="00410806" w:rsidRPr="0019406C">
        <w:rPr>
          <w:rFonts w:asciiTheme="majorHAnsi" w:hAnsiTheme="majorHAnsi"/>
          <w:noProof/>
          <w:sz w:val="16"/>
          <w:lang w:val="lv-LV"/>
        </w:rPr>
        <w:t>21</w:t>
      </w:r>
      <w:r w:rsidRPr="0019406C">
        <w:rPr>
          <w:rFonts w:asciiTheme="majorHAnsi" w:hAnsiTheme="majorHAnsi"/>
          <w:sz w:val="16"/>
          <w:lang w:val="lv-LV"/>
        </w:rPr>
        <w:fldChar w:fldCharType="end"/>
      </w:r>
      <w:r w:rsidRPr="0019406C">
        <w:rPr>
          <w:rFonts w:asciiTheme="majorHAnsi" w:hAnsiTheme="majorHAnsi"/>
          <w:sz w:val="16"/>
          <w:lang w:val="lv-LV"/>
        </w:rPr>
        <w:t xml:space="preserve"> Līgumu izpildes ilguma salīdzinājums</w:t>
      </w:r>
      <w:bookmarkEnd w:id="109"/>
      <w:bookmarkEnd w:id="110"/>
      <w:bookmarkEnd w:id="111"/>
    </w:p>
    <w:tbl>
      <w:tblPr>
        <w:tblStyle w:val="LightList-Accent11"/>
        <w:tblW w:w="5000" w:type="pct"/>
        <w:tblBorders>
          <w:insideH w:val="single" w:sz="8" w:space="0" w:color="DC6900" w:themeColor="accent1"/>
          <w:insideV w:val="single" w:sz="8" w:space="0" w:color="DC6900" w:themeColor="accent1"/>
        </w:tblBorders>
        <w:tblLook w:val="04A0" w:firstRow="1" w:lastRow="0" w:firstColumn="1" w:lastColumn="0" w:noHBand="0" w:noVBand="1"/>
      </w:tblPr>
      <w:tblGrid>
        <w:gridCol w:w="2617"/>
        <w:gridCol w:w="1129"/>
        <w:gridCol w:w="1131"/>
        <w:gridCol w:w="990"/>
        <w:gridCol w:w="1181"/>
        <w:gridCol w:w="1030"/>
        <w:gridCol w:w="1085"/>
        <w:gridCol w:w="917"/>
      </w:tblGrid>
      <w:tr w:rsidR="008D1E3B" w:rsidRPr="0019406C" w:rsidTr="007654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8" w:type="pct"/>
            <w:vAlign w:val="center"/>
          </w:tcPr>
          <w:p w:rsidR="008D1E3B" w:rsidRPr="0019406C" w:rsidRDefault="008D1E3B" w:rsidP="00742A74">
            <w:pPr>
              <w:pStyle w:val="BodyText"/>
              <w:rPr>
                <w:rFonts w:asciiTheme="majorHAnsi" w:hAnsiTheme="majorHAnsi"/>
                <w:lang w:val="lv-LV"/>
              </w:rPr>
            </w:pPr>
            <w:r w:rsidRPr="0019406C">
              <w:rPr>
                <w:rFonts w:asciiTheme="majorHAnsi" w:hAnsiTheme="majorHAnsi"/>
                <w:lang w:val="lv-LV"/>
              </w:rPr>
              <w:t>Rādītājs</w:t>
            </w:r>
          </w:p>
        </w:tc>
        <w:tc>
          <w:tcPr>
            <w:tcW w:w="560" w:type="pct"/>
            <w:vAlign w:val="center"/>
          </w:tcPr>
          <w:p w:rsidR="008D1E3B" w:rsidRPr="0019406C" w:rsidRDefault="00742A74" w:rsidP="00742A74">
            <w:pPr>
              <w:pStyle w:val="BodyText"/>
              <w:cnfStyle w:val="100000000000" w:firstRow="1"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 xml:space="preserve">Latvijā </w:t>
            </w:r>
            <w:r w:rsidR="008D1E3B" w:rsidRPr="0019406C">
              <w:rPr>
                <w:rFonts w:asciiTheme="majorHAnsi" w:hAnsiTheme="majorHAnsi"/>
                <w:lang w:val="lv-LV"/>
              </w:rPr>
              <w:t>DB2013</w:t>
            </w:r>
          </w:p>
        </w:tc>
        <w:tc>
          <w:tcPr>
            <w:tcW w:w="561" w:type="pct"/>
            <w:vAlign w:val="center"/>
          </w:tcPr>
          <w:p w:rsidR="008D1E3B" w:rsidRPr="0019406C" w:rsidRDefault="00742A74" w:rsidP="00742A74">
            <w:pPr>
              <w:pStyle w:val="BodyText"/>
              <w:cnfStyle w:val="100000000000" w:firstRow="1"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 xml:space="preserve">Latvijā </w:t>
            </w:r>
            <w:r w:rsidR="008D1E3B" w:rsidRPr="0019406C">
              <w:rPr>
                <w:rFonts w:asciiTheme="majorHAnsi" w:hAnsiTheme="majorHAnsi"/>
                <w:lang w:val="lv-LV"/>
              </w:rPr>
              <w:t>DB2014</w:t>
            </w:r>
          </w:p>
        </w:tc>
        <w:tc>
          <w:tcPr>
            <w:tcW w:w="491" w:type="pct"/>
            <w:vAlign w:val="center"/>
          </w:tcPr>
          <w:p w:rsidR="008D1E3B" w:rsidRPr="0019406C" w:rsidRDefault="008D1E3B" w:rsidP="00742A74">
            <w:pP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Dānija</w:t>
            </w:r>
          </w:p>
        </w:tc>
        <w:tc>
          <w:tcPr>
            <w:tcW w:w="586" w:type="pct"/>
            <w:vAlign w:val="center"/>
          </w:tcPr>
          <w:p w:rsidR="008D1E3B" w:rsidRPr="0019406C" w:rsidRDefault="008D1E3B" w:rsidP="00742A74">
            <w:pP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Igaunija</w:t>
            </w:r>
          </w:p>
        </w:tc>
        <w:tc>
          <w:tcPr>
            <w:tcW w:w="511" w:type="pct"/>
            <w:vAlign w:val="center"/>
          </w:tcPr>
          <w:p w:rsidR="008D1E3B" w:rsidRPr="0019406C" w:rsidRDefault="008D1E3B" w:rsidP="00742A74">
            <w:pP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Somija</w:t>
            </w:r>
          </w:p>
        </w:tc>
        <w:tc>
          <w:tcPr>
            <w:tcW w:w="538" w:type="pct"/>
            <w:vAlign w:val="center"/>
          </w:tcPr>
          <w:p w:rsidR="008D1E3B" w:rsidRPr="0019406C" w:rsidRDefault="008D1E3B" w:rsidP="00742A74">
            <w:pP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Lietuva</w:t>
            </w:r>
          </w:p>
        </w:tc>
        <w:tc>
          <w:tcPr>
            <w:tcW w:w="456" w:type="pct"/>
            <w:vAlign w:val="center"/>
          </w:tcPr>
          <w:p w:rsidR="008D1E3B" w:rsidRPr="0019406C" w:rsidRDefault="008D1E3B" w:rsidP="00742A74">
            <w:pPr>
              <w:pStyle w:val="BodyText"/>
              <w:cnfStyle w:val="100000000000" w:firstRow="1"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OECD</w:t>
            </w:r>
          </w:p>
        </w:tc>
      </w:tr>
      <w:tr w:rsidR="008D1E3B" w:rsidRPr="0019406C" w:rsidTr="007654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8" w:type="pct"/>
          </w:tcPr>
          <w:p w:rsidR="008D1E3B" w:rsidRPr="0019406C" w:rsidRDefault="008D1E3B" w:rsidP="008D1E3B">
            <w:pPr>
              <w:pStyle w:val="BodyText"/>
              <w:rPr>
                <w:rFonts w:asciiTheme="majorHAnsi" w:hAnsiTheme="majorHAnsi"/>
                <w:b w:val="0"/>
                <w:lang w:val="lv-LV"/>
              </w:rPr>
            </w:pPr>
            <w:r w:rsidRPr="0019406C">
              <w:rPr>
                <w:rFonts w:asciiTheme="majorHAnsi" w:hAnsiTheme="majorHAnsi"/>
                <w:b w:val="0"/>
                <w:lang w:val="lv-LV"/>
              </w:rPr>
              <w:t>Laiks, dienas</w:t>
            </w:r>
          </w:p>
        </w:tc>
        <w:tc>
          <w:tcPr>
            <w:tcW w:w="560" w:type="pct"/>
            <w:vAlign w:val="center"/>
          </w:tcPr>
          <w:p w:rsidR="008D1E3B" w:rsidRPr="0019406C" w:rsidRDefault="008D1E3B" w:rsidP="008D1E3B">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469</w:t>
            </w:r>
          </w:p>
        </w:tc>
        <w:tc>
          <w:tcPr>
            <w:tcW w:w="561" w:type="pct"/>
            <w:vAlign w:val="center"/>
          </w:tcPr>
          <w:p w:rsidR="008D1E3B" w:rsidRPr="0019406C" w:rsidRDefault="008D1E3B" w:rsidP="008D1E3B">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469</w:t>
            </w:r>
          </w:p>
        </w:tc>
        <w:tc>
          <w:tcPr>
            <w:tcW w:w="491" w:type="pct"/>
            <w:vAlign w:val="center"/>
          </w:tcPr>
          <w:p w:rsidR="008D1E3B" w:rsidRPr="0019406C" w:rsidRDefault="008D1E3B" w:rsidP="008D1E3B">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410</w:t>
            </w:r>
          </w:p>
        </w:tc>
        <w:tc>
          <w:tcPr>
            <w:tcW w:w="586" w:type="pct"/>
            <w:vAlign w:val="center"/>
          </w:tcPr>
          <w:p w:rsidR="008D1E3B" w:rsidRPr="0019406C" w:rsidRDefault="008D1E3B" w:rsidP="008D1E3B">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425</w:t>
            </w:r>
          </w:p>
        </w:tc>
        <w:tc>
          <w:tcPr>
            <w:tcW w:w="511" w:type="pct"/>
            <w:vAlign w:val="center"/>
          </w:tcPr>
          <w:p w:rsidR="008D1E3B" w:rsidRPr="0019406C" w:rsidRDefault="008D1E3B" w:rsidP="008D1E3B">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375</w:t>
            </w:r>
          </w:p>
        </w:tc>
        <w:tc>
          <w:tcPr>
            <w:tcW w:w="538" w:type="pct"/>
            <w:vAlign w:val="center"/>
          </w:tcPr>
          <w:p w:rsidR="008D1E3B" w:rsidRPr="0019406C" w:rsidRDefault="008D1E3B" w:rsidP="008D1E3B">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300</w:t>
            </w:r>
          </w:p>
        </w:tc>
        <w:tc>
          <w:tcPr>
            <w:tcW w:w="456" w:type="pct"/>
            <w:vAlign w:val="center"/>
          </w:tcPr>
          <w:p w:rsidR="008D1E3B" w:rsidRPr="0019406C" w:rsidRDefault="008D1E3B" w:rsidP="008D1E3B">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529</w:t>
            </w:r>
          </w:p>
        </w:tc>
      </w:tr>
    </w:tbl>
    <w:p w:rsidR="00C21790" w:rsidRPr="0019406C" w:rsidRDefault="00C21790" w:rsidP="00C21790">
      <w:pPr>
        <w:pStyle w:val="BodyText"/>
        <w:rPr>
          <w:rFonts w:asciiTheme="majorHAnsi" w:hAnsiTheme="majorHAnsi"/>
          <w:lang w:val="lv-LV"/>
        </w:rPr>
      </w:pPr>
    </w:p>
    <w:p w:rsidR="00C21790" w:rsidRPr="0019406C" w:rsidRDefault="00C21790" w:rsidP="00C21790">
      <w:pPr>
        <w:pStyle w:val="BodyText"/>
        <w:rPr>
          <w:rFonts w:asciiTheme="majorHAnsi" w:hAnsiTheme="majorHAnsi"/>
          <w:b/>
          <w:sz w:val="22"/>
          <w:lang w:val="lv-LV"/>
        </w:rPr>
      </w:pPr>
      <w:r w:rsidRPr="0019406C">
        <w:rPr>
          <w:rFonts w:asciiTheme="majorHAnsi" w:hAnsiTheme="majorHAnsi"/>
          <w:b/>
          <w:sz w:val="22"/>
          <w:lang w:val="lv-LV"/>
        </w:rPr>
        <w:lastRenderedPageBreak/>
        <w:t>Globālās konkurētspējas indekss</w:t>
      </w:r>
    </w:p>
    <w:p w:rsidR="00C21790" w:rsidRPr="0019406C" w:rsidRDefault="00C21790" w:rsidP="006B022F">
      <w:pPr>
        <w:pStyle w:val="BodyText"/>
        <w:spacing w:line="276" w:lineRule="auto"/>
        <w:jc w:val="both"/>
        <w:rPr>
          <w:rFonts w:asciiTheme="majorHAnsi" w:hAnsiTheme="majorHAnsi"/>
          <w:lang w:val="lv-LV"/>
        </w:rPr>
      </w:pPr>
      <w:r w:rsidRPr="0019406C">
        <w:rPr>
          <w:rFonts w:asciiTheme="majorHAnsi" w:hAnsiTheme="majorHAnsi"/>
          <w:lang w:val="lv-LV"/>
        </w:rPr>
        <w:t>Saistībā ar tiesu sistēmas konkurētspēju, GKI apskata sekojošus rādītājus:</w:t>
      </w:r>
    </w:p>
    <w:p w:rsidR="00C21790" w:rsidRPr="0019406C" w:rsidRDefault="00C21790" w:rsidP="00E413D4">
      <w:pPr>
        <w:pStyle w:val="BodyText"/>
        <w:numPr>
          <w:ilvl w:val="0"/>
          <w:numId w:val="12"/>
        </w:numPr>
        <w:spacing w:after="120" w:line="276" w:lineRule="auto"/>
        <w:ind w:left="425" w:hanging="357"/>
        <w:jc w:val="both"/>
        <w:rPr>
          <w:rFonts w:asciiTheme="majorHAnsi" w:hAnsiTheme="majorHAnsi"/>
          <w:lang w:val="lv-LV"/>
        </w:rPr>
      </w:pPr>
      <w:r w:rsidRPr="0019406C">
        <w:rPr>
          <w:rFonts w:asciiTheme="majorHAnsi" w:hAnsiTheme="majorHAnsi"/>
          <w:u w:val="single"/>
          <w:lang w:val="lv-LV"/>
        </w:rPr>
        <w:t>Tiesu sistēmas efektivitāte.</w:t>
      </w:r>
      <w:r w:rsidRPr="0019406C">
        <w:rPr>
          <w:rFonts w:asciiTheme="majorHAnsi" w:hAnsiTheme="majorHAnsi"/>
          <w:lang w:val="lv-LV"/>
        </w:rPr>
        <w:t xml:space="preserve"> Rādītājs mēra</w:t>
      </w:r>
      <w:r w:rsidR="00E413D4" w:rsidRPr="0019406C">
        <w:rPr>
          <w:rFonts w:asciiTheme="majorHAnsi" w:hAnsiTheme="majorHAnsi"/>
          <w:lang w:val="lv-LV"/>
        </w:rPr>
        <w:t>,</w:t>
      </w:r>
      <w:r w:rsidRPr="0019406C">
        <w:rPr>
          <w:rFonts w:asciiTheme="majorHAnsi" w:hAnsiTheme="majorHAnsi"/>
          <w:lang w:val="lv-LV"/>
        </w:rPr>
        <w:t xml:space="preserve"> cik efektīvs ir normatīvo aktu regulējums privātu uzņēmumu strīdu risināšanai. Latvija šajā rādītājā tiek novērtēta zemu, ieņemot 117. vietu starp 148 val</w:t>
      </w:r>
      <w:r w:rsidR="00E413D4" w:rsidRPr="0019406C">
        <w:rPr>
          <w:rFonts w:asciiTheme="majorHAnsi" w:hAnsiTheme="majorHAnsi"/>
          <w:lang w:val="lv-LV"/>
        </w:rPr>
        <w:t>stīm, ievērojami atpaliekot no Igaunijas</w:t>
      </w:r>
      <w:r w:rsidRPr="0019406C">
        <w:rPr>
          <w:rFonts w:asciiTheme="majorHAnsi" w:hAnsiTheme="majorHAnsi"/>
          <w:lang w:val="lv-LV"/>
        </w:rPr>
        <w:t xml:space="preserve"> (39. vieta) un nedau</w:t>
      </w:r>
      <w:r w:rsidR="00E413D4" w:rsidRPr="0019406C">
        <w:rPr>
          <w:rFonts w:asciiTheme="majorHAnsi" w:hAnsiTheme="majorHAnsi"/>
          <w:lang w:val="lv-LV"/>
        </w:rPr>
        <w:t>dz no Lietuvas (96. vieta);</w:t>
      </w:r>
    </w:p>
    <w:p w:rsidR="00C21790" w:rsidRPr="0019406C" w:rsidRDefault="00C21790" w:rsidP="00E413D4">
      <w:pPr>
        <w:pStyle w:val="BodyText"/>
        <w:numPr>
          <w:ilvl w:val="0"/>
          <w:numId w:val="12"/>
        </w:numPr>
        <w:spacing w:after="120" w:line="276" w:lineRule="auto"/>
        <w:ind w:left="425" w:hanging="357"/>
        <w:jc w:val="both"/>
        <w:rPr>
          <w:rFonts w:asciiTheme="majorHAnsi" w:hAnsiTheme="majorHAnsi"/>
          <w:u w:val="single"/>
          <w:lang w:val="lv-LV"/>
        </w:rPr>
      </w:pPr>
      <w:r w:rsidRPr="0019406C">
        <w:rPr>
          <w:rFonts w:asciiTheme="majorHAnsi" w:hAnsiTheme="majorHAnsi"/>
          <w:u w:val="single"/>
          <w:lang w:val="lv-LV"/>
        </w:rPr>
        <w:t>Normatīvo aktu regulējuma efektivitāte attiecībā pret izmaiņām likumos.</w:t>
      </w:r>
      <w:r w:rsidRPr="0019406C">
        <w:rPr>
          <w:rFonts w:asciiTheme="majorHAnsi" w:hAnsiTheme="majorHAnsi"/>
          <w:lang w:val="lv-LV"/>
        </w:rPr>
        <w:t xml:space="preserve"> Rādītājs mēra, cik viegli ir privātajiem uzņēmumiem apstrīdēt valdības darbības un/vai izdotos noteikumus, izmantojot tiesību sistēmu. Latvija šajā rādītājā tiek novērtēta zemi, ieņemot 97. vietu starp 148 valstīm, ievērojami atpaliekot no</w:t>
      </w:r>
      <w:r w:rsidR="00E413D4" w:rsidRPr="0019406C">
        <w:rPr>
          <w:rFonts w:asciiTheme="majorHAnsi" w:hAnsiTheme="majorHAnsi"/>
          <w:lang w:val="lv-LV"/>
        </w:rPr>
        <w:t xml:space="preserve"> Igaunijas</w:t>
      </w:r>
      <w:r w:rsidRPr="0019406C">
        <w:rPr>
          <w:rFonts w:asciiTheme="majorHAnsi" w:hAnsiTheme="majorHAnsi"/>
          <w:lang w:val="lv-LV"/>
        </w:rPr>
        <w:t xml:space="preserve"> (33. vieta) un neda</w:t>
      </w:r>
      <w:r w:rsidR="00E413D4" w:rsidRPr="0019406C">
        <w:rPr>
          <w:rFonts w:asciiTheme="majorHAnsi" w:hAnsiTheme="majorHAnsi"/>
          <w:lang w:val="lv-LV"/>
        </w:rPr>
        <w:t>udz no Lietuvas (90. vieta);</w:t>
      </w:r>
    </w:p>
    <w:p w:rsidR="00C21790" w:rsidRPr="0019406C" w:rsidRDefault="00C21790" w:rsidP="006B022F">
      <w:pPr>
        <w:pStyle w:val="BodyText"/>
        <w:numPr>
          <w:ilvl w:val="0"/>
          <w:numId w:val="12"/>
        </w:numPr>
        <w:spacing w:after="120" w:line="276" w:lineRule="auto"/>
        <w:ind w:left="425" w:hanging="357"/>
        <w:jc w:val="both"/>
        <w:rPr>
          <w:rFonts w:asciiTheme="majorHAnsi" w:hAnsiTheme="majorHAnsi"/>
          <w:lang w:val="lv-LV"/>
        </w:rPr>
      </w:pPr>
      <w:r w:rsidRPr="0019406C">
        <w:rPr>
          <w:rFonts w:asciiTheme="majorHAnsi" w:hAnsiTheme="majorHAnsi"/>
          <w:u w:val="single"/>
          <w:lang w:val="lv-LV"/>
        </w:rPr>
        <w:t>Tiesu varas neatkarība.</w:t>
      </w:r>
      <w:r w:rsidRPr="0019406C">
        <w:rPr>
          <w:rFonts w:asciiTheme="majorHAnsi" w:hAnsiTheme="majorHAnsi"/>
          <w:lang w:val="lv-LV"/>
        </w:rPr>
        <w:t xml:space="preserve"> Rādītājs mēra</w:t>
      </w:r>
      <w:r w:rsidR="00E413D4" w:rsidRPr="0019406C">
        <w:rPr>
          <w:rFonts w:asciiTheme="majorHAnsi" w:hAnsiTheme="majorHAnsi"/>
          <w:lang w:val="lv-LV"/>
        </w:rPr>
        <w:t>,</w:t>
      </w:r>
      <w:r w:rsidRPr="0019406C">
        <w:rPr>
          <w:rFonts w:asciiTheme="majorHAnsi" w:hAnsiTheme="majorHAnsi"/>
          <w:lang w:val="lv-LV"/>
        </w:rPr>
        <w:t xml:space="preserve"> cik lielā mērā tiesu vara ir neatkarīga no valdības locekļu, pilsoņu vai uzņ</w:t>
      </w:r>
      <w:r w:rsidR="00E413D4" w:rsidRPr="0019406C">
        <w:rPr>
          <w:rFonts w:asciiTheme="majorHAnsi" w:hAnsiTheme="majorHAnsi"/>
          <w:lang w:val="lv-LV"/>
        </w:rPr>
        <w:t xml:space="preserve">ēmumu ietekmes. Tiesu varas neatkarība </w:t>
      </w:r>
      <w:r w:rsidRPr="0019406C">
        <w:rPr>
          <w:rFonts w:asciiTheme="majorHAnsi" w:hAnsiTheme="majorHAnsi"/>
          <w:lang w:val="lv-LV"/>
        </w:rPr>
        <w:t>salīdzinājumā ar citām valstīm, ir ierindojama 63. vietā.</w:t>
      </w:r>
    </w:p>
    <w:p w:rsidR="00534CB9" w:rsidRPr="0019406C" w:rsidRDefault="00534CB9" w:rsidP="006B022F">
      <w:pPr>
        <w:pStyle w:val="BodyText"/>
        <w:spacing w:line="276" w:lineRule="auto"/>
        <w:jc w:val="both"/>
        <w:rPr>
          <w:rFonts w:asciiTheme="majorHAnsi" w:hAnsiTheme="majorHAnsi"/>
          <w:b/>
          <w:sz w:val="22"/>
          <w:lang w:val="lv-LV"/>
        </w:rPr>
      </w:pPr>
      <w:r w:rsidRPr="0019406C">
        <w:rPr>
          <w:rFonts w:asciiTheme="majorHAnsi" w:hAnsiTheme="majorHAnsi"/>
          <w:b/>
          <w:sz w:val="22"/>
          <w:lang w:val="lv-LV"/>
        </w:rPr>
        <w:t>Secinājumi un priekšlikumi</w:t>
      </w:r>
    </w:p>
    <w:p w:rsidR="00C21790" w:rsidRPr="0019406C" w:rsidRDefault="00C21790" w:rsidP="006B022F">
      <w:pPr>
        <w:pStyle w:val="BodyText"/>
        <w:spacing w:line="276" w:lineRule="auto"/>
        <w:jc w:val="both"/>
        <w:rPr>
          <w:lang w:val="lv-LV"/>
        </w:rPr>
      </w:pPr>
      <w:r w:rsidRPr="0019406C">
        <w:rPr>
          <w:rFonts w:asciiTheme="majorHAnsi" w:hAnsiTheme="majorHAnsi"/>
          <w:lang w:val="lv-LV"/>
        </w:rPr>
        <w:t xml:space="preserve">Pati tiesu sistēma </w:t>
      </w:r>
      <w:r w:rsidR="008D1E3B" w:rsidRPr="0019406C">
        <w:rPr>
          <w:rFonts w:asciiTheme="majorHAnsi" w:hAnsiTheme="majorHAnsi"/>
          <w:lang w:val="lv-LV"/>
        </w:rPr>
        <w:t xml:space="preserve">līgumu izpildei </w:t>
      </w:r>
      <w:r w:rsidRPr="0019406C">
        <w:rPr>
          <w:rFonts w:asciiTheme="majorHAnsi" w:hAnsiTheme="majorHAnsi"/>
          <w:lang w:val="lv-LV"/>
        </w:rPr>
        <w:t xml:space="preserve">tiek vērtēta kā pietiekami efektīva, tomēr normatīvo aktu regulējums attiecībā uz sistēmas efektivitāti tiek vērtēts kā zems. </w:t>
      </w:r>
      <w:r w:rsidRPr="0019406C">
        <w:rPr>
          <w:lang w:val="lv-LV"/>
        </w:rPr>
        <w:t xml:space="preserve">Tiesu sistēma </w:t>
      </w:r>
      <w:r w:rsidR="008D1E3B" w:rsidRPr="0019406C">
        <w:rPr>
          <w:lang w:val="lv-LV"/>
        </w:rPr>
        <w:t xml:space="preserve">(līgumu izpilde) </w:t>
      </w:r>
      <w:r w:rsidRPr="0019406C">
        <w:rPr>
          <w:lang w:val="lv-LV"/>
        </w:rPr>
        <w:t xml:space="preserve">pēc DB2014 novērtējuma  novērtēta kā pietiekami efektīva, ieņemot 21.vietu starp 189 valstīm, un Latvijas uzņēmēji to novērtē kā labu. Tomēr GKI indeksā vairākas tiesu sistēmu raksturojošas jomas novērtētas ar zemu vērtējumu, </w:t>
      </w:r>
      <w:proofErr w:type="spellStart"/>
      <w:r w:rsidRPr="0019406C">
        <w:rPr>
          <w:lang w:val="lv-LV"/>
        </w:rPr>
        <w:t>t.i</w:t>
      </w:r>
      <w:proofErr w:type="spellEnd"/>
      <w:r w:rsidRPr="0019406C">
        <w:rPr>
          <w:lang w:val="lv-LV"/>
        </w:rPr>
        <w:t xml:space="preserve">. kā neefektīvs novērtēts gan normatīvo aktu regulējums strīdu risināšanai, gan arī normatīvo aktu regulējuma efektivitāte valdības darbību un normatīvā regulējuma apstrīdēšanai. </w:t>
      </w:r>
    </w:p>
    <w:p w:rsidR="00C21790" w:rsidRPr="0019406C" w:rsidRDefault="00C21790" w:rsidP="006B022F">
      <w:pPr>
        <w:spacing w:line="276" w:lineRule="auto"/>
        <w:jc w:val="both"/>
        <w:rPr>
          <w:lang w:val="lv-LV"/>
        </w:rPr>
      </w:pPr>
      <w:r w:rsidRPr="0019406C">
        <w:rPr>
          <w:rFonts w:asciiTheme="majorHAnsi" w:hAnsiTheme="majorHAnsi"/>
          <w:lang w:val="lv-LV"/>
        </w:rPr>
        <w:t xml:space="preserve">Ņemot vērā, ka tiesu sistēmas kvalitātes uzlabošanai tiek realizētas vairākas iniciatīvas, tad ieteicams nodrošināt šo iniciatīvu ilgtspēju un attīstību. Pēdējo gadu laikā veikti vairāki uzlabojumi tiesu </w:t>
      </w:r>
      <w:r w:rsidRPr="0019406C">
        <w:rPr>
          <w:lang w:val="lv-LV"/>
        </w:rPr>
        <w:t>sistēmas kvalitātes, efektivitātes un pakalpojumu pieejamības uzlabošanai. No 2009. līdz 2013.</w:t>
      </w:r>
      <w:r w:rsidR="00EC0A62" w:rsidRPr="0019406C">
        <w:rPr>
          <w:lang w:val="lv-LV"/>
        </w:rPr>
        <w:t xml:space="preserve"> </w:t>
      </w:r>
      <w:r w:rsidRPr="0019406C">
        <w:rPr>
          <w:lang w:val="lv-LV"/>
        </w:rPr>
        <w:t>gadam realizēts projekts tiesu modernizācijai, kā ietvaros veikti uzlabojumi piecās galvenajās jomās:</w:t>
      </w:r>
    </w:p>
    <w:p w:rsidR="00C21790" w:rsidRPr="0019406C" w:rsidRDefault="00C21790" w:rsidP="00E521EE">
      <w:pPr>
        <w:pStyle w:val="ListParagraph"/>
        <w:numPr>
          <w:ilvl w:val="0"/>
          <w:numId w:val="39"/>
        </w:numPr>
        <w:spacing w:line="276" w:lineRule="auto"/>
        <w:contextualSpacing w:val="0"/>
        <w:jc w:val="both"/>
        <w:rPr>
          <w:rFonts w:ascii="Georgia" w:hAnsi="Georgia"/>
          <w:sz w:val="20"/>
          <w:lang w:val="lv-LV"/>
        </w:rPr>
      </w:pPr>
      <w:r w:rsidRPr="0019406C">
        <w:rPr>
          <w:rFonts w:ascii="Georgia" w:hAnsi="Georgia"/>
          <w:sz w:val="20"/>
          <w:u w:val="single"/>
          <w:lang w:val="lv-LV"/>
        </w:rPr>
        <w:t>Sistēmas tehniskais nodrošinājums</w:t>
      </w:r>
      <w:r w:rsidRPr="0019406C">
        <w:rPr>
          <w:rFonts w:ascii="Georgia" w:hAnsi="Georgia"/>
          <w:sz w:val="20"/>
          <w:lang w:val="lv-LV"/>
        </w:rPr>
        <w:t xml:space="preserve"> - iegādāts tehniskais nodrošinājums (videokonferenču un skaņu iekārtas, audio protokolu marķēšanas sistēma), kas nodrošina attālinātu piekļuvi tiesas sēdēm;</w:t>
      </w:r>
    </w:p>
    <w:p w:rsidR="00C21790" w:rsidRPr="0019406C" w:rsidRDefault="00C21790" w:rsidP="00E521EE">
      <w:pPr>
        <w:pStyle w:val="ListParagraph"/>
        <w:numPr>
          <w:ilvl w:val="0"/>
          <w:numId w:val="39"/>
        </w:numPr>
        <w:spacing w:line="276" w:lineRule="auto"/>
        <w:contextualSpacing w:val="0"/>
        <w:jc w:val="both"/>
        <w:rPr>
          <w:rFonts w:ascii="Georgia" w:hAnsi="Georgia"/>
          <w:sz w:val="20"/>
          <w:lang w:val="lv-LV"/>
        </w:rPr>
      </w:pPr>
      <w:r w:rsidRPr="0019406C">
        <w:rPr>
          <w:rFonts w:ascii="Georgia" w:hAnsi="Georgia"/>
          <w:sz w:val="20"/>
          <w:u w:val="single"/>
          <w:lang w:val="lv-LV"/>
        </w:rPr>
        <w:t>Sistēmas efektivitātes uzlabošana</w:t>
      </w:r>
      <w:r w:rsidRPr="0019406C">
        <w:rPr>
          <w:rFonts w:ascii="Georgia" w:hAnsi="Georgia"/>
          <w:sz w:val="20"/>
          <w:lang w:val="lv-LV"/>
        </w:rPr>
        <w:t xml:space="preserve"> - izstrādātas un ieviestas procedūras  tiesas sēžu izmaksu kontroles un samazināšanas procedūras;</w:t>
      </w:r>
    </w:p>
    <w:p w:rsidR="00C21790" w:rsidRPr="0019406C" w:rsidRDefault="00C21790" w:rsidP="00E521EE">
      <w:pPr>
        <w:pStyle w:val="ListParagraph"/>
        <w:numPr>
          <w:ilvl w:val="0"/>
          <w:numId w:val="39"/>
        </w:numPr>
        <w:spacing w:line="276" w:lineRule="auto"/>
        <w:contextualSpacing w:val="0"/>
        <w:jc w:val="both"/>
        <w:rPr>
          <w:rFonts w:ascii="Georgia" w:hAnsi="Georgia"/>
          <w:sz w:val="20"/>
          <w:lang w:val="lv-LV"/>
        </w:rPr>
      </w:pPr>
      <w:r w:rsidRPr="0019406C">
        <w:rPr>
          <w:rFonts w:ascii="Georgia" w:hAnsi="Georgia"/>
          <w:sz w:val="20"/>
          <w:u w:val="single"/>
          <w:lang w:val="lv-LV"/>
        </w:rPr>
        <w:t>Ieviesti risinājumi informācijas izplatīšanai</w:t>
      </w:r>
      <w:r w:rsidRPr="0019406C">
        <w:rPr>
          <w:rFonts w:ascii="Georgia" w:hAnsi="Georgia"/>
          <w:sz w:val="20"/>
          <w:lang w:val="lv-LV"/>
        </w:rPr>
        <w:t xml:space="preserve"> - ieviesti informācijas izplatīšanas instrumenti: 41 informācijas kiosks, 130 informācijas stendi, uzlabots tiesu portāls </w:t>
      </w:r>
      <w:hyperlink r:id="rId22" w:history="1">
        <w:r w:rsidRPr="0019406C">
          <w:rPr>
            <w:rFonts w:ascii="Georgia" w:hAnsi="Georgia"/>
            <w:color w:val="000000"/>
            <w:sz w:val="20"/>
            <w:lang w:val="lv-LV"/>
          </w:rPr>
          <w:t>www.tiesas.lv</w:t>
        </w:r>
      </w:hyperlink>
      <w:r w:rsidRPr="0019406C">
        <w:rPr>
          <w:rFonts w:ascii="Georgia" w:hAnsi="Georgia"/>
          <w:sz w:val="20"/>
          <w:lang w:val="lv-LV"/>
        </w:rPr>
        <w:t>;</w:t>
      </w:r>
    </w:p>
    <w:p w:rsidR="00C21790" w:rsidRPr="0019406C" w:rsidRDefault="00C21790" w:rsidP="00E521EE">
      <w:pPr>
        <w:pStyle w:val="ListParagraph"/>
        <w:numPr>
          <w:ilvl w:val="0"/>
          <w:numId w:val="39"/>
        </w:numPr>
        <w:spacing w:line="276" w:lineRule="auto"/>
        <w:contextualSpacing w:val="0"/>
        <w:jc w:val="both"/>
        <w:rPr>
          <w:rFonts w:ascii="Georgia" w:hAnsi="Georgia"/>
          <w:sz w:val="20"/>
          <w:lang w:val="lv-LV"/>
        </w:rPr>
      </w:pPr>
      <w:r w:rsidRPr="0019406C">
        <w:rPr>
          <w:rFonts w:ascii="Georgia" w:hAnsi="Georgia"/>
          <w:sz w:val="20"/>
          <w:u w:val="single"/>
          <w:lang w:val="lv-LV"/>
        </w:rPr>
        <w:t>Ieviesti elektroniskie pakalpojumi</w:t>
      </w:r>
      <w:r w:rsidRPr="0019406C">
        <w:rPr>
          <w:rFonts w:ascii="Georgia" w:hAnsi="Georgia"/>
          <w:sz w:val="20"/>
          <w:lang w:val="lv-LV"/>
        </w:rPr>
        <w:t xml:space="preserve"> – 5 elektroniskie pakalpojumi uzņēmējiem un iedzīvotājiem, kā arī 71 elektroniskas veidlapas;</w:t>
      </w:r>
    </w:p>
    <w:p w:rsidR="00C21790" w:rsidRPr="0019406C" w:rsidRDefault="00C21790" w:rsidP="00E521EE">
      <w:pPr>
        <w:pStyle w:val="ListParagraph"/>
        <w:numPr>
          <w:ilvl w:val="0"/>
          <w:numId w:val="39"/>
        </w:numPr>
        <w:spacing w:line="276" w:lineRule="auto"/>
        <w:contextualSpacing w:val="0"/>
        <w:jc w:val="both"/>
        <w:rPr>
          <w:rFonts w:ascii="Georgia" w:hAnsi="Georgia"/>
          <w:sz w:val="20"/>
          <w:lang w:val="lv-LV"/>
        </w:rPr>
      </w:pPr>
      <w:r w:rsidRPr="0019406C">
        <w:rPr>
          <w:rFonts w:ascii="Georgia" w:hAnsi="Georgia"/>
          <w:sz w:val="20"/>
          <w:u w:val="single"/>
          <w:lang w:val="lv-LV"/>
        </w:rPr>
        <w:t>Uzlabots iestāžu iekšējais tehniskais nodrošinājums</w:t>
      </w:r>
      <w:r w:rsidRPr="0019406C">
        <w:rPr>
          <w:rFonts w:ascii="Georgia" w:hAnsi="Georgia"/>
          <w:sz w:val="20"/>
          <w:lang w:val="lv-LV"/>
        </w:rPr>
        <w:t xml:space="preserve"> – uzlabots Tiesu administrācijas, tiesu un zemesgrāmatas nodaļu vienotais iekšējais portāls, 85 darbavietas apgādātas ar skeneru tehniku.</w:t>
      </w:r>
    </w:p>
    <w:p w:rsidR="00A429C9" w:rsidRPr="0019406C" w:rsidRDefault="004A12AB" w:rsidP="006B022F">
      <w:pPr>
        <w:pStyle w:val="BodyText"/>
        <w:spacing w:before="240" w:line="276" w:lineRule="auto"/>
        <w:jc w:val="both"/>
        <w:rPr>
          <w:rFonts w:asciiTheme="majorHAnsi" w:hAnsiTheme="majorHAnsi"/>
          <w:lang w:val="lv-LV"/>
        </w:rPr>
      </w:pPr>
      <w:r w:rsidRPr="0019406C">
        <w:rPr>
          <w:rFonts w:asciiTheme="majorHAnsi" w:hAnsiTheme="majorHAnsi"/>
          <w:lang w:val="lv-LV"/>
        </w:rPr>
        <w:t xml:space="preserve">Šobrīd </w:t>
      </w:r>
      <w:r w:rsidR="00E91EC9" w:rsidRPr="0019406C">
        <w:rPr>
          <w:rFonts w:asciiTheme="majorHAnsi" w:hAnsiTheme="majorHAnsi"/>
          <w:lang w:val="lv-LV"/>
        </w:rPr>
        <w:t>priekšlikumi šai sadaļai netiek izvirzīti, jo aptaujas rezultāti, DB pētījums, kā arī veiktie uzlabojumi tiesu sistēmā liek secināt, ka uzlabojumi šajā rādītājā varētu būt pēc ieviesto uzlabojumu izmantošanas praksē uzsākšanās un varētu atspoguļoties vēlākos DB pētījumos.</w:t>
      </w:r>
    </w:p>
    <w:p w:rsidR="00627B52" w:rsidRPr="0019406C" w:rsidRDefault="00627B52" w:rsidP="006B022F">
      <w:pPr>
        <w:pStyle w:val="BodyText"/>
        <w:spacing w:before="240" w:line="276" w:lineRule="auto"/>
        <w:jc w:val="both"/>
        <w:rPr>
          <w:rFonts w:asciiTheme="majorHAnsi" w:hAnsiTheme="majorHAnsi"/>
          <w:lang w:val="lv-LV"/>
        </w:rPr>
      </w:pPr>
    </w:p>
    <w:p w:rsidR="00AF4D20" w:rsidRPr="0019406C" w:rsidRDefault="00AF4D20" w:rsidP="004C51AE">
      <w:pPr>
        <w:pStyle w:val="Heading2"/>
        <w:numPr>
          <w:ilvl w:val="1"/>
          <w:numId w:val="10"/>
        </w:numPr>
        <w:rPr>
          <w:lang w:val="lv-LV"/>
        </w:rPr>
      </w:pPr>
      <w:bookmarkStart w:id="112" w:name="_Toc389226086"/>
      <w:r w:rsidRPr="0019406C">
        <w:rPr>
          <w:lang w:val="lv-LV"/>
        </w:rPr>
        <w:t>Uzņēmējdarbības izbeigšana</w:t>
      </w:r>
      <w:bookmarkEnd w:id="50"/>
      <w:bookmarkEnd w:id="112"/>
    </w:p>
    <w:p w:rsidR="00E70F9D" w:rsidRPr="0019406C" w:rsidRDefault="00E70F9D" w:rsidP="00AF4D20">
      <w:pPr>
        <w:pStyle w:val="BodyText"/>
        <w:rPr>
          <w:rFonts w:asciiTheme="majorHAnsi" w:hAnsiTheme="majorHAnsi"/>
          <w:b/>
          <w:lang w:val="lv-LV"/>
        </w:rPr>
      </w:pPr>
    </w:p>
    <w:p w:rsidR="00251DFD" w:rsidRPr="0019406C" w:rsidRDefault="00251DFD" w:rsidP="00251DFD">
      <w:pPr>
        <w:pStyle w:val="BodyText"/>
        <w:rPr>
          <w:rFonts w:asciiTheme="majorHAnsi" w:hAnsiTheme="majorHAnsi"/>
          <w:b/>
          <w:sz w:val="22"/>
          <w:lang w:val="lv-LV"/>
        </w:rPr>
      </w:pPr>
      <w:r w:rsidRPr="0019406C">
        <w:rPr>
          <w:rFonts w:asciiTheme="majorHAnsi" w:hAnsiTheme="majorHAnsi"/>
          <w:b/>
          <w:sz w:val="22"/>
          <w:lang w:val="lv-LV"/>
        </w:rPr>
        <w:t>Uzņēmēju aptauja</w:t>
      </w:r>
    </w:p>
    <w:p w:rsidR="00251DFD" w:rsidRPr="0019406C" w:rsidRDefault="00251DFD" w:rsidP="00251DFD">
      <w:pPr>
        <w:pStyle w:val="BodyText"/>
        <w:spacing w:line="276" w:lineRule="auto"/>
        <w:jc w:val="both"/>
        <w:rPr>
          <w:rFonts w:asciiTheme="majorHAnsi" w:hAnsiTheme="majorHAnsi"/>
          <w:lang w:val="lv-LV"/>
        </w:rPr>
      </w:pPr>
      <w:r w:rsidRPr="0019406C">
        <w:rPr>
          <w:rFonts w:asciiTheme="majorHAnsi" w:hAnsiTheme="majorHAnsi"/>
          <w:lang w:val="lv-LV"/>
        </w:rPr>
        <w:t>Latvijas Faktu veiktā uzņēmēju aptauja norāda uz sekojošiem secinājumiem par uzņēmējdarbības izbeigšanu no uzņēmēju viedokļa:</w:t>
      </w:r>
    </w:p>
    <w:p w:rsidR="00251DFD" w:rsidRPr="0019406C" w:rsidRDefault="00251DFD" w:rsidP="00444A73">
      <w:pPr>
        <w:pStyle w:val="BodyText"/>
        <w:numPr>
          <w:ilvl w:val="0"/>
          <w:numId w:val="32"/>
        </w:numPr>
        <w:spacing w:line="276" w:lineRule="auto"/>
        <w:jc w:val="both"/>
        <w:rPr>
          <w:rFonts w:asciiTheme="majorHAnsi" w:hAnsiTheme="majorHAnsi"/>
          <w:lang w:val="lv-LV"/>
        </w:rPr>
      </w:pPr>
      <w:r w:rsidRPr="0019406C">
        <w:rPr>
          <w:rFonts w:asciiTheme="majorHAnsi" w:hAnsiTheme="majorHAnsi"/>
          <w:lang w:val="lv-LV"/>
        </w:rPr>
        <w:lastRenderedPageBreak/>
        <w:t>Tikai 2,7% aptaujāto uzņēmumu ir bijusi pieredze ar maksātnespējas, tiesiskās aizsardzības vai ārpustiesas tiesiskās aizsardzības procesu;</w:t>
      </w:r>
    </w:p>
    <w:p w:rsidR="00251DFD" w:rsidRPr="0019406C" w:rsidRDefault="00251DFD" w:rsidP="00444A73">
      <w:pPr>
        <w:pStyle w:val="BodyText"/>
        <w:numPr>
          <w:ilvl w:val="0"/>
          <w:numId w:val="32"/>
        </w:numPr>
        <w:spacing w:line="276" w:lineRule="auto"/>
        <w:jc w:val="both"/>
        <w:rPr>
          <w:rFonts w:asciiTheme="majorHAnsi" w:hAnsiTheme="majorHAnsi"/>
          <w:lang w:val="lv-LV"/>
        </w:rPr>
      </w:pPr>
      <w:r w:rsidRPr="0019406C">
        <w:rPr>
          <w:rFonts w:asciiTheme="majorHAnsi" w:hAnsiTheme="majorHAnsi"/>
          <w:lang w:val="lv-LV"/>
        </w:rPr>
        <w:t>Procesiem patērētais laiks ir salīdzinoši neliels – 53 dienas vidēji maksātnespējas procesam un 100 dienas tiesiskās aizsardzības procesam;</w:t>
      </w:r>
    </w:p>
    <w:p w:rsidR="00251DFD" w:rsidRPr="0019406C" w:rsidRDefault="00251DFD" w:rsidP="00444A73">
      <w:pPr>
        <w:pStyle w:val="BodyText"/>
        <w:numPr>
          <w:ilvl w:val="0"/>
          <w:numId w:val="32"/>
        </w:numPr>
        <w:spacing w:line="276" w:lineRule="auto"/>
        <w:jc w:val="both"/>
        <w:rPr>
          <w:rFonts w:asciiTheme="majorHAnsi" w:hAnsiTheme="majorHAnsi"/>
          <w:lang w:val="lv-LV"/>
        </w:rPr>
      </w:pPr>
      <w:r w:rsidRPr="0019406C">
        <w:rPr>
          <w:rFonts w:asciiTheme="majorHAnsi" w:hAnsiTheme="majorHAnsi"/>
          <w:lang w:val="lv-LV"/>
        </w:rPr>
        <w:t>Vidējās izmaksas (valsts un privātā sektora noteiktā maksa) saistībā ar maksātnespējas procesu ir aptuveni EUR 11</w:t>
      </w:r>
      <w:r w:rsidR="00924262" w:rsidRPr="0019406C">
        <w:rPr>
          <w:rFonts w:asciiTheme="majorHAnsi" w:hAnsiTheme="majorHAnsi"/>
          <w:lang w:val="lv-LV"/>
        </w:rPr>
        <w:t xml:space="preserve"> </w:t>
      </w:r>
      <w:r w:rsidRPr="0019406C">
        <w:rPr>
          <w:rFonts w:asciiTheme="majorHAnsi" w:hAnsiTheme="majorHAnsi"/>
          <w:lang w:val="lv-LV"/>
        </w:rPr>
        <w:t>290 (Ls 7</w:t>
      </w:r>
      <w:r w:rsidR="00924262" w:rsidRPr="0019406C">
        <w:rPr>
          <w:rFonts w:asciiTheme="majorHAnsi" w:hAnsiTheme="majorHAnsi"/>
          <w:lang w:val="lv-LV"/>
        </w:rPr>
        <w:t xml:space="preserve"> </w:t>
      </w:r>
      <w:r w:rsidRPr="0019406C">
        <w:rPr>
          <w:rFonts w:asciiTheme="majorHAnsi" w:hAnsiTheme="majorHAnsi"/>
          <w:lang w:val="lv-LV"/>
        </w:rPr>
        <w:t>888);</w:t>
      </w:r>
    </w:p>
    <w:p w:rsidR="00251DFD" w:rsidRPr="0019406C" w:rsidRDefault="00251DFD" w:rsidP="00444A73">
      <w:pPr>
        <w:pStyle w:val="BodyText"/>
        <w:numPr>
          <w:ilvl w:val="0"/>
          <w:numId w:val="32"/>
        </w:numPr>
        <w:spacing w:line="276" w:lineRule="auto"/>
        <w:jc w:val="both"/>
        <w:rPr>
          <w:rFonts w:asciiTheme="majorHAnsi" w:hAnsiTheme="majorHAnsi"/>
          <w:lang w:val="lv-LV"/>
        </w:rPr>
      </w:pPr>
      <w:r w:rsidRPr="0019406C">
        <w:rPr>
          <w:rFonts w:asciiTheme="majorHAnsi" w:hAnsiTheme="majorHAnsi"/>
          <w:lang w:val="lv-LV"/>
        </w:rPr>
        <w:t>Atgūtā kreditoru ieguldījuma daļa abos procesos ir nedaudz vairāk kā 50%;</w:t>
      </w:r>
    </w:p>
    <w:p w:rsidR="00251DFD" w:rsidRPr="0019406C" w:rsidRDefault="00251DFD" w:rsidP="00444A73">
      <w:pPr>
        <w:pStyle w:val="BodyText"/>
        <w:numPr>
          <w:ilvl w:val="0"/>
          <w:numId w:val="32"/>
        </w:numPr>
        <w:spacing w:line="276" w:lineRule="auto"/>
        <w:jc w:val="both"/>
        <w:rPr>
          <w:rFonts w:asciiTheme="majorHAnsi" w:hAnsiTheme="majorHAnsi"/>
          <w:lang w:val="lv-LV"/>
        </w:rPr>
      </w:pPr>
      <w:r w:rsidRPr="0019406C">
        <w:rPr>
          <w:rFonts w:asciiTheme="majorHAnsi" w:hAnsiTheme="majorHAnsi"/>
          <w:lang w:val="lv-LV"/>
        </w:rPr>
        <w:t>Aptaujāto uzņēmumu vērtējums par maksātnespējas un tiesiskās aizsardzības procesa efektivitāti, tiesu darbu, administratora profesionalitāti un ātrumu visos vērtējumos bija zemāks par vidējo;</w:t>
      </w:r>
    </w:p>
    <w:p w:rsidR="00DF2E8C" w:rsidRPr="0019406C" w:rsidRDefault="00251DFD" w:rsidP="00444A73">
      <w:pPr>
        <w:pStyle w:val="BodyText"/>
        <w:numPr>
          <w:ilvl w:val="0"/>
          <w:numId w:val="32"/>
        </w:numPr>
        <w:spacing w:line="276" w:lineRule="auto"/>
        <w:jc w:val="both"/>
        <w:rPr>
          <w:rFonts w:asciiTheme="majorHAnsi" w:hAnsiTheme="majorHAnsi"/>
          <w:lang w:val="lv-LV"/>
        </w:rPr>
      </w:pPr>
      <w:r w:rsidRPr="0019406C">
        <w:rPr>
          <w:rFonts w:asciiTheme="majorHAnsi" w:hAnsiTheme="majorHAnsi"/>
          <w:lang w:val="lv-LV"/>
        </w:rPr>
        <w:t>Mazāk kā 40% bija informēti par maksātnespējas, tiesiskās aizsardzības un ārpustiesas tiesiskās aizsardzības procesiem</w:t>
      </w:r>
      <w:r w:rsidR="00DF2E8C" w:rsidRPr="0019406C">
        <w:rPr>
          <w:rFonts w:asciiTheme="majorHAnsi" w:hAnsiTheme="majorHAnsi"/>
          <w:sz w:val="22"/>
          <w:lang w:val="lv-LV"/>
        </w:rPr>
        <w:t>;</w:t>
      </w:r>
    </w:p>
    <w:p w:rsidR="00DF2E8C" w:rsidRPr="0019406C" w:rsidRDefault="00DF2E8C" w:rsidP="00444A73">
      <w:pPr>
        <w:pStyle w:val="BodyText"/>
        <w:numPr>
          <w:ilvl w:val="0"/>
          <w:numId w:val="32"/>
        </w:numPr>
        <w:spacing w:line="276" w:lineRule="auto"/>
        <w:rPr>
          <w:lang w:val="lv-LV"/>
        </w:rPr>
      </w:pPr>
      <w:r w:rsidRPr="0019406C">
        <w:rPr>
          <w:lang w:val="lv-LV"/>
        </w:rPr>
        <w:t>Jāņem vērā, ka nelielais atbildētāju skaits (16) neļauj šos rezultātus vispārināt uz visu izlases kopu un salīdzināt ar iepriekšējo gadu rezultātiem.</w:t>
      </w:r>
    </w:p>
    <w:p w:rsidR="00596204" w:rsidRPr="0019406C" w:rsidRDefault="00596204" w:rsidP="00444A73">
      <w:pPr>
        <w:pStyle w:val="BodyText"/>
        <w:spacing w:line="276" w:lineRule="auto"/>
        <w:rPr>
          <w:rFonts w:asciiTheme="majorHAnsi" w:hAnsiTheme="majorHAnsi"/>
          <w:b/>
          <w:sz w:val="22"/>
          <w:lang w:val="lv-LV"/>
        </w:rPr>
      </w:pPr>
      <w:r w:rsidRPr="0019406C">
        <w:rPr>
          <w:rFonts w:asciiTheme="majorHAnsi" w:hAnsiTheme="majorHAnsi"/>
          <w:b/>
          <w:sz w:val="22"/>
          <w:lang w:val="lv-LV"/>
        </w:rPr>
        <w:t>Doing Business pētījums</w:t>
      </w:r>
    </w:p>
    <w:p w:rsidR="00596204" w:rsidRPr="0019406C" w:rsidRDefault="00856ADB" w:rsidP="00444A73">
      <w:pPr>
        <w:pStyle w:val="BodyText"/>
        <w:spacing w:line="276" w:lineRule="auto"/>
        <w:jc w:val="both"/>
        <w:rPr>
          <w:rFonts w:asciiTheme="majorHAnsi" w:hAnsiTheme="majorHAnsi"/>
          <w:lang w:val="lv-LV"/>
        </w:rPr>
      </w:pPr>
      <w:r w:rsidRPr="0019406C">
        <w:rPr>
          <w:rFonts w:asciiTheme="majorHAnsi" w:hAnsiTheme="majorHAnsi"/>
          <w:lang w:val="lv-LV"/>
        </w:rPr>
        <w:t>Latvija reitingu ir uzlabojusi</w:t>
      </w:r>
      <w:r w:rsidR="00596204" w:rsidRPr="0019406C">
        <w:rPr>
          <w:rFonts w:asciiTheme="majorHAnsi" w:hAnsiTheme="majorHAnsi"/>
          <w:lang w:val="lv-LV"/>
        </w:rPr>
        <w:t xml:space="preserve"> uz augšu par 3 pozīcijām </w:t>
      </w:r>
      <w:r w:rsidRPr="0019406C">
        <w:rPr>
          <w:rFonts w:asciiTheme="majorHAnsi" w:hAnsiTheme="majorHAnsi"/>
          <w:lang w:val="lv-LV"/>
        </w:rPr>
        <w:t xml:space="preserve"> - </w:t>
      </w:r>
      <w:r w:rsidR="00596204" w:rsidRPr="0019406C">
        <w:rPr>
          <w:rFonts w:asciiTheme="majorHAnsi" w:hAnsiTheme="majorHAnsi"/>
          <w:lang w:val="lv-LV"/>
        </w:rPr>
        <w:t xml:space="preserve">no 46. uz 43. vietu. Lai arī vairākām valstīm ir bijušas izmaiņas vērtējumā, DB nav konstatējis būtiskus uzlabojumus </w:t>
      </w:r>
      <w:r w:rsidR="00E11F32" w:rsidRPr="0019406C">
        <w:rPr>
          <w:rFonts w:asciiTheme="majorHAnsi" w:hAnsiTheme="majorHAnsi"/>
          <w:lang w:val="lv-LV"/>
        </w:rPr>
        <w:t>ne</w:t>
      </w:r>
      <w:r w:rsidR="00596204" w:rsidRPr="0019406C">
        <w:rPr>
          <w:rFonts w:asciiTheme="majorHAnsi" w:hAnsiTheme="majorHAnsi"/>
          <w:lang w:val="lv-LV"/>
        </w:rPr>
        <w:t xml:space="preserve"> Latvijā, </w:t>
      </w:r>
      <w:r w:rsidR="00E11F32" w:rsidRPr="0019406C">
        <w:rPr>
          <w:rFonts w:asciiTheme="majorHAnsi" w:hAnsiTheme="majorHAnsi"/>
          <w:lang w:val="lv-LV"/>
        </w:rPr>
        <w:t xml:space="preserve">ne </w:t>
      </w:r>
      <w:r w:rsidR="00596204" w:rsidRPr="0019406C">
        <w:rPr>
          <w:rFonts w:asciiTheme="majorHAnsi" w:hAnsiTheme="majorHAnsi"/>
          <w:lang w:val="lv-LV"/>
        </w:rPr>
        <w:t>kaimiņvalstīs, tomēr jāmin, ka ir neliels uzlabojums atgūtajā ieguldījuma apjomā.</w:t>
      </w:r>
    </w:p>
    <w:p w:rsidR="00596204" w:rsidRPr="0019406C" w:rsidRDefault="00596204" w:rsidP="00596204">
      <w:pPr>
        <w:pStyle w:val="Caption"/>
        <w:keepNext/>
        <w:rPr>
          <w:rFonts w:asciiTheme="majorHAnsi" w:hAnsiTheme="majorHAnsi"/>
          <w:sz w:val="16"/>
          <w:lang w:val="lv-LV"/>
        </w:rPr>
      </w:pPr>
      <w:bookmarkStart w:id="113" w:name="_Toc381343986"/>
      <w:bookmarkStart w:id="114" w:name="_Toc389225096"/>
      <w:r w:rsidRPr="0019406C">
        <w:rPr>
          <w:rFonts w:asciiTheme="majorHAnsi" w:hAnsiTheme="majorHAnsi"/>
          <w:sz w:val="16"/>
          <w:lang w:val="lv-LV"/>
        </w:rPr>
        <w:t xml:space="preserve">Tabula </w:t>
      </w:r>
      <w:r w:rsidRPr="0019406C">
        <w:rPr>
          <w:rFonts w:asciiTheme="majorHAnsi" w:hAnsiTheme="majorHAnsi"/>
          <w:sz w:val="16"/>
          <w:lang w:val="lv-LV"/>
        </w:rPr>
        <w:fldChar w:fldCharType="begin"/>
      </w:r>
      <w:r w:rsidRPr="0019406C">
        <w:rPr>
          <w:rFonts w:asciiTheme="majorHAnsi" w:hAnsiTheme="majorHAnsi"/>
          <w:sz w:val="16"/>
          <w:lang w:val="lv-LV"/>
        </w:rPr>
        <w:instrText xml:space="preserve"> SEQ Tabula \* ARABIC </w:instrText>
      </w:r>
      <w:r w:rsidRPr="0019406C">
        <w:rPr>
          <w:rFonts w:asciiTheme="majorHAnsi" w:hAnsiTheme="majorHAnsi"/>
          <w:sz w:val="16"/>
          <w:lang w:val="lv-LV"/>
        </w:rPr>
        <w:fldChar w:fldCharType="separate"/>
      </w:r>
      <w:r w:rsidR="00410806" w:rsidRPr="0019406C">
        <w:rPr>
          <w:rFonts w:asciiTheme="majorHAnsi" w:hAnsiTheme="majorHAnsi"/>
          <w:noProof/>
          <w:sz w:val="16"/>
          <w:lang w:val="lv-LV"/>
        </w:rPr>
        <w:t>22</w:t>
      </w:r>
      <w:r w:rsidRPr="0019406C">
        <w:rPr>
          <w:rFonts w:asciiTheme="majorHAnsi" w:hAnsiTheme="majorHAnsi"/>
          <w:sz w:val="16"/>
          <w:lang w:val="lv-LV"/>
        </w:rPr>
        <w:fldChar w:fldCharType="end"/>
      </w:r>
      <w:r w:rsidRPr="0019406C">
        <w:rPr>
          <w:rFonts w:asciiTheme="majorHAnsi" w:hAnsiTheme="majorHAnsi"/>
          <w:sz w:val="16"/>
          <w:lang w:val="lv-LV"/>
        </w:rPr>
        <w:t xml:space="preserve"> "</w:t>
      </w:r>
      <w:proofErr w:type="spellStart"/>
      <w:r w:rsidRPr="0019406C">
        <w:rPr>
          <w:rFonts w:asciiTheme="majorHAnsi" w:hAnsiTheme="majorHAnsi"/>
          <w:sz w:val="16"/>
          <w:lang w:val="lv-LV"/>
        </w:rPr>
        <w:t>Resolving</w:t>
      </w:r>
      <w:proofErr w:type="spellEnd"/>
      <w:r w:rsidRPr="0019406C">
        <w:rPr>
          <w:rFonts w:asciiTheme="majorHAnsi" w:hAnsiTheme="majorHAnsi"/>
          <w:sz w:val="16"/>
          <w:lang w:val="lv-LV"/>
        </w:rPr>
        <w:t xml:space="preserve"> </w:t>
      </w:r>
      <w:proofErr w:type="spellStart"/>
      <w:r w:rsidRPr="0019406C">
        <w:rPr>
          <w:rFonts w:asciiTheme="majorHAnsi" w:hAnsiTheme="majorHAnsi"/>
          <w:sz w:val="16"/>
          <w:lang w:val="lv-LV"/>
        </w:rPr>
        <w:t>Inslovency</w:t>
      </w:r>
      <w:proofErr w:type="spellEnd"/>
      <w:r w:rsidRPr="0019406C">
        <w:rPr>
          <w:rFonts w:asciiTheme="majorHAnsi" w:hAnsiTheme="majorHAnsi"/>
          <w:sz w:val="16"/>
          <w:lang w:val="lv-LV"/>
        </w:rPr>
        <w:t>", uzņēmējdarbības izbeigšanas indekss</w:t>
      </w:r>
      <w:bookmarkEnd w:id="113"/>
      <w:bookmarkEnd w:id="114"/>
    </w:p>
    <w:tbl>
      <w:tblPr>
        <w:tblStyle w:val="LightList-Accent11"/>
        <w:tblW w:w="5000" w:type="pct"/>
        <w:tblLook w:val="00A0" w:firstRow="1" w:lastRow="0" w:firstColumn="1" w:lastColumn="0" w:noHBand="0" w:noVBand="0"/>
      </w:tblPr>
      <w:tblGrid>
        <w:gridCol w:w="1308"/>
        <w:gridCol w:w="1099"/>
        <w:gridCol w:w="1105"/>
        <w:gridCol w:w="1163"/>
        <w:gridCol w:w="5405"/>
      </w:tblGrid>
      <w:tr w:rsidR="00596204" w:rsidRPr="0019406C" w:rsidTr="00F94A66">
        <w:trPr>
          <w:cnfStyle w:val="100000000000" w:firstRow="1" w:lastRow="0" w:firstColumn="0" w:lastColumn="0" w:oddVBand="0" w:evenVBand="0" w:oddHBand="0" w:evenHBand="0" w:firstRowFirstColumn="0" w:firstRowLastColumn="0" w:lastRowFirstColumn="0" w:lastRowLastColumn="0"/>
          <w:trHeight w:val="190"/>
        </w:trPr>
        <w:tc>
          <w:tcPr>
            <w:cnfStyle w:val="001000000000" w:firstRow="0" w:lastRow="0" w:firstColumn="1" w:lastColumn="0" w:oddVBand="0" w:evenVBand="0" w:oddHBand="0" w:evenHBand="0" w:firstRowFirstColumn="0" w:firstRowLastColumn="0" w:lastRowFirstColumn="0" w:lastRowLastColumn="0"/>
            <w:tcW w:w="649" w:type="pct"/>
            <w:vAlign w:val="center"/>
          </w:tcPr>
          <w:p w:rsidR="00596204" w:rsidRPr="0019406C" w:rsidRDefault="00596204" w:rsidP="00F94A66">
            <w:pPr>
              <w:rPr>
                <w:rFonts w:asciiTheme="majorHAnsi" w:eastAsia="Cambria" w:hAnsiTheme="majorHAnsi" w:cs="Times New Roman"/>
                <w:lang w:val="lv-LV"/>
              </w:rPr>
            </w:pPr>
            <w:r w:rsidRPr="0019406C">
              <w:rPr>
                <w:rFonts w:asciiTheme="majorHAnsi" w:eastAsia="Cambria" w:hAnsiTheme="majorHAnsi" w:cs="Times New Roman"/>
                <w:lang w:val="lv-LV"/>
              </w:rPr>
              <w:t>Valsts</w:t>
            </w:r>
          </w:p>
        </w:tc>
        <w:tc>
          <w:tcPr>
            <w:cnfStyle w:val="000010000000" w:firstRow="0" w:lastRow="0" w:firstColumn="0" w:lastColumn="0" w:oddVBand="1" w:evenVBand="0" w:oddHBand="0" w:evenHBand="0" w:firstRowFirstColumn="0" w:firstRowLastColumn="0" w:lastRowFirstColumn="0" w:lastRowLastColumn="0"/>
            <w:tcW w:w="545" w:type="pct"/>
            <w:vAlign w:val="center"/>
          </w:tcPr>
          <w:p w:rsidR="00596204" w:rsidRPr="0019406C" w:rsidRDefault="00596204" w:rsidP="00F94A66">
            <w:pPr>
              <w:jc w:val="center"/>
              <w:rPr>
                <w:rFonts w:asciiTheme="majorHAnsi" w:eastAsia="Cambria" w:hAnsiTheme="majorHAnsi" w:cs="Times New Roman"/>
                <w:lang w:val="lv-LV"/>
              </w:rPr>
            </w:pPr>
            <w:r w:rsidRPr="0019406C">
              <w:rPr>
                <w:rFonts w:asciiTheme="majorHAnsi" w:eastAsia="Cambria" w:hAnsiTheme="majorHAnsi" w:cs="Times New Roman"/>
                <w:lang w:val="lv-LV"/>
              </w:rPr>
              <w:t>2013</w:t>
            </w:r>
          </w:p>
        </w:tc>
        <w:tc>
          <w:tcPr>
            <w:tcW w:w="548" w:type="pct"/>
            <w:vAlign w:val="center"/>
          </w:tcPr>
          <w:p w:rsidR="00596204" w:rsidRPr="0019406C" w:rsidRDefault="00596204" w:rsidP="00F94A66">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2014</w:t>
            </w:r>
          </w:p>
        </w:tc>
        <w:tc>
          <w:tcPr>
            <w:cnfStyle w:val="000010000000" w:firstRow="0" w:lastRow="0" w:firstColumn="0" w:lastColumn="0" w:oddVBand="1" w:evenVBand="0" w:oddHBand="0" w:evenHBand="0" w:firstRowFirstColumn="0" w:firstRowLastColumn="0" w:lastRowFirstColumn="0" w:lastRowLastColumn="0"/>
            <w:tcW w:w="577" w:type="pct"/>
            <w:vAlign w:val="center"/>
          </w:tcPr>
          <w:p w:rsidR="00596204" w:rsidRPr="0019406C" w:rsidRDefault="00596204" w:rsidP="00F94A66">
            <w:pPr>
              <w:jc w:val="center"/>
              <w:rPr>
                <w:rFonts w:asciiTheme="majorHAnsi" w:eastAsia="Cambria" w:hAnsiTheme="majorHAnsi" w:cs="Times New Roman"/>
                <w:lang w:val="lv-LV"/>
              </w:rPr>
            </w:pPr>
            <w:r w:rsidRPr="0019406C">
              <w:rPr>
                <w:rFonts w:asciiTheme="majorHAnsi" w:eastAsia="Cambria" w:hAnsiTheme="majorHAnsi" w:cs="Times New Roman"/>
                <w:lang w:val="lv-LV"/>
              </w:rPr>
              <w:t>Izmaiņas</w:t>
            </w:r>
          </w:p>
        </w:tc>
        <w:tc>
          <w:tcPr>
            <w:tcW w:w="2682" w:type="pct"/>
          </w:tcPr>
          <w:p w:rsidR="00596204" w:rsidRPr="0019406C" w:rsidRDefault="00A4401C" w:rsidP="00A4401C">
            <w:pP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Veiktās reformas</w:t>
            </w:r>
          </w:p>
        </w:tc>
      </w:tr>
      <w:tr w:rsidR="00596204" w:rsidRPr="0019406C" w:rsidTr="00F94A66">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49" w:type="pct"/>
            <w:vAlign w:val="center"/>
          </w:tcPr>
          <w:p w:rsidR="00596204" w:rsidRPr="0019406C" w:rsidRDefault="00596204" w:rsidP="00F94A66">
            <w:pPr>
              <w:rPr>
                <w:rFonts w:asciiTheme="majorHAnsi" w:hAnsiTheme="majorHAnsi"/>
                <w:b w:val="0"/>
                <w:lang w:val="lv-LV"/>
              </w:rPr>
            </w:pPr>
            <w:r w:rsidRPr="0019406C">
              <w:rPr>
                <w:rFonts w:asciiTheme="majorHAnsi" w:hAnsiTheme="majorHAnsi"/>
                <w:b w:val="0"/>
                <w:lang w:val="lv-LV"/>
              </w:rPr>
              <w:t>Somija</w:t>
            </w:r>
          </w:p>
        </w:tc>
        <w:tc>
          <w:tcPr>
            <w:cnfStyle w:val="000010000000" w:firstRow="0" w:lastRow="0" w:firstColumn="0" w:lastColumn="0" w:oddVBand="1" w:evenVBand="0" w:oddHBand="0" w:evenHBand="0" w:firstRowFirstColumn="0" w:firstRowLastColumn="0" w:lastRowFirstColumn="0" w:lastRowLastColumn="0"/>
            <w:tcW w:w="545" w:type="pct"/>
            <w:vAlign w:val="center"/>
          </w:tcPr>
          <w:p w:rsidR="00596204" w:rsidRPr="0019406C" w:rsidRDefault="00596204" w:rsidP="00F94A66">
            <w:pPr>
              <w:jc w:val="center"/>
              <w:rPr>
                <w:rFonts w:asciiTheme="majorHAnsi" w:eastAsia="Cambria" w:hAnsiTheme="majorHAnsi" w:cs="Times New Roman"/>
                <w:lang w:val="lv-LV"/>
              </w:rPr>
            </w:pPr>
            <w:r w:rsidRPr="0019406C">
              <w:rPr>
                <w:rFonts w:asciiTheme="majorHAnsi" w:eastAsia="Cambria" w:hAnsiTheme="majorHAnsi" w:cs="Times New Roman"/>
                <w:lang w:val="lv-LV"/>
              </w:rPr>
              <w:t>4</w:t>
            </w:r>
          </w:p>
        </w:tc>
        <w:tc>
          <w:tcPr>
            <w:tcW w:w="548" w:type="pct"/>
            <w:vAlign w:val="center"/>
          </w:tcPr>
          <w:p w:rsidR="00596204" w:rsidRPr="0019406C" w:rsidRDefault="00596204" w:rsidP="00F94A66">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3</w:t>
            </w:r>
          </w:p>
        </w:tc>
        <w:tc>
          <w:tcPr>
            <w:cnfStyle w:val="000010000000" w:firstRow="0" w:lastRow="0" w:firstColumn="0" w:lastColumn="0" w:oddVBand="1" w:evenVBand="0" w:oddHBand="0" w:evenHBand="0" w:firstRowFirstColumn="0" w:firstRowLastColumn="0" w:lastRowFirstColumn="0" w:lastRowLastColumn="0"/>
            <w:tcW w:w="577" w:type="pct"/>
            <w:vAlign w:val="center"/>
          </w:tcPr>
          <w:p w:rsidR="00596204" w:rsidRPr="0019406C" w:rsidRDefault="00596204" w:rsidP="00F94A66">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w:t>
            </w:r>
          </w:p>
        </w:tc>
        <w:tc>
          <w:tcPr>
            <w:tcW w:w="2682" w:type="pct"/>
          </w:tcPr>
          <w:p w:rsidR="00596204" w:rsidRPr="0019406C" w:rsidRDefault="00596204" w:rsidP="00F94A66">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596204" w:rsidRPr="0019406C" w:rsidTr="00F94A66">
        <w:trPr>
          <w:trHeight w:val="264"/>
        </w:trPr>
        <w:tc>
          <w:tcPr>
            <w:cnfStyle w:val="001000000000" w:firstRow="0" w:lastRow="0" w:firstColumn="1" w:lastColumn="0" w:oddVBand="0" w:evenVBand="0" w:oddHBand="0" w:evenHBand="0" w:firstRowFirstColumn="0" w:firstRowLastColumn="0" w:lastRowFirstColumn="0" w:lastRowLastColumn="0"/>
            <w:tcW w:w="649" w:type="pct"/>
            <w:vAlign w:val="center"/>
          </w:tcPr>
          <w:p w:rsidR="00596204" w:rsidRPr="0019406C" w:rsidRDefault="00596204" w:rsidP="00F94A66">
            <w:pPr>
              <w:rPr>
                <w:rFonts w:asciiTheme="majorHAnsi" w:hAnsiTheme="majorHAnsi"/>
                <w:b w:val="0"/>
                <w:lang w:val="lv-LV"/>
              </w:rPr>
            </w:pPr>
            <w:r w:rsidRPr="0019406C">
              <w:rPr>
                <w:rFonts w:asciiTheme="majorHAnsi" w:hAnsiTheme="majorHAnsi"/>
                <w:b w:val="0"/>
                <w:lang w:val="lv-LV"/>
              </w:rPr>
              <w:t>Lielbritānija</w:t>
            </w:r>
          </w:p>
        </w:tc>
        <w:tc>
          <w:tcPr>
            <w:cnfStyle w:val="000010000000" w:firstRow="0" w:lastRow="0" w:firstColumn="0" w:lastColumn="0" w:oddVBand="1" w:evenVBand="0" w:oddHBand="0" w:evenHBand="0" w:firstRowFirstColumn="0" w:firstRowLastColumn="0" w:lastRowFirstColumn="0" w:lastRowLastColumn="0"/>
            <w:tcW w:w="545" w:type="pct"/>
            <w:vAlign w:val="center"/>
          </w:tcPr>
          <w:p w:rsidR="00596204" w:rsidRPr="0019406C" w:rsidRDefault="00596204" w:rsidP="00F94A66">
            <w:pPr>
              <w:jc w:val="center"/>
              <w:rPr>
                <w:rFonts w:asciiTheme="majorHAnsi" w:eastAsia="Cambria" w:hAnsiTheme="majorHAnsi" w:cs="Times New Roman"/>
                <w:lang w:val="lv-LV"/>
              </w:rPr>
            </w:pPr>
            <w:r w:rsidRPr="0019406C">
              <w:rPr>
                <w:rFonts w:asciiTheme="majorHAnsi" w:eastAsia="Cambria" w:hAnsiTheme="majorHAnsi" w:cs="Times New Roman"/>
                <w:lang w:val="lv-LV"/>
              </w:rPr>
              <w:t>8</w:t>
            </w:r>
          </w:p>
        </w:tc>
        <w:tc>
          <w:tcPr>
            <w:tcW w:w="548" w:type="pct"/>
            <w:vAlign w:val="center"/>
          </w:tcPr>
          <w:p w:rsidR="00596204" w:rsidRPr="0019406C" w:rsidRDefault="00596204" w:rsidP="00F94A66">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7</w:t>
            </w:r>
          </w:p>
        </w:tc>
        <w:tc>
          <w:tcPr>
            <w:cnfStyle w:val="000010000000" w:firstRow="0" w:lastRow="0" w:firstColumn="0" w:lastColumn="0" w:oddVBand="1" w:evenVBand="0" w:oddHBand="0" w:evenHBand="0" w:firstRowFirstColumn="0" w:firstRowLastColumn="0" w:lastRowFirstColumn="0" w:lastRowLastColumn="0"/>
            <w:tcW w:w="577" w:type="pct"/>
            <w:vAlign w:val="center"/>
          </w:tcPr>
          <w:p w:rsidR="00596204" w:rsidRPr="0019406C" w:rsidRDefault="00596204" w:rsidP="00F94A66">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w:t>
            </w:r>
          </w:p>
        </w:tc>
        <w:tc>
          <w:tcPr>
            <w:tcW w:w="2682" w:type="pct"/>
          </w:tcPr>
          <w:p w:rsidR="00596204" w:rsidRPr="0019406C" w:rsidRDefault="00596204" w:rsidP="00F94A66">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596204" w:rsidRPr="0019406C" w:rsidTr="00F94A66">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49" w:type="pct"/>
            <w:vAlign w:val="center"/>
          </w:tcPr>
          <w:p w:rsidR="00596204" w:rsidRPr="0019406C" w:rsidRDefault="00596204" w:rsidP="00F94A66">
            <w:pPr>
              <w:rPr>
                <w:rFonts w:asciiTheme="majorHAnsi" w:hAnsiTheme="majorHAnsi"/>
                <w:b w:val="0"/>
                <w:lang w:val="lv-LV"/>
              </w:rPr>
            </w:pPr>
            <w:r w:rsidRPr="0019406C">
              <w:rPr>
                <w:rFonts w:asciiTheme="majorHAnsi" w:hAnsiTheme="majorHAnsi"/>
                <w:b w:val="0"/>
                <w:lang w:val="lv-LV"/>
              </w:rPr>
              <w:t>Dānija</w:t>
            </w:r>
          </w:p>
        </w:tc>
        <w:tc>
          <w:tcPr>
            <w:cnfStyle w:val="000010000000" w:firstRow="0" w:lastRow="0" w:firstColumn="0" w:lastColumn="0" w:oddVBand="1" w:evenVBand="0" w:oddHBand="0" w:evenHBand="0" w:firstRowFirstColumn="0" w:firstRowLastColumn="0" w:lastRowFirstColumn="0" w:lastRowLastColumn="0"/>
            <w:tcW w:w="545" w:type="pct"/>
            <w:vAlign w:val="center"/>
          </w:tcPr>
          <w:p w:rsidR="00596204" w:rsidRPr="0019406C" w:rsidRDefault="00596204" w:rsidP="00F94A66">
            <w:pPr>
              <w:jc w:val="center"/>
              <w:rPr>
                <w:rFonts w:asciiTheme="majorHAnsi" w:eastAsia="Cambria" w:hAnsiTheme="majorHAnsi" w:cs="Times New Roman"/>
                <w:lang w:val="lv-LV"/>
              </w:rPr>
            </w:pPr>
            <w:r w:rsidRPr="0019406C">
              <w:rPr>
                <w:rFonts w:asciiTheme="majorHAnsi" w:eastAsia="Cambria" w:hAnsiTheme="majorHAnsi" w:cs="Times New Roman"/>
                <w:lang w:val="lv-LV"/>
              </w:rPr>
              <w:t>10</w:t>
            </w:r>
          </w:p>
        </w:tc>
        <w:tc>
          <w:tcPr>
            <w:tcW w:w="548" w:type="pct"/>
            <w:vAlign w:val="center"/>
          </w:tcPr>
          <w:p w:rsidR="00596204" w:rsidRPr="0019406C" w:rsidRDefault="00596204" w:rsidP="00F94A66">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10</w:t>
            </w:r>
          </w:p>
        </w:tc>
        <w:tc>
          <w:tcPr>
            <w:cnfStyle w:val="000010000000" w:firstRow="0" w:lastRow="0" w:firstColumn="0" w:lastColumn="0" w:oddVBand="1" w:evenVBand="0" w:oddHBand="0" w:evenHBand="0" w:firstRowFirstColumn="0" w:firstRowLastColumn="0" w:lastRowFirstColumn="0" w:lastRowLastColumn="0"/>
            <w:tcW w:w="577" w:type="pct"/>
            <w:vAlign w:val="center"/>
          </w:tcPr>
          <w:p w:rsidR="00596204" w:rsidRPr="0019406C" w:rsidRDefault="00596204" w:rsidP="00F94A66">
            <w:pPr>
              <w:jc w:val="center"/>
              <w:rPr>
                <w:rFonts w:asciiTheme="majorHAnsi" w:eastAsia="Cambria" w:hAnsiTheme="majorHAnsi" w:cs="Times New Roman"/>
                <w:b/>
                <w:lang w:val="lv-LV"/>
              </w:rPr>
            </w:pPr>
            <w:r w:rsidRPr="0019406C">
              <w:rPr>
                <w:rFonts w:asciiTheme="majorHAnsi" w:eastAsia="Cambria" w:hAnsiTheme="majorHAnsi" w:cs="Times New Roman"/>
                <w:b/>
                <w:lang w:val="lv-LV"/>
              </w:rPr>
              <w:t>-</w:t>
            </w:r>
          </w:p>
        </w:tc>
        <w:tc>
          <w:tcPr>
            <w:tcW w:w="2682" w:type="pct"/>
          </w:tcPr>
          <w:p w:rsidR="00596204" w:rsidRPr="0019406C" w:rsidRDefault="00596204" w:rsidP="00F94A66">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596204" w:rsidRPr="0019406C" w:rsidTr="00F94A66">
        <w:trPr>
          <w:trHeight w:val="264"/>
        </w:trPr>
        <w:tc>
          <w:tcPr>
            <w:cnfStyle w:val="001000000000" w:firstRow="0" w:lastRow="0" w:firstColumn="1" w:lastColumn="0" w:oddVBand="0" w:evenVBand="0" w:oddHBand="0" w:evenHBand="0" w:firstRowFirstColumn="0" w:firstRowLastColumn="0" w:lastRowFirstColumn="0" w:lastRowLastColumn="0"/>
            <w:tcW w:w="649" w:type="pct"/>
            <w:vAlign w:val="center"/>
          </w:tcPr>
          <w:p w:rsidR="00596204" w:rsidRPr="0019406C" w:rsidRDefault="00596204" w:rsidP="00F94A66">
            <w:pPr>
              <w:rPr>
                <w:rFonts w:asciiTheme="majorHAnsi" w:hAnsiTheme="majorHAnsi"/>
                <w:b w:val="0"/>
                <w:lang w:val="lv-LV"/>
              </w:rPr>
            </w:pPr>
            <w:r w:rsidRPr="0019406C">
              <w:rPr>
                <w:rFonts w:asciiTheme="majorHAnsi" w:hAnsiTheme="majorHAnsi"/>
                <w:b w:val="0"/>
                <w:lang w:val="lv-LV"/>
              </w:rPr>
              <w:t>Zviedrija</w:t>
            </w:r>
          </w:p>
        </w:tc>
        <w:tc>
          <w:tcPr>
            <w:cnfStyle w:val="000010000000" w:firstRow="0" w:lastRow="0" w:firstColumn="0" w:lastColumn="0" w:oddVBand="1" w:evenVBand="0" w:oddHBand="0" w:evenHBand="0" w:firstRowFirstColumn="0" w:firstRowLastColumn="0" w:lastRowFirstColumn="0" w:lastRowLastColumn="0"/>
            <w:tcW w:w="545" w:type="pct"/>
            <w:vAlign w:val="center"/>
          </w:tcPr>
          <w:p w:rsidR="00596204" w:rsidRPr="0019406C" w:rsidRDefault="00596204" w:rsidP="00F94A66">
            <w:pPr>
              <w:jc w:val="center"/>
              <w:rPr>
                <w:rFonts w:asciiTheme="majorHAnsi" w:eastAsia="Cambria" w:hAnsiTheme="majorHAnsi" w:cs="Times New Roman"/>
                <w:lang w:val="lv-LV"/>
              </w:rPr>
            </w:pPr>
            <w:r w:rsidRPr="0019406C">
              <w:rPr>
                <w:rFonts w:asciiTheme="majorHAnsi" w:eastAsia="Cambria" w:hAnsiTheme="majorHAnsi" w:cs="Times New Roman"/>
                <w:lang w:val="lv-LV"/>
              </w:rPr>
              <w:t>21</w:t>
            </w:r>
          </w:p>
        </w:tc>
        <w:tc>
          <w:tcPr>
            <w:tcW w:w="548" w:type="pct"/>
            <w:vAlign w:val="center"/>
          </w:tcPr>
          <w:p w:rsidR="00596204" w:rsidRPr="0019406C" w:rsidRDefault="00596204" w:rsidP="00F94A66">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20</w:t>
            </w:r>
          </w:p>
        </w:tc>
        <w:tc>
          <w:tcPr>
            <w:cnfStyle w:val="000010000000" w:firstRow="0" w:lastRow="0" w:firstColumn="0" w:lastColumn="0" w:oddVBand="1" w:evenVBand="0" w:oddHBand="0" w:evenHBand="0" w:firstRowFirstColumn="0" w:firstRowLastColumn="0" w:lastRowFirstColumn="0" w:lastRowLastColumn="0"/>
            <w:tcW w:w="577" w:type="pct"/>
            <w:vAlign w:val="center"/>
          </w:tcPr>
          <w:p w:rsidR="00596204" w:rsidRPr="0019406C" w:rsidRDefault="00596204" w:rsidP="00F94A66">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w:t>
            </w:r>
          </w:p>
        </w:tc>
        <w:tc>
          <w:tcPr>
            <w:tcW w:w="2682" w:type="pct"/>
          </w:tcPr>
          <w:p w:rsidR="00596204" w:rsidRPr="0019406C" w:rsidRDefault="00596204" w:rsidP="00F94A66">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596204" w:rsidRPr="0019406C" w:rsidTr="00F94A66">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49" w:type="pct"/>
            <w:vAlign w:val="center"/>
          </w:tcPr>
          <w:p w:rsidR="00596204" w:rsidRPr="0019406C" w:rsidRDefault="00596204" w:rsidP="00F94A66">
            <w:pPr>
              <w:rPr>
                <w:rFonts w:asciiTheme="majorHAnsi" w:hAnsiTheme="majorHAnsi"/>
                <w:b w:val="0"/>
                <w:lang w:val="lv-LV"/>
              </w:rPr>
            </w:pPr>
            <w:r w:rsidRPr="0019406C">
              <w:rPr>
                <w:rFonts w:asciiTheme="majorHAnsi" w:hAnsiTheme="majorHAnsi"/>
                <w:b w:val="0"/>
                <w:lang w:val="lv-LV"/>
              </w:rPr>
              <w:t>Čehija</w:t>
            </w:r>
          </w:p>
        </w:tc>
        <w:tc>
          <w:tcPr>
            <w:cnfStyle w:val="000010000000" w:firstRow="0" w:lastRow="0" w:firstColumn="0" w:lastColumn="0" w:oddVBand="1" w:evenVBand="0" w:oddHBand="0" w:evenHBand="0" w:firstRowFirstColumn="0" w:firstRowLastColumn="0" w:lastRowFirstColumn="0" w:lastRowLastColumn="0"/>
            <w:tcW w:w="545" w:type="pct"/>
            <w:vAlign w:val="center"/>
          </w:tcPr>
          <w:p w:rsidR="00596204" w:rsidRPr="0019406C" w:rsidRDefault="00596204" w:rsidP="00F94A66">
            <w:pPr>
              <w:jc w:val="center"/>
              <w:rPr>
                <w:rFonts w:asciiTheme="majorHAnsi" w:eastAsia="Cambria" w:hAnsiTheme="majorHAnsi" w:cs="Times New Roman"/>
                <w:lang w:val="lv-LV"/>
              </w:rPr>
            </w:pPr>
            <w:r w:rsidRPr="0019406C">
              <w:rPr>
                <w:rFonts w:asciiTheme="majorHAnsi" w:eastAsia="Cambria" w:hAnsiTheme="majorHAnsi" w:cs="Times New Roman"/>
                <w:lang w:val="lv-LV"/>
              </w:rPr>
              <w:t>35</w:t>
            </w:r>
          </w:p>
        </w:tc>
        <w:tc>
          <w:tcPr>
            <w:tcW w:w="548" w:type="pct"/>
            <w:vAlign w:val="center"/>
          </w:tcPr>
          <w:p w:rsidR="00596204" w:rsidRPr="0019406C" w:rsidRDefault="00596204" w:rsidP="00F94A66">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29</w:t>
            </w:r>
          </w:p>
        </w:tc>
        <w:tc>
          <w:tcPr>
            <w:cnfStyle w:val="000010000000" w:firstRow="0" w:lastRow="0" w:firstColumn="0" w:lastColumn="0" w:oddVBand="1" w:evenVBand="0" w:oddHBand="0" w:evenHBand="0" w:firstRowFirstColumn="0" w:firstRowLastColumn="0" w:lastRowFirstColumn="0" w:lastRowLastColumn="0"/>
            <w:tcW w:w="577" w:type="pct"/>
            <w:vAlign w:val="center"/>
          </w:tcPr>
          <w:p w:rsidR="00596204" w:rsidRPr="0019406C" w:rsidRDefault="00596204" w:rsidP="00F94A66">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6</w:t>
            </w:r>
          </w:p>
        </w:tc>
        <w:tc>
          <w:tcPr>
            <w:tcW w:w="2682" w:type="pct"/>
          </w:tcPr>
          <w:p w:rsidR="00596204" w:rsidRPr="0019406C" w:rsidRDefault="00596204" w:rsidP="00F94A66">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596204" w:rsidRPr="0019406C" w:rsidTr="00F94A66">
        <w:trPr>
          <w:trHeight w:val="264"/>
        </w:trPr>
        <w:tc>
          <w:tcPr>
            <w:cnfStyle w:val="001000000000" w:firstRow="0" w:lastRow="0" w:firstColumn="1" w:lastColumn="0" w:oddVBand="0" w:evenVBand="0" w:oddHBand="0" w:evenHBand="0" w:firstRowFirstColumn="0" w:firstRowLastColumn="0" w:lastRowFirstColumn="0" w:lastRowLastColumn="0"/>
            <w:tcW w:w="649" w:type="pct"/>
            <w:vAlign w:val="center"/>
          </w:tcPr>
          <w:p w:rsidR="00596204" w:rsidRPr="0019406C" w:rsidRDefault="00596204" w:rsidP="00F94A66">
            <w:pPr>
              <w:rPr>
                <w:rFonts w:asciiTheme="majorHAnsi" w:eastAsia="Cambria" w:hAnsiTheme="majorHAnsi" w:cs="Times New Roman"/>
                <w:b w:val="0"/>
                <w:lang w:val="lv-LV"/>
              </w:rPr>
            </w:pPr>
            <w:r w:rsidRPr="0019406C">
              <w:rPr>
                <w:rFonts w:asciiTheme="majorHAnsi" w:hAnsiTheme="majorHAnsi"/>
                <w:b w:val="0"/>
                <w:lang w:val="lv-LV"/>
              </w:rPr>
              <w:t>Polija</w:t>
            </w:r>
          </w:p>
        </w:tc>
        <w:tc>
          <w:tcPr>
            <w:cnfStyle w:val="000010000000" w:firstRow="0" w:lastRow="0" w:firstColumn="0" w:lastColumn="0" w:oddVBand="1" w:evenVBand="0" w:oddHBand="0" w:evenHBand="0" w:firstRowFirstColumn="0" w:firstRowLastColumn="0" w:lastRowFirstColumn="0" w:lastRowLastColumn="0"/>
            <w:tcW w:w="545" w:type="pct"/>
            <w:vAlign w:val="center"/>
          </w:tcPr>
          <w:p w:rsidR="00596204" w:rsidRPr="0019406C" w:rsidRDefault="00596204" w:rsidP="00F94A66">
            <w:pPr>
              <w:jc w:val="center"/>
              <w:rPr>
                <w:rFonts w:asciiTheme="majorHAnsi" w:eastAsia="Cambria" w:hAnsiTheme="majorHAnsi" w:cs="Times New Roman"/>
                <w:lang w:val="lv-LV"/>
              </w:rPr>
            </w:pPr>
            <w:r w:rsidRPr="0019406C">
              <w:rPr>
                <w:rFonts w:asciiTheme="majorHAnsi" w:eastAsia="Cambria" w:hAnsiTheme="majorHAnsi" w:cs="Times New Roman"/>
                <w:lang w:val="lv-LV"/>
              </w:rPr>
              <w:t>37</w:t>
            </w:r>
          </w:p>
        </w:tc>
        <w:tc>
          <w:tcPr>
            <w:tcW w:w="548" w:type="pct"/>
            <w:vAlign w:val="center"/>
          </w:tcPr>
          <w:p w:rsidR="00596204" w:rsidRPr="0019406C" w:rsidRDefault="00596204" w:rsidP="00F94A66">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37</w:t>
            </w:r>
          </w:p>
        </w:tc>
        <w:tc>
          <w:tcPr>
            <w:cnfStyle w:val="000010000000" w:firstRow="0" w:lastRow="0" w:firstColumn="0" w:lastColumn="0" w:oddVBand="1" w:evenVBand="0" w:oddHBand="0" w:evenHBand="0" w:firstRowFirstColumn="0" w:firstRowLastColumn="0" w:lastRowFirstColumn="0" w:lastRowLastColumn="0"/>
            <w:tcW w:w="577" w:type="pct"/>
            <w:vAlign w:val="center"/>
          </w:tcPr>
          <w:p w:rsidR="00596204" w:rsidRPr="0019406C" w:rsidRDefault="00596204" w:rsidP="00F94A66">
            <w:pPr>
              <w:jc w:val="center"/>
              <w:rPr>
                <w:rFonts w:asciiTheme="majorHAnsi" w:eastAsia="Cambria" w:hAnsiTheme="majorHAnsi" w:cs="Times New Roman"/>
                <w:b/>
                <w:lang w:val="lv-LV"/>
              </w:rPr>
            </w:pPr>
            <w:r w:rsidRPr="0019406C">
              <w:rPr>
                <w:rFonts w:asciiTheme="majorHAnsi" w:eastAsia="Cambria" w:hAnsiTheme="majorHAnsi" w:cs="Times New Roman"/>
                <w:b/>
                <w:lang w:val="lv-LV"/>
              </w:rPr>
              <w:t>-</w:t>
            </w:r>
          </w:p>
        </w:tc>
        <w:tc>
          <w:tcPr>
            <w:tcW w:w="2682" w:type="pct"/>
          </w:tcPr>
          <w:p w:rsidR="00596204" w:rsidRPr="0019406C" w:rsidRDefault="00596204" w:rsidP="00F94A66">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596204" w:rsidRPr="0019406C" w:rsidTr="00F94A66">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649" w:type="pct"/>
            <w:shd w:val="clear" w:color="auto" w:fill="FFE199" w:themeFill="accent2" w:themeFillTint="66"/>
            <w:vAlign w:val="center"/>
          </w:tcPr>
          <w:p w:rsidR="00596204" w:rsidRPr="0019406C" w:rsidRDefault="00596204" w:rsidP="00F94A66">
            <w:pPr>
              <w:rPr>
                <w:rFonts w:asciiTheme="majorHAnsi" w:eastAsia="Cambria" w:hAnsiTheme="majorHAnsi" w:cs="Times New Roman"/>
                <w:b w:val="0"/>
                <w:lang w:val="lv-LV"/>
              </w:rPr>
            </w:pPr>
            <w:r w:rsidRPr="0019406C">
              <w:rPr>
                <w:rFonts w:asciiTheme="majorHAnsi" w:eastAsia="Cambria" w:hAnsiTheme="majorHAnsi" w:cs="Times New Roman"/>
                <w:b w:val="0"/>
                <w:lang w:val="lv-LV"/>
              </w:rPr>
              <w:t>Latvija</w:t>
            </w:r>
          </w:p>
        </w:tc>
        <w:tc>
          <w:tcPr>
            <w:cnfStyle w:val="000010000000" w:firstRow="0" w:lastRow="0" w:firstColumn="0" w:lastColumn="0" w:oddVBand="1" w:evenVBand="0" w:oddHBand="0" w:evenHBand="0" w:firstRowFirstColumn="0" w:firstRowLastColumn="0" w:lastRowFirstColumn="0" w:lastRowLastColumn="0"/>
            <w:tcW w:w="545" w:type="pct"/>
            <w:shd w:val="clear" w:color="auto" w:fill="FFE199" w:themeFill="accent2" w:themeFillTint="66"/>
            <w:vAlign w:val="center"/>
          </w:tcPr>
          <w:p w:rsidR="00596204" w:rsidRPr="0019406C" w:rsidRDefault="00596204" w:rsidP="00F94A66">
            <w:pPr>
              <w:jc w:val="center"/>
              <w:rPr>
                <w:rFonts w:asciiTheme="majorHAnsi" w:eastAsia="Cambria" w:hAnsiTheme="majorHAnsi" w:cs="Times New Roman"/>
                <w:lang w:val="lv-LV"/>
              </w:rPr>
            </w:pPr>
            <w:r w:rsidRPr="0019406C">
              <w:rPr>
                <w:rFonts w:asciiTheme="majorHAnsi" w:eastAsia="Cambria" w:hAnsiTheme="majorHAnsi" w:cs="Times New Roman"/>
                <w:lang w:val="lv-LV"/>
              </w:rPr>
              <w:t>46</w:t>
            </w:r>
          </w:p>
        </w:tc>
        <w:tc>
          <w:tcPr>
            <w:tcW w:w="548" w:type="pct"/>
            <w:shd w:val="clear" w:color="auto" w:fill="FFE199" w:themeFill="accent2" w:themeFillTint="66"/>
            <w:vAlign w:val="center"/>
          </w:tcPr>
          <w:p w:rsidR="00596204" w:rsidRPr="0019406C" w:rsidRDefault="00596204" w:rsidP="00F94A66">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43</w:t>
            </w:r>
          </w:p>
        </w:tc>
        <w:tc>
          <w:tcPr>
            <w:cnfStyle w:val="000010000000" w:firstRow="0" w:lastRow="0" w:firstColumn="0" w:lastColumn="0" w:oddVBand="1" w:evenVBand="0" w:oddHBand="0" w:evenHBand="0" w:firstRowFirstColumn="0" w:firstRowLastColumn="0" w:lastRowFirstColumn="0" w:lastRowLastColumn="0"/>
            <w:tcW w:w="577" w:type="pct"/>
            <w:shd w:val="clear" w:color="auto" w:fill="FFE199" w:themeFill="accent2" w:themeFillTint="66"/>
            <w:vAlign w:val="center"/>
          </w:tcPr>
          <w:p w:rsidR="00596204" w:rsidRPr="0019406C" w:rsidRDefault="00596204" w:rsidP="00F94A66">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3</w:t>
            </w:r>
          </w:p>
        </w:tc>
        <w:tc>
          <w:tcPr>
            <w:tcW w:w="2682" w:type="pct"/>
            <w:shd w:val="clear" w:color="auto" w:fill="FFE199" w:themeFill="accent2" w:themeFillTint="66"/>
          </w:tcPr>
          <w:p w:rsidR="00596204" w:rsidRPr="0019406C" w:rsidRDefault="00596204" w:rsidP="00F94A66">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596204" w:rsidRPr="0019406C" w:rsidTr="00F94A66">
        <w:trPr>
          <w:trHeight w:val="270"/>
        </w:trPr>
        <w:tc>
          <w:tcPr>
            <w:cnfStyle w:val="001000000000" w:firstRow="0" w:lastRow="0" w:firstColumn="1" w:lastColumn="0" w:oddVBand="0" w:evenVBand="0" w:oddHBand="0" w:evenHBand="0" w:firstRowFirstColumn="0" w:firstRowLastColumn="0" w:lastRowFirstColumn="0" w:lastRowLastColumn="0"/>
            <w:tcW w:w="649" w:type="pct"/>
            <w:vAlign w:val="center"/>
          </w:tcPr>
          <w:p w:rsidR="00596204" w:rsidRPr="0019406C" w:rsidRDefault="00596204" w:rsidP="00F94A66">
            <w:pPr>
              <w:rPr>
                <w:rFonts w:asciiTheme="majorHAnsi" w:eastAsia="Cambria" w:hAnsiTheme="majorHAnsi" w:cs="Times New Roman"/>
                <w:b w:val="0"/>
                <w:lang w:val="lv-LV"/>
              </w:rPr>
            </w:pPr>
            <w:r w:rsidRPr="0019406C">
              <w:rPr>
                <w:rFonts w:asciiTheme="majorHAnsi" w:hAnsiTheme="majorHAnsi"/>
                <w:b w:val="0"/>
                <w:lang w:val="lv-LV"/>
              </w:rPr>
              <w:t xml:space="preserve">Lietuva </w:t>
            </w:r>
          </w:p>
        </w:tc>
        <w:tc>
          <w:tcPr>
            <w:cnfStyle w:val="000010000000" w:firstRow="0" w:lastRow="0" w:firstColumn="0" w:lastColumn="0" w:oddVBand="1" w:evenVBand="0" w:oddHBand="0" w:evenHBand="0" w:firstRowFirstColumn="0" w:firstRowLastColumn="0" w:lastRowFirstColumn="0" w:lastRowLastColumn="0"/>
            <w:tcW w:w="545" w:type="pct"/>
            <w:vAlign w:val="center"/>
          </w:tcPr>
          <w:p w:rsidR="00596204" w:rsidRPr="0019406C" w:rsidRDefault="00596204" w:rsidP="00F94A66">
            <w:pPr>
              <w:jc w:val="center"/>
              <w:rPr>
                <w:rFonts w:asciiTheme="majorHAnsi" w:eastAsia="Cambria" w:hAnsiTheme="majorHAnsi" w:cs="Times New Roman"/>
                <w:lang w:val="lv-LV"/>
              </w:rPr>
            </w:pPr>
            <w:r w:rsidRPr="0019406C">
              <w:rPr>
                <w:rFonts w:asciiTheme="majorHAnsi" w:eastAsia="Cambria" w:hAnsiTheme="majorHAnsi" w:cs="Times New Roman"/>
                <w:lang w:val="lv-LV"/>
              </w:rPr>
              <w:t>43</w:t>
            </w:r>
          </w:p>
        </w:tc>
        <w:tc>
          <w:tcPr>
            <w:tcW w:w="548" w:type="pct"/>
            <w:vAlign w:val="center"/>
          </w:tcPr>
          <w:p w:rsidR="00596204" w:rsidRPr="0019406C" w:rsidRDefault="00596204" w:rsidP="00F94A66">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44</w:t>
            </w:r>
          </w:p>
        </w:tc>
        <w:tc>
          <w:tcPr>
            <w:cnfStyle w:val="000010000000" w:firstRow="0" w:lastRow="0" w:firstColumn="0" w:lastColumn="0" w:oddVBand="1" w:evenVBand="0" w:oddHBand="0" w:evenHBand="0" w:firstRowFirstColumn="0" w:firstRowLastColumn="0" w:lastRowFirstColumn="0" w:lastRowLastColumn="0"/>
            <w:tcW w:w="577" w:type="pct"/>
            <w:vAlign w:val="center"/>
          </w:tcPr>
          <w:p w:rsidR="00596204" w:rsidRPr="0019406C" w:rsidRDefault="00596204" w:rsidP="00F94A66">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w:t>
            </w:r>
          </w:p>
        </w:tc>
        <w:tc>
          <w:tcPr>
            <w:tcW w:w="2682" w:type="pct"/>
          </w:tcPr>
          <w:p w:rsidR="00596204" w:rsidRPr="0019406C" w:rsidRDefault="00596204" w:rsidP="00F94A66">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596204" w:rsidRPr="0019406C" w:rsidTr="00F94A66">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649" w:type="pct"/>
            <w:vAlign w:val="center"/>
          </w:tcPr>
          <w:p w:rsidR="00596204" w:rsidRPr="0019406C" w:rsidRDefault="00596204" w:rsidP="00F94A66">
            <w:pPr>
              <w:rPr>
                <w:rFonts w:asciiTheme="majorHAnsi" w:eastAsia="Cambria" w:hAnsiTheme="majorHAnsi" w:cs="Times New Roman"/>
                <w:b w:val="0"/>
                <w:lang w:val="lv-LV"/>
              </w:rPr>
            </w:pPr>
            <w:r w:rsidRPr="0019406C">
              <w:rPr>
                <w:rFonts w:asciiTheme="majorHAnsi" w:hAnsiTheme="majorHAnsi"/>
                <w:b w:val="0"/>
                <w:lang w:val="lv-LV"/>
              </w:rPr>
              <w:t>Igaunija</w:t>
            </w:r>
          </w:p>
        </w:tc>
        <w:tc>
          <w:tcPr>
            <w:cnfStyle w:val="000010000000" w:firstRow="0" w:lastRow="0" w:firstColumn="0" w:lastColumn="0" w:oddVBand="1" w:evenVBand="0" w:oddHBand="0" w:evenHBand="0" w:firstRowFirstColumn="0" w:firstRowLastColumn="0" w:lastRowFirstColumn="0" w:lastRowLastColumn="0"/>
            <w:tcW w:w="545" w:type="pct"/>
            <w:vAlign w:val="center"/>
          </w:tcPr>
          <w:p w:rsidR="00596204" w:rsidRPr="0019406C" w:rsidRDefault="00596204" w:rsidP="00F94A66">
            <w:pPr>
              <w:jc w:val="center"/>
              <w:rPr>
                <w:rFonts w:asciiTheme="majorHAnsi" w:eastAsia="Cambria" w:hAnsiTheme="majorHAnsi" w:cs="Times New Roman"/>
                <w:lang w:val="lv-LV"/>
              </w:rPr>
            </w:pPr>
            <w:r w:rsidRPr="0019406C">
              <w:rPr>
                <w:rFonts w:asciiTheme="majorHAnsi" w:eastAsia="Cambria" w:hAnsiTheme="majorHAnsi" w:cs="Times New Roman"/>
                <w:lang w:val="lv-LV"/>
              </w:rPr>
              <w:t>70</w:t>
            </w:r>
          </w:p>
        </w:tc>
        <w:tc>
          <w:tcPr>
            <w:tcW w:w="548" w:type="pct"/>
            <w:vAlign w:val="center"/>
          </w:tcPr>
          <w:p w:rsidR="00596204" w:rsidRPr="0019406C" w:rsidRDefault="00596204" w:rsidP="00F94A66">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66</w:t>
            </w:r>
          </w:p>
        </w:tc>
        <w:tc>
          <w:tcPr>
            <w:cnfStyle w:val="000010000000" w:firstRow="0" w:lastRow="0" w:firstColumn="0" w:lastColumn="0" w:oddVBand="1" w:evenVBand="0" w:oddHBand="0" w:evenHBand="0" w:firstRowFirstColumn="0" w:firstRowLastColumn="0" w:lastRowFirstColumn="0" w:lastRowLastColumn="0"/>
            <w:tcW w:w="577" w:type="pct"/>
            <w:vAlign w:val="center"/>
          </w:tcPr>
          <w:p w:rsidR="00596204" w:rsidRPr="0019406C" w:rsidRDefault="00596204" w:rsidP="00F94A66">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4</w:t>
            </w:r>
          </w:p>
        </w:tc>
        <w:tc>
          <w:tcPr>
            <w:tcW w:w="2682" w:type="pct"/>
          </w:tcPr>
          <w:p w:rsidR="00596204" w:rsidRPr="0019406C" w:rsidRDefault="00596204" w:rsidP="00F94A66">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bl>
    <w:p w:rsidR="00596204" w:rsidRPr="0019406C" w:rsidRDefault="00596204" w:rsidP="00596204">
      <w:pPr>
        <w:pStyle w:val="BodyText"/>
        <w:rPr>
          <w:rFonts w:asciiTheme="majorHAnsi" w:hAnsiTheme="majorHAnsi"/>
          <w:lang w:val="lv-LV"/>
        </w:rPr>
      </w:pPr>
    </w:p>
    <w:p w:rsidR="00596204" w:rsidRPr="0019406C" w:rsidRDefault="00596204" w:rsidP="006B022F">
      <w:pPr>
        <w:pStyle w:val="BodyText"/>
        <w:spacing w:line="276" w:lineRule="auto"/>
        <w:jc w:val="both"/>
        <w:rPr>
          <w:rFonts w:asciiTheme="majorHAnsi" w:hAnsiTheme="majorHAnsi"/>
          <w:lang w:val="lv-LV"/>
        </w:rPr>
      </w:pPr>
      <w:r w:rsidRPr="0019406C">
        <w:rPr>
          <w:rFonts w:asciiTheme="majorHAnsi" w:hAnsiTheme="majorHAnsi"/>
          <w:lang w:val="lv-LV"/>
        </w:rPr>
        <w:t xml:space="preserve">Uzņēmējdarbības izbeigšanu DB vērtē pēc četriem kritērijiem, kas ir nepieciešamais laiks, izmaksas, iznākums un ieguldījuma atgūtā daļa. </w:t>
      </w:r>
    </w:p>
    <w:p w:rsidR="00811CA0" w:rsidRPr="0019406C" w:rsidRDefault="00811CA0" w:rsidP="006B022F">
      <w:pPr>
        <w:pStyle w:val="BodyText"/>
        <w:spacing w:line="276" w:lineRule="auto"/>
        <w:jc w:val="both"/>
        <w:rPr>
          <w:rFonts w:asciiTheme="majorHAnsi" w:hAnsiTheme="majorHAnsi"/>
          <w:lang w:val="lv-LV"/>
        </w:rPr>
      </w:pPr>
    </w:p>
    <w:p w:rsidR="00811CA0" w:rsidRPr="0019406C" w:rsidRDefault="00811CA0" w:rsidP="006B022F">
      <w:pPr>
        <w:pStyle w:val="BodyText"/>
        <w:spacing w:line="276" w:lineRule="auto"/>
        <w:jc w:val="both"/>
        <w:rPr>
          <w:rFonts w:asciiTheme="majorHAnsi" w:hAnsiTheme="majorHAnsi"/>
          <w:lang w:val="lv-LV"/>
        </w:rPr>
      </w:pPr>
    </w:p>
    <w:p w:rsidR="00811CA0" w:rsidRPr="0019406C" w:rsidRDefault="00811CA0" w:rsidP="006B022F">
      <w:pPr>
        <w:pStyle w:val="BodyText"/>
        <w:spacing w:line="276" w:lineRule="auto"/>
        <w:jc w:val="both"/>
        <w:rPr>
          <w:rFonts w:asciiTheme="majorHAnsi" w:hAnsiTheme="majorHAnsi"/>
          <w:lang w:val="lv-LV"/>
        </w:rPr>
      </w:pPr>
    </w:p>
    <w:p w:rsidR="00596204" w:rsidRPr="0019406C" w:rsidRDefault="00596204" w:rsidP="00596204">
      <w:pPr>
        <w:pStyle w:val="Caption"/>
        <w:keepNext/>
        <w:rPr>
          <w:rFonts w:asciiTheme="majorHAnsi" w:hAnsiTheme="majorHAnsi"/>
          <w:sz w:val="16"/>
          <w:lang w:val="lv-LV"/>
        </w:rPr>
      </w:pPr>
      <w:bookmarkStart w:id="115" w:name="_Toc381343987"/>
      <w:bookmarkStart w:id="116" w:name="_Toc389225097"/>
      <w:r w:rsidRPr="0019406C">
        <w:rPr>
          <w:rFonts w:asciiTheme="majorHAnsi" w:hAnsiTheme="majorHAnsi"/>
          <w:sz w:val="16"/>
          <w:lang w:val="lv-LV"/>
        </w:rPr>
        <w:t xml:space="preserve">Tabula </w:t>
      </w:r>
      <w:r w:rsidRPr="0019406C">
        <w:rPr>
          <w:rFonts w:asciiTheme="majorHAnsi" w:hAnsiTheme="majorHAnsi"/>
          <w:sz w:val="16"/>
          <w:lang w:val="lv-LV"/>
        </w:rPr>
        <w:fldChar w:fldCharType="begin"/>
      </w:r>
      <w:r w:rsidRPr="0019406C">
        <w:rPr>
          <w:rFonts w:asciiTheme="majorHAnsi" w:hAnsiTheme="majorHAnsi"/>
          <w:sz w:val="16"/>
          <w:lang w:val="lv-LV"/>
        </w:rPr>
        <w:instrText xml:space="preserve"> SEQ Tabula \* ARABIC </w:instrText>
      </w:r>
      <w:r w:rsidRPr="0019406C">
        <w:rPr>
          <w:rFonts w:asciiTheme="majorHAnsi" w:hAnsiTheme="majorHAnsi"/>
          <w:sz w:val="16"/>
          <w:lang w:val="lv-LV"/>
        </w:rPr>
        <w:fldChar w:fldCharType="separate"/>
      </w:r>
      <w:r w:rsidR="00410806" w:rsidRPr="0019406C">
        <w:rPr>
          <w:rFonts w:asciiTheme="majorHAnsi" w:hAnsiTheme="majorHAnsi"/>
          <w:noProof/>
          <w:sz w:val="16"/>
          <w:lang w:val="lv-LV"/>
        </w:rPr>
        <w:t>23</w:t>
      </w:r>
      <w:r w:rsidRPr="0019406C">
        <w:rPr>
          <w:rFonts w:asciiTheme="majorHAnsi" w:hAnsiTheme="majorHAnsi"/>
          <w:sz w:val="16"/>
          <w:lang w:val="lv-LV"/>
        </w:rPr>
        <w:fldChar w:fldCharType="end"/>
      </w:r>
      <w:r w:rsidRPr="0019406C">
        <w:rPr>
          <w:rFonts w:asciiTheme="majorHAnsi" w:hAnsiTheme="majorHAnsi"/>
          <w:sz w:val="16"/>
          <w:lang w:val="lv-LV"/>
        </w:rPr>
        <w:t xml:space="preserve"> Uzņēmējdarbības izbeigšanas ilguma salīdzinājums</w:t>
      </w:r>
      <w:bookmarkEnd w:id="115"/>
      <w:bookmarkEnd w:id="116"/>
    </w:p>
    <w:tbl>
      <w:tblPr>
        <w:tblStyle w:val="LightList-Accent11"/>
        <w:tblW w:w="5013" w:type="pct"/>
        <w:tblBorders>
          <w:insideH w:val="single" w:sz="8" w:space="0" w:color="DC6900" w:themeColor="accent1"/>
          <w:insideV w:val="single" w:sz="8" w:space="0" w:color="DC6900" w:themeColor="accent1"/>
        </w:tblBorders>
        <w:tblLook w:val="04A0" w:firstRow="1" w:lastRow="0" w:firstColumn="1" w:lastColumn="0" w:noHBand="0" w:noVBand="1"/>
      </w:tblPr>
      <w:tblGrid>
        <w:gridCol w:w="1785"/>
        <w:gridCol w:w="1231"/>
        <w:gridCol w:w="1237"/>
        <w:gridCol w:w="919"/>
        <w:gridCol w:w="1099"/>
        <w:gridCol w:w="955"/>
        <w:gridCol w:w="1008"/>
        <w:gridCol w:w="850"/>
        <w:gridCol w:w="1022"/>
      </w:tblGrid>
      <w:tr w:rsidR="00596204" w:rsidRPr="0019406C" w:rsidTr="00F94A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3" w:type="pct"/>
          </w:tcPr>
          <w:p w:rsidR="00596204" w:rsidRPr="0019406C" w:rsidRDefault="00596204" w:rsidP="00F94A66">
            <w:pPr>
              <w:rPr>
                <w:rFonts w:asciiTheme="majorHAnsi" w:eastAsia="Cambria" w:hAnsiTheme="majorHAnsi" w:cs="Times New Roman"/>
                <w:lang w:val="lv-LV"/>
              </w:rPr>
            </w:pPr>
            <w:r w:rsidRPr="0019406C">
              <w:rPr>
                <w:rFonts w:asciiTheme="majorHAnsi" w:eastAsia="Cambria" w:hAnsiTheme="majorHAnsi" w:cs="Times New Roman"/>
                <w:lang w:val="lv-LV"/>
              </w:rPr>
              <w:t>Rādītājs</w:t>
            </w:r>
          </w:p>
        </w:tc>
        <w:tc>
          <w:tcPr>
            <w:tcW w:w="619" w:type="pct"/>
          </w:tcPr>
          <w:p w:rsidR="00596204" w:rsidRPr="0019406C" w:rsidRDefault="00742A74" w:rsidP="00F94A66">
            <w:pPr>
              <w:pStyle w:val="BodyText"/>
              <w:cnfStyle w:val="100000000000" w:firstRow="1"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Latvija DB2013</w:t>
            </w:r>
          </w:p>
        </w:tc>
        <w:tc>
          <w:tcPr>
            <w:tcW w:w="622" w:type="pct"/>
          </w:tcPr>
          <w:p w:rsidR="00596204" w:rsidRPr="0019406C" w:rsidRDefault="00596204" w:rsidP="00F94A66">
            <w:pPr>
              <w:pStyle w:val="BodyText"/>
              <w:cnfStyle w:val="100000000000" w:firstRow="1"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 xml:space="preserve">Latvija </w:t>
            </w:r>
            <w:r w:rsidR="00742A74" w:rsidRPr="0019406C">
              <w:rPr>
                <w:rFonts w:asciiTheme="majorHAnsi" w:hAnsiTheme="majorHAnsi"/>
                <w:lang w:val="lv-LV"/>
              </w:rPr>
              <w:t>DB2014</w:t>
            </w:r>
          </w:p>
        </w:tc>
        <w:tc>
          <w:tcPr>
            <w:tcW w:w="464" w:type="pct"/>
            <w:vAlign w:val="center"/>
          </w:tcPr>
          <w:p w:rsidR="00596204" w:rsidRPr="0019406C" w:rsidRDefault="00596204" w:rsidP="00F94A66">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Dānija</w:t>
            </w:r>
          </w:p>
        </w:tc>
        <w:tc>
          <w:tcPr>
            <w:tcW w:w="553" w:type="pct"/>
            <w:vAlign w:val="center"/>
          </w:tcPr>
          <w:p w:rsidR="00596204" w:rsidRPr="0019406C" w:rsidRDefault="00596204" w:rsidP="00F94A66">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Igaunija</w:t>
            </w:r>
          </w:p>
        </w:tc>
        <w:tc>
          <w:tcPr>
            <w:tcW w:w="482" w:type="pct"/>
            <w:vAlign w:val="center"/>
          </w:tcPr>
          <w:p w:rsidR="00596204" w:rsidRPr="0019406C" w:rsidRDefault="00596204" w:rsidP="00F94A66">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Somija</w:t>
            </w:r>
          </w:p>
        </w:tc>
        <w:tc>
          <w:tcPr>
            <w:tcW w:w="508" w:type="pct"/>
            <w:vAlign w:val="center"/>
          </w:tcPr>
          <w:p w:rsidR="00596204" w:rsidRPr="0019406C" w:rsidRDefault="00596204" w:rsidP="00F94A66">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Lietuva</w:t>
            </w:r>
          </w:p>
        </w:tc>
        <w:tc>
          <w:tcPr>
            <w:tcW w:w="430" w:type="pct"/>
            <w:vAlign w:val="center"/>
          </w:tcPr>
          <w:p w:rsidR="00596204" w:rsidRPr="0019406C" w:rsidRDefault="00596204" w:rsidP="00F94A66">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OECD</w:t>
            </w:r>
          </w:p>
        </w:tc>
        <w:tc>
          <w:tcPr>
            <w:tcW w:w="430" w:type="pct"/>
            <w:vAlign w:val="center"/>
          </w:tcPr>
          <w:p w:rsidR="00596204" w:rsidRPr="0019406C" w:rsidRDefault="00596204" w:rsidP="00F94A66">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Aptauja</w:t>
            </w:r>
          </w:p>
        </w:tc>
      </w:tr>
      <w:tr w:rsidR="00596204" w:rsidRPr="0019406C" w:rsidTr="00F94A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3" w:type="pct"/>
          </w:tcPr>
          <w:p w:rsidR="00596204" w:rsidRPr="0019406C" w:rsidRDefault="00596204" w:rsidP="00F94A66">
            <w:pPr>
              <w:pStyle w:val="BodyText"/>
              <w:rPr>
                <w:rFonts w:asciiTheme="majorHAnsi" w:hAnsiTheme="majorHAnsi"/>
                <w:b w:val="0"/>
                <w:lang w:val="lv-LV"/>
              </w:rPr>
            </w:pPr>
            <w:r w:rsidRPr="0019406C">
              <w:rPr>
                <w:rFonts w:asciiTheme="majorHAnsi" w:hAnsiTheme="majorHAnsi"/>
                <w:b w:val="0"/>
                <w:lang w:val="lv-LV"/>
              </w:rPr>
              <w:lastRenderedPageBreak/>
              <w:t>Laiks, kas nepieciešams uzņēmējdarbības izbeigšanai, gados</w:t>
            </w:r>
          </w:p>
        </w:tc>
        <w:tc>
          <w:tcPr>
            <w:tcW w:w="619" w:type="pct"/>
            <w:vAlign w:val="center"/>
          </w:tcPr>
          <w:p w:rsidR="00596204" w:rsidRPr="0019406C" w:rsidRDefault="00596204" w:rsidP="00036416">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1</w:t>
            </w:r>
            <w:r w:rsidR="00036416" w:rsidRPr="0019406C">
              <w:rPr>
                <w:rFonts w:asciiTheme="majorHAnsi" w:hAnsiTheme="majorHAnsi"/>
                <w:lang w:val="lv-LV"/>
              </w:rPr>
              <w:t>,</w:t>
            </w:r>
            <w:r w:rsidRPr="0019406C">
              <w:rPr>
                <w:rFonts w:asciiTheme="majorHAnsi" w:hAnsiTheme="majorHAnsi"/>
                <w:lang w:val="lv-LV"/>
              </w:rPr>
              <w:t>5</w:t>
            </w:r>
          </w:p>
        </w:tc>
        <w:tc>
          <w:tcPr>
            <w:tcW w:w="622" w:type="pct"/>
            <w:vAlign w:val="center"/>
          </w:tcPr>
          <w:p w:rsidR="00596204" w:rsidRPr="0019406C" w:rsidRDefault="00596204" w:rsidP="00036416">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1</w:t>
            </w:r>
            <w:r w:rsidR="00036416" w:rsidRPr="0019406C">
              <w:rPr>
                <w:rFonts w:asciiTheme="majorHAnsi" w:hAnsiTheme="majorHAnsi"/>
                <w:lang w:val="lv-LV"/>
              </w:rPr>
              <w:t>,</w:t>
            </w:r>
            <w:r w:rsidRPr="0019406C">
              <w:rPr>
                <w:rFonts w:asciiTheme="majorHAnsi" w:hAnsiTheme="majorHAnsi"/>
                <w:lang w:val="lv-LV"/>
              </w:rPr>
              <w:t>5</w:t>
            </w:r>
          </w:p>
        </w:tc>
        <w:tc>
          <w:tcPr>
            <w:tcW w:w="464" w:type="pct"/>
            <w:vAlign w:val="center"/>
          </w:tcPr>
          <w:p w:rsidR="00596204" w:rsidRPr="0019406C" w:rsidRDefault="00596204" w:rsidP="00F94A66">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1</w:t>
            </w:r>
          </w:p>
        </w:tc>
        <w:tc>
          <w:tcPr>
            <w:tcW w:w="553" w:type="pct"/>
            <w:vAlign w:val="center"/>
          </w:tcPr>
          <w:p w:rsidR="00596204" w:rsidRPr="0019406C" w:rsidRDefault="00596204" w:rsidP="00F94A66">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3</w:t>
            </w:r>
          </w:p>
        </w:tc>
        <w:tc>
          <w:tcPr>
            <w:tcW w:w="482" w:type="pct"/>
            <w:vAlign w:val="center"/>
          </w:tcPr>
          <w:p w:rsidR="00596204" w:rsidRPr="0019406C" w:rsidRDefault="00596204" w:rsidP="00036416">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0</w:t>
            </w:r>
            <w:r w:rsidR="00036416" w:rsidRPr="0019406C">
              <w:rPr>
                <w:rFonts w:asciiTheme="majorHAnsi" w:hAnsiTheme="majorHAnsi"/>
                <w:lang w:val="lv-LV"/>
              </w:rPr>
              <w:t>,</w:t>
            </w:r>
            <w:r w:rsidRPr="0019406C">
              <w:rPr>
                <w:rFonts w:asciiTheme="majorHAnsi" w:hAnsiTheme="majorHAnsi"/>
                <w:lang w:val="lv-LV"/>
              </w:rPr>
              <w:t>9</w:t>
            </w:r>
          </w:p>
        </w:tc>
        <w:tc>
          <w:tcPr>
            <w:tcW w:w="508" w:type="pct"/>
            <w:vAlign w:val="center"/>
          </w:tcPr>
          <w:p w:rsidR="00596204" w:rsidRPr="0019406C" w:rsidRDefault="00596204" w:rsidP="00036416">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1</w:t>
            </w:r>
            <w:r w:rsidR="00036416" w:rsidRPr="0019406C">
              <w:rPr>
                <w:rFonts w:asciiTheme="majorHAnsi" w:hAnsiTheme="majorHAnsi"/>
                <w:lang w:val="lv-LV"/>
              </w:rPr>
              <w:t>,</w:t>
            </w:r>
            <w:r w:rsidRPr="0019406C">
              <w:rPr>
                <w:rFonts w:asciiTheme="majorHAnsi" w:hAnsiTheme="majorHAnsi"/>
                <w:lang w:val="lv-LV"/>
              </w:rPr>
              <w:t>9</w:t>
            </w:r>
          </w:p>
        </w:tc>
        <w:tc>
          <w:tcPr>
            <w:tcW w:w="430" w:type="pct"/>
            <w:vAlign w:val="center"/>
          </w:tcPr>
          <w:p w:rsidR="00596204" w:rsidRPr="0019406C" w:rsidRDefault="00596204" w:rsidP="00036416">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1</w:t>
            </w:r>
            <w:r w:rsidR="00036416" w:rsidRPr="0019406C">
              <w:rPr>
                <w:rFonts w:asciiTheme="majorHAnsi" w:hAnsiTheme="majorHAnsi"/>
                <w:lang w:val="lv-LV"/>
              </w:rPr>
              <w:t>,</w:t>
            </w:r>
            <w:r w:rsidRPr="0019406C">
              <w:rPr>
                <w:rFonts w:asciiTheme="majorHAnsi" w:hAnsiTheme="majorHAnsi"/>
                <w:lang w:val="lv-LV"/>
              </w:rPr>
              <w:t>7</w:t>
            </w:r>
          </w:p>
        </w:tc>
        <w:tc>
          <w:tcPr>
            <w:tcW w:w="430" w:type="pct"/>
            <w:vAlign w:val="center"/>
          </w:tcPr>
          <w:p w:rsidR="00596204" w:rsidRPr="0019406C" w:rsidRDefault="00596204" w:rsidP="00036416">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highlight w:val="yellow"/>
                <w:lang w:val="lv-LV"/>
              </w:rPr>
            </w:pPr>
            <w:r w:rsidRPr="0019406C">
              <w:rPr>
                <w:rFonts w:asciiTheme="majorHAnsi" w:hAnsiTheme="majorHAnsi"/>
                <w:lang w:val="lv-LV"/>
              </w:rPr>
              <w:t>0</w:t>
            </w:r>
            <w:r w:rsidR="00036416" w:rsidRPr="0019406C">
              <w:rPr>
                <w:rFonts w:asciiTheme="majorHAnsi" w:hAnsiTheme="majorHAnsi"/>
                <w:lang w:val="lv-LV"/>
              </w:rPr>
              <w:t>,</w:t>
            </w:r>
            <w:r w:rsidR="003E2F91" w:rsidRPr="0019406C">
              <w:rPr>
                <w:rFonts w:asciiTheme="majorHAnsi" w:hAnsiTheme="majorHAnsi"/>
                <w:lang w:val="lv-LV"/>
              </w:rPr>
              <w:t>4</w:t>
            </w:r>
          </w:p>
        </w:tc>
      </w:tr>
      <w:tr w:rsidR="00596204" w:rsidRPr="0019406C" w:rsidTr="00F94A66">
        <w:tc>
          <w:tcPr>
            <w:cnfStyle w:val="001000000000" w:firstRow="0" w:lastRow="0" w:firstColumn="1" w:lastColumn="0" w:oddVBand="0" w:evenVBand="0" w:oddHBand="0" w:evenHBand="0" w:firstRowFirstColumn="0" w:firstRowLastColumn="0" w:lastRowFirstColumn="0" w:lastRowLastColumn="0"/>
            <w:tcW w:w="893" w:type="pct"/>
          </w:tcPr>
          <w:p w:rsidR="00596204" w:rsidRPr="0019406C" w:rsidRDefault="0072729F" w:rsidP="00F94A66">
            <w:pPr>
              <w:pStyle w:val="BodyText"/>
              <w:rPr>
                <w:rFonts w:asciiTheme="majorHAnsi" w:hAnsiTheme="majorHAnsi"/>
                <w:b w:val="0"/>
                <w:lang w:val="lv-LV"/>
              </w:rPr>
            </w:pPr>
            <w:r w:rsidRPr="0019406C">
              <w:rPr>
                <w:rFonts w:asciiTheme="majorHAnsi" w:hAnsiTheme="majorHAnsi"/>
                <w:b w:val="0"/>
                <w:lang w:val="lv-LV"/>
              </w:rPr>
              <w:t>Izmaksas</w:t>
            </w:r>
            <w:r w:rsidR="00596204" w:rsidRPr="0019406C">
              <w:rPr>
                <w:rFonts w:asciiTheme="majorHAnsi" w:hAnsiTheme="majorHAnsi"/>
                <w:b w:val="0"/>
                <w:lang w:val="lv-LV"/>
              </w:rPr>
              <w:t>, % no aktīvu vērtības</w:t>
            </w:r>
          </w:p>
        </w:tc>
        <w:tc>
          <w:tcPr>
            <w:tcW w:w="619" w:type="pct"/>
            <w:vAlign w:val="center"/>
          </w:tcPr>
          <w:p w:rsidR="00596204" w:rsidRPr="0019406C" w:rsidRDefault="00596204" w:rsidP="00F94A66">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10</w:t>
            </w:r>
          </w:p>
        </w:tc>
        <w:tc>
          <w:tcPr>
            <w:tcW w:w="622" w:type="pct"/>
            <w:vAlign w:val="center"/>
          </w:tcPr>
          <w:p w:rsidR="00596204" w:rsidRPr="0019406C" w:rsidRDefault="00596204" w:rsidP="00F94A66">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10</w:t>
            </w:r>
          </w:p>
        </w:tc>
        <w:tc>
          <w:tcPr>
            <w:tcW w:w="464" w:type="pct"/>
            <w:vAlign w:val="center"/>
          </w:tcPr>
          <w:p w:rsidR="00596204" w:rsidRPr="0019406C" w:rsidRDefault="00596204" w:rsidP="00F94A66">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4</w:t>
            </w:r>
          </w:p>
        </w:tc>
        <w:tc>
          <w:tcPr>
            <w:tcW w:w="553" w:type="pct"/>
            <w:vAlign w:val="center"/>
          </w:tcPr>
          <w:p w:rsidR="00596204" w:rsidRPr="0019406C" w:rsidRDefault="00596204" w:rsidP="00F94A66">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9</w:t>
            </w:r>
          </w:p>
        </w:tc>
        <w:tc>
          <w:tcPr>
            <w:tcW w:w="482" w:type="pct"/>
            <w:vAlign w:val="center"/>
          </w:tcPr>
          <w:p w:rsidR="00596204" w:rsidRPr="0019406C" w:rsidRDefault="00596204" w:rsidP="00F94A66">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4</w:t>
            </w:r>
          </w:p>
        </w:tc>
        <w:tc>
          <w:tcPr>
            <w:tcW w:w="508" w:type="pct"/>
            <w:vAlign w:val="center"/>
          </w:tcPr>
          <w:p w:rsidR="00596204" w:rsidRPr="0019406C" w:rsidRDefault="00596204" w:rsidP="00F94A66">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7</w:t>
            </w:r>
          </w:p>
        </w:tc>
        <w:tc>
          <w:tcPr>
            <w:tcW w:w="430" w:type="pct"/>
            <w:vAlign w:val="center"/>
          </w:tcPr>
          <w:p w:rsidR="00596204" w:rsidRPr="0019406C" w:rsidRDefault="00596204" w:rsidP="00F94A66">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9</w:t>
            </w:r>
          </w:p>
        </w:tc>
        <w:tc>
          <w:tcPr>
            <w:tcW w:w="430" w:type="pct"/>
            <w:vAlign w:val="center"/>
          </w:tcPr>
          <w:p w:rsidR="00596204" w:rsidRPr="0019406C" w:rsidRDefault="00596204" w:rsidP="00F94A66">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w:t>
            </w:r>
          </w:p>
        </w:tc>
      </w:tr>
      <w:tr w:rsidR="00596204" w:rsidRPr="0019406C" w:rsidTr="00F94A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3" w:type="pct"/>
          </w:tcPr>
          <w:p w:rsidR="00596204" w:rsidRPr="0019406C" w:rsidRDefault="00596204" w:rsidP="00F94A66">
            <w:pPr>
              <w:pStyle w:val="BodyText"/>
              <w:rPr>
                <w:rFonts w:asciiTheme="majorHAnsi" w:hAnsiTheme="majorHAnsi"/>
                <w:b w:val="0"/>
                <w:lang w:val="lv-LV"/>
              </w:rPr>
            </w:pPr>
            <w:r w:rsidRPr="0019406C">
              <w:rPr>
                <w:rFonts w:asciiTheme="majorHAnsi" w:hAnsiTheme="majorHAnsi"/>
                <w:b w:val="0"/>
                <w:lang w:val="lv-LV"/>
              </w:rPr>
              <w:t>Iznākums, kur 1 – uzņēmuma turpināšanās, 0 – aktīvu pārdošana</w:t>
            </w:r>
          </w:p>
        </w:tc>
        <w:tc>
          <w:tcPr>
            <w:tcW w:w="619" w:type="pct"/>
            <w:vAlign w:val="center"/>
          </w:tcPr>
          <w:p w:rsidR="00596204" w:rsidRPr="0019406C" w:rsidRDefault="00596204" w:rsidP="00F94A66">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0</w:t>
            </w:r>
          </w:p>
        </w:tc>
        <w:tc>
          <w:tcPr>
            <w:tcW w:w="622" w:type="pct"/>
            <w:vAlign w:val="center"/>
          </w:tcPr>
          <w:p w:rsidR="00596204" w:rsidRPr="0019406C" w:rsidRDefault="00596204" w:rsidP="00F94A66">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0</w:t>
            </w:r>
          </w:p>
        </w:tc>
        <w:tc>
          <w:tcPr>
            <w:tcW w:w="464" w:type="pct"/>
            <w:vAlign w:val="center"/>
          </w:tcPr>
          <w:p w:rsidR="00596204" w:rsidRPr="0019406C" w:rsidRDefault="00596204" w:rsidP="00F94A66">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1</w:t>
            </w:r>
          </w:p>
        </w:tc>
        <w:tc>
          <w:tcPr>
            <w:tcW w:w="553" w:type="pct"/>
            <w:vAlign w:val="center"/>
          </w:tcPr>
          <w:p w:rsidR="00596204" w:rsidRPr="0019406C" w:rsidRDefault="00596204" w:rsidP="00F94A66">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0</w:t>
            </w:r>
          </w:p>
        </w:tc>
        <w:tc>
          <w:tcPr>
            <w:tcW w:w="482" w:type="pct"/>
            <w:vAlign w:val="center"/>
          </w:tcPr>
          <w:p w:rsidR="00596204" w:rsidRPr="0019406C" w:rsidRDefault="00596204" w:rsidP="00F94A66">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1</w:t>
            </w:r>
          </w:p>
        </w:tc>
        <w:tc>
          <w:tcPr>
            <w:tcW w:w="508" w:type="pct"/>
            <w:vAlign w:val="center"/>
          </w:tcPr>
          <w:p w:rsidR="00596204" w:rsidRPr="0019406C" w:rsidRDefault="00596204" w:rsidP="00F94A66">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0</w:t>
            </w:r>
          </w:p>
        </w:tc>
        <w:tc>
          <w:tcPr>
            <w:tcW w:w="430" w:type="pct"/>
            <w:vAlign w:val="center"/>
          </w:tcPr>
          <w:p w:rsidR="00596204" w:rsidRPr="0019406C" w:rsidRDefault="00596204" w:rsidP="00F94A66">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1</w:t>
            </w:r>
          </w:p>
        </w:tc>
        <w:tc>
          <w:tcPr>
            <w:tcW w:w="430" w:type="pct"/>
            <w:vAlign w:val="center"/>
          </w:tcPr>
          <w:p w:rsidR="00596204" w:rsidRPr="0019406C" w:rsidRDefault="00596204" w:rsidP="00F94A66">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w:t>
            </w:r>
          </w:p>
        </w:tc>
      </w:tr>
      <w:tr w:rsidR="00596204" w:rsidRPr="0019406C" w:rsidTr="00F94A66">
        <w:tc>
          <w:tcPr>
            <w:cnfStyle w:val="001000000000" w:firstRow="0" w:lastRow="0" w:firstColumn="1" w:lastColumn="0" w:oddVBand="0" w:evenVBand="0" w:oddHBand="0" w:evenHBand="0" w:firstRowFirstColumn="0" w:firstRowLastColumn="0" w:lastRowFirstColumn="0" w:lastRowLastColumn="0"/>
            <w:tcW w:w="893" w:type="pct"/>
          </w:tcPr>
          <w:p w:rsidR="00596204" w:rsidRPr="0019406C" w:rsidRDefault="00596204" w:rsidP="00F94A66">
            <w:pPr>
              <w:pStyle w:val="BodyText"/>
              <w:rPr>
                <w:rFonts w:asciiTheme="majorHAnsi" w:hAnsiTheme="majorHAnsi"/>
                <w:b w:val="0"/>
                <w:lang w:val="lv-LV"/>
              </w:rPr>
            </w:pPr>
            <w:r w:rsidRPr="0019406C">
              <w:rPr>
                <w:rFonts w:asciiTheme="majorHAnsi" w:hAnsiTheme="majorHAnsi"/>
                <w:b w:val="0"/>
                <w:lang w:val="lv-LV"/>
              </w:rPr>
              <w:t>Ieguldījuma atgūtā daļa, % no ieguldījuma</w:t>
            </w:r>
          </w:p>
        </w:tc>
        <w:tc>
          <w:tcPr>
            <w:tcW w:w="619" w:type="pct"/>
            <w:vAlign w:val="center"/>
          </w:tcPr>
          <w:p w:rsidR="00596204" w:rsidRPr="0019406C" w:rsidRDefault="00036416" w:rsidP="00F94A66">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47,</w:t>
            </w:r>
            <w:r w:rsidR="00596204" w:rsidRPr="0019406C">
              <w:rPr>
                <w:rFonts w:asciiTheme="majorHAnsi" w:hAnsiTheme="majorHAnsi"/>
                <w:lang w:val="lv-LV"/>
              </w:rPr>
              <w:t>8</w:t>
            </w:r>
          </w:p>
        </w:tc>
        <w:tc>
          <w:tcPr>
            <w:tcW w:w="622" w:type="pct"/>
            <w:vAlign w:val="center"/>
          </w:tcPr>
          <w:p w:rsidR="00596204" w:rsidRPr="0019406C" w:rsidRDefault="00596204" w:rsidP="00036416">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48</w:t>
            </w:r>
            <w:r w:rsidR="00036416" w:rsidRPr="0019406C">
              <w:rPr>
                <w:rFonts w:asciiTheme="majorHAnsi" w:hAnsiTheme="majorHAnsi"/>
                <w:lang w:val="lv-LV"/>
              </w:rPr>
              <w:t>,</w:t>
            </w:r>
            <w:r w:rsidRPr="0019406C">
              <w:rPr>
                <w:rFonts w:asciiTheme="majorHAnsi" w:hAnsiTheme="majorHAnsi"/>
                <w:lang w:val="lv-LV"/>
              </w:rPr>
              <w:t>4</w:t>
            </w:r>
          </w:p>
        </w:tc>
        <w:tc>
          <w:tcPr>
            <w:tcW w:w="464" w:type="pct"/>
            <w:vAlign w:val="center"/>
          </w:tcPr>
          <w:p w:rsidR="00596204" w:rsidRPr="0019406C" w:rsidRDefault="00596204" w:rsidP="00F94A66">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87</w:t>
            </w:r>
          </w:p>
        </w:tc>
        <w:tc>
          <w:tcPr>
            <w:tcW w:w="553" w:type="pct"/>
            <w:vAlign w:val="center"/>
          </w:tcPr>
          <w:p w:rsidR="00596204" w:rsidRPr="0019406C" w:rsidRDefault="00596204" w:rsidP="00036416">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38</w:t>
            </w:r>
            <w:r w:rsidR="00036416" w:rsidRPr="0019406C">
              <w:rPr>
                <w:rFonts w:asciiTheme="majorHAnsi" w:hAnsiTheme="majorHAnsi"/>
                <w:lang w:val="lv-LV"/>
              </w:rPr>
              <w:t>,</w:t>
            </w:r>
            <w:r w:rsidRPr="0019406C">
              <w:rPr>
                <w:rFonts w:asciiTheme="majorHAnsi" w:hAnsiTheme="majorHAnsi"/>
                <w:lang w:val="lv-LV"/>
              </w:rPr>
              <w:t>9</w:t>
            </w:r>
          </w:p>
        </w:tc>
        <w:tc>
          <w:tcPr>
            <w:tcW w:w="482" w:type="pct"/>
            <w:vAlign w:val="center"/>
          </w:tcPr>
          <w:p w:rsidR="00596204" w:rsidRPr="0019406C" w:rsidRDefault="00596204" w:rsidP="00036416">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90</w:t>
            </w:r>
            <w:r w:rsidR="00036416" w:rsidRPr="0019406C">
              <w:rPr>
                <w:rFonts w:asciiTheme="majorHAnsi" w:hAnsiTheme="majorHAnsi"/>
                <w:lang w:val="lv-LV"/>
              </w:rPr>
              <w:t>,</w:t>
            </w:r>
            <w:r w:rsidRPr="0019406C">
              <w:rPr>
                <w:rFonts w:asciiTheme="majorHAnsi" w:hAnsiTheme="majorHAnsi"/>
                <w:lang w:val="lv-LV"/>
              </w:rPr>
              <w:t>2</w:t>
            </w:r>
          </w:p>
        </w:tc>
        <w:tc>
          <w:tcPr>
            <w:tcW w:w="508" w:type="pct"/>
            <w:vAlign w:val="center"/>
          </w:tcPr>
          <w:p w:rsidR="00596204" w:rsidRPr="0019406C" w:rsidRDefault="00596204" w:rsidP="00036416">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48</w:t>
            </w:r>
            <w:r w:rsidR="00036416" w:rsidRPr="0019406C">
              <w:rPr>
                <w:rFonts w:asciiTheme="majorHAnsi" w:hAnsiTheme="majorHAnsi"/>
                <w:lang w:val="lv-LV"/>
              </w:rPr>
              <w:t>,</w:t>
            </w:r>
            <w:r w:rsidRPr="0019406C">
              <w:rPr>
                <w:rFonts w:asciiTheme="majorHAnsi" w:hAnsiTheme="majorHAnsi"/>
                <w:lang w:val="lv-LV"/>
              </w:rPr>
              <w:t>4</w:t>
            </w:r>
          </w:p>
        </w:tc>
        <w:tc>
          <w:tcPr>
            <w:tcW w:w="430" w:type="pct"/>
            <w:vAlign w:val="center"/>
          </w:tcPr>
          <w:p w:rsidR="00596204" w:rsidRPr="0019406C" w:rsidRDefault="00596204" w:rsidP="00036416">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70</w:t>
            </w:r>
            <w:r w:rsidR="00036416" w:rsidRPr="0019406C">
              <w:rPr>
                <w:rFonts w:asciiTheme="majorHAnsi" w:hAnsiTheme="majorHAnsi"/>
                <w:lang w:val="lv-LV"/>
              </w:rPr>
              <w:t>,</w:t>
            </w:r>
            <w:r w:rsidRPr="0019406C">
              <w:rPr>
                <w:rFonts w:asciiTheme="majorHAnsi" w:hAnsiTheme="majorHAnsi"/>
                <w:lang w:val="lv-LV"/>
              </w:rPr>
              <w:t>6</w:t>
            </w:r>
          </w:p>
        </w:tc>
        <w:tc>
          <w:tcPr>
            <w:tcW w:w="430" w:type="pct"/>
            <w:vAlign w:val="center"/>
          </w:tcPr>
          <w:p w:rsidR="00596204" w:rsidRPr="0019406C" w:rsidRDefault="00480C1B" w:rsidP="00036416">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52</w:t>
            </w:r>
            <w:r w:rsidR="00036416" w:rsidRPr="0019406C">
              <w:rPr>
                <w:rFonts w:asciiTheme="majorHAnsi" w:hAnsiTheme="majorHAnsi"/>
                <w:lang w:val="lv-LV"/>
              </w:rPr>
              <w:t>,</w:t>
            </w:r>
            <w:r w:rsidRPr="0019406C">
              <w:rPr>
                <w:rFonts w:asciiTheme="majorHAnsi" w:hAnsiTheme="majorHAnsi"/>
                <w:lang w:val="lv-LV"/>
              </w:rPr>
              <w:t>6</w:t>
            </w:r>
          </w:p>
        </w:tc>
      </w:tr>
    </w:tbl>
    <w:p w:rsidR="00596204" w:rsidRPr="0019406C" w:rsidRDefault="00596204" w:rsidP="00596204">
      <w:pPr>
        <w:pStyle w:val="BodyText"/>
        <w:rPr>
          <w:rFonts w:asciiTheme="majorHAnsi" w:hAnsiTheme="majorHAnsi"/>
          <w:lang w:val="lv-LV"/>
        </w:rPr>
      </w:pPr>
    </w:p>
    <w:p w:rsidR="00596204" w:rsidRPr="0019406C" w:rsidRDefault="00596204" w:rsidP="00444A73">
      <w:pPr>
        <w:pStyle w:val="BodyText"/>
        <w:spacing w:line="276" w:lineRule="auto"/>
        <w:jc w:val="both"/>
        <w:rPr>
          <w:rFonts w:asciiTheme="majorHAnsi" w:hAnsiTheme="majorHAnsi"/>
          <w:lang w:val="lv-LV"/>
        </w:rPr>
      </w:pPr>
      <w:r w:rsidRPr="0019406C">
        <w:rPr>
          <w:rFonts w:asciiTheme="majorHAnsi" w:hAnsiTheme="majorHAnsi"/>
          <w:lang w:val="lv-LV"/>
        </w:rPr>
        <w:t xml:space="preserve">Salīdzinot ar OECD un Eiropas un </w:t>
      </w:r>
      <w:proofErr w:type="spellStart"/>
      <w:r w:rsidRPr="0019406C">
        <w:rPr>
          <w:rFonts w:asciiTheme="majorHAnsi" w:hAnsiTheme="majorHAnsi"/>
          <w:lang w:val="lv-LV"/>
        </w:rPr>
        <w:t>Centrālāzijas</w:t>
      </w:r>
      <w:proofErr w:type="spellEnd"/>
      <w:r w:rsidRPr="0019406C">
        <w:rPr>
          <w:rFonts w:asciiTheme="majorHAnsi" w:hAnsiTheme="majorHAnsi"/>
          <w:lang w:val="lv-LV"/>
        </w:rPr>
        <w:t xml:space="preserve"> vidējiem rādītājiem, tie kritēriji, kuriem būtu jāpievērš uzmanība to uzlabošanā, ir uzņēmējdarbības izbeigšanas iznākums un ieguldījuma atgūtā daļa. Piemēram, Somijā, kur visi kritēriji ir novērtēti ļoti labā līmenī, pēdējos gados ir uzlabojusies atgūstamā daļa līdz ļoti augstam līmenim – 90</w:t>
      </w:r>
      <w:r w:rsidR="00036416" w:rsidRPr="0019406C">
        <w:rPr>
          <w:rFonts w:asciiTheme="majorHAnsi" w:hAnsiTheme="majorHAnsi"/>
          <w:lang w:val="lv-LV"/>
        </w:rPr>
        <w:t>,</w:t>
      </w:r>
      <w:r w:rsidRPr="0019406C">
        <w:rPr>
          <w:rFonts w:asciiTheme="majorHAnsi" w:hAnsiTheme="majorHAnsi"/>
          <w:lang w:val="lv-LV"/>
        </w:rPr>
        <w:t>2% no ieguldītā apjoma.</w:t>
      </w:r>
    </w:p>
    <w:p w:rsidR="00596204" w:rsidRPr="0019406C" w:rsidRDefault="00596204" w:rsidP="00444A73">
      <w:pPr>
        <w:pStyle w:val="BodyText"/>
        <w:spacing w:line="276" w:lineRule="auto"/>
        <w:jc w:val="both"/>
        <w:rPr>
          <w:rFonts w:asciiTheme="majorHAnsi" w:hAnsiTheme="majorHAnsi"/>
          <w:b/>
          <w:sz w:val="22"/>
          <w:szCs w:val="22"/>
          <w:lang w:val="lv-LV"/>
        </w:rPr>
      </w:pPr>
      <w:r w:rsidRPr="0019406C">
        <w:rPr>
          <w:rFonts w:asciiTheme="majorHAnsi" w:hAnsiTheme="majorHAnsi"/>
          <w:b/>
          <w:sz w:val="22"/>
          <w:szCs w:val="22"/>
          <w:lang w:val="lv-LV"/>
        </w:rPr>
        <w:t>Maksātnespējas likuma grozījumi</w:t>
      </w:r>
    </w:p>
    <w:p w:rsidR="00596204" w:rsidRPr="0019406C" w:rsidRDefault="00596204" w:rsidP="00444A73">
      <w:pPr>
        <w:pStyle w:val="BodyText"/>
        <w:spacing w:line="276" w:lineRule="auto"/>
        <w:jc w:val="both"/>
        <w:rPr>
          <w:rFonts w:asciiTheme="majorHAnsi" w:hAnsiTheme="majorHAnsi"/>
          <w:lang w:val="lv-LV"/>
        </w:rPr>
      </w:pPr>
      <w:r w:rsidRPr="0019406C">
        <w:rPr>
          <w:rFonts w:asciiTheme="majorHAnsi" w:hAnsiTheme="majorHAnsi"/>
          <w:lang w:val="lv-LV"/>
        </w:rPr>
        <w:t>Šobrīd Saeimā 2.lasījumā atbalstīti grozījumi Maksātnespējas likumā un līdz to apstiprināšanai norit diskusija par ierosinātajiem grozījumiem. Maksātnespējas likuma uzlabošanai Saeimā arī izveidota darba grupa, kas virza priekšlikumus likuma uzlabošanai.</w:t>
      </w:r>
    </w:p>
    <w:p w:rsidR="00596204" w:rsidRPr="0019406C" w:rsidRDefault="00596204" w:rsidP="00444A73">
      <w:pPr>
        <w:pStyle w:val="BodyText"/>
        <w:spacing w:line="276" w:lineRule="auto"/>
        <w:jc w:val="both"/>
        <w:rPr>
          <w:rFonts w:asciiTheme="majorHAnsi" w:hAnsiTheme="majorHAnsi"/>
          <w:lang w:val="lv-LV"/>
        </w:rPr>
      </w:pPr>
      <w:r w:rsidRPr="0019406C">
        <w:rPr>
          <w:rFonts w:asciiTheme="majorHAnsi" w:hAnsiTheme="majorHAnsi"/>
          <w:lang w:val="lv-LV"/>
        </w:rPr>
        <w:t>Maksātnespējas procesa komentēšanā iesaistīta arī Ārvalstu investoru padome Latvijā (FICIL), kuras ierosinājumi lielākoties ir iekļauti šobrīd sagatavotajos grozījumos. Piemēram, viens no FICIL ierosinājumiem bija noteikt administratoriem valsts amatpersonas statusu. Tādējādi tiktu palielināta maksātnespējas administratoru atbildība un novērsts interešu konflikts. Savukārt presē izskanējuši iebildumi par to, ka, kļūstot par valsts amatpersonām, par administratoriem vairs nevarēs būt zvērināti advokāti, jo valsts amatpersonas statuss nav savienojams ar advokatūras principiem.</w:t>
      </w:r>
    </w:p>
    <w:p w:rsidR="00596204" w:rsidRPr="0019406C" w:rsidRDefault="00596204" w:rsidP="00444A73">
      <w:pPr>
        <w:pStyle w:val="BodyText"/>
        <w:spacing w:line="276" w:lineRule="auto"/>
        <w:rPr>
          <w:rFonts w:asciiTheme="majorHAnsi" w:hAnsiTheme="majorHAnsi"/>
          <w:b/>
          <w:sz w:val="22"/>
          <w:lang w:val="lv-LV"/>
        </w:rPr>
      </w:pPr>
      <w:r w:rsidRPr="0019406C">
        <w:rPr>
          <w:rFonts w:asciiTheme="majorHAnsi" w:hAnsiTheme="majorHAnsi"/>
          <w:b/>
          <w:sz w:val="22"/>
          <w:lang w:val="lv-LV"/>
        </w:rPr>
        <w:t>Citu valstu pieredze</w:t>
      </w:r>
    </w:p>
    <w:p w:rsidR="00596204" w:rsidRPr="0019406C" w:rsidRDefault="00596204" w:rsidP="00444A73">
      <w:pPr>
        <w:pStyle w:val="BodyText"/>
        <w:spacing w:line="276" w:lineRule="auto"/>
        <w:jc w:val="both"/>
        <w:rPr>
          <w:rFonts w:asciiTheme="majorHAnsi" w:hAnsiTheme="majorHAnsi"/>
          <w:i/>
          <w:lang w:val="lv-LV"/>
        </w:rPr>
      </w:pPr>
      <w:r w:rsidRPr="0019406C">
        <w:rPr>
          <w:rFonts w:asciiTheme="majorHAnsi" w:hAnsiTheme="majorHAnsi"/>
          <w:b/>
          <w:i/>
          <w:u w:val="single"/>
          <w:lang w:val="lv-LV"/>
        </w:rPr>
        <w:t>Lielbritānija</w:t>
      </w:r>
      <w:r w:rsidRPr="0019406C">
        <w:rPr>
          <w:rFonts w:asciiTheme="majorHAnsi" w:hAnsiTheme="majorHAnsi"/>
          <w:i/>
          <w:lang w:val="lv-LV"/>
        </w:rPr>
        <w:t xml:space="preserve"> - Sazinoties ar </w:t>
      </w:r>
      <w:proofErr w:type="spellStart"/>
      <w:r w:rsidRPr="0019406C">
        <w:rPr>
          <w:rFonts w:asciiTheme="majorHAnsi" w:hAnsiTheme="majorHAnsi"/>
          <w:i/>
          <w:lang w:val="lv-LV"/>
        </w:rPr>
        <w:t>PwC</w:t>
      </w:r>
      <w:proofErr w:type="spellEnd"/>
      <w:r w:rsidRPr="0019406C">
        <w:rPr>
          <w:rFonts w:asciiTheme="majorHAnsi" w:hAnsiTheme="majorHAnsi"/>
          <w:i/>
          <w:lang w:val="lv-LV"/>
        </w:rPr>
        <w:t xml:space="preserve"> ekspertiem maksātnespējas un restrukturizācijas konsultācijās ar 20 gadu pieredzi - </w:t>
      </w:r>
      <w:proofErr w:type="spellStart"/>
      <w:r w:rsidRPr="0019406C">
        <w:rPr>
          <w:rFonts w:asciiTheme="majorHAnsi" w:hAnsiTheme="majorHAnsi"/>
          <w:i/>
          <w:lang w:val="lv-LV"/>
        </w:rPr>
        <w:t>Stīvenu</w:t>
      </w:r>
      <w:proofErr w:type="spellEnd"/>
      <w:r w:rsidRPr="0019406C">
        <w:rPr>
          <w:rFonts w:asciiTheme="majorHAnsi" w:hAnsiTheme="majorHAnsi"/>
          <w:i/>
          <w:lang w:val="lv-LV"/>
        </w:rPr>
        <w:t xml:space="preserve"> </w:t>
      </w:r>
      <w:proofErr w:type="spellStart"/>
      <w:r w:rsidRPr="0019406C">
        <w:rPr>
          <w:rFonts w:asciiTheme="majorHAnsi" w:hAnsiTheme="majorHAnsi"/>
          <w:i/>
          <w:lang w:val="lv-LV"/>
        </w:rPr>
        <w:t>Oldfīldu</w:t>
      </w:r>
      <w:proofErr w:type="spellEnd"/>
      <w:r w:rsidRPr="0019406C">
        <w:rPr>
          <w:rFonts w:asciiTheme="majorHAnsi" w:hAnsiTheme="majorHAnsi"/>
          <w:i/>
          <w:lang w:val="lv-LV"/>
        </w:rPr>
        <w:t xml:space="preserve"> un Donaldu </w:t>
      </w:r>
      <w:proofErr w:type="spellStart"/>
      <w:r w:rsidRPr="0019406C">
        <w:rPr>
          <w:rFonts w:asciiTheme="majorHAnsi" w:hAnsiTheme="majorHAnsi"/>
          <w:i/>
          <w:lang w:val="lv-LV"/>
        </w:rPr>
        <w:t>Brūsu</w:t>
      </w:r>
      <w:proofErr w:type="spellEnd"/>
      <w:r w:rsidRPr="0019406C">
        <w:rPr>
          <w:rFonts w:asciiTheme="majorHAnsi" w:hAnsiTheme="majorHAnsi"/>
          <w:i/>
          <w:lang w:val="lv-LV"/>
        </w:rPr>
        <w:t>, kas komentēja par Latvijas, Lielbritānijas un CEE praksi maksātnespējas risināšanā, tika iegūti šādi komentāri:</w:t>
      </w:r>
    </w:p>
    <w:p w:rsidR="00596204" w:rsidRPr="0019406C" w:rsidRDefault="00596204" w:rsidP="00444A73">
      <w:pPr>
        <w:pStyle w:val="BodyText"/>
        <w:numPr>
          <w:ilvl w:val="0"/>
          <w:numId w:val="9"/>
        </w:numPr>
        <w:spacing w:line="276" w:lineRule="auto"/>
        <w:jc w:val="both"/>
        <w:rPr>
          <w:rFonts w:asciiTheme="majorHAnsi" w:hAnsiTheme="majorHAnsi"/>
          <w:i/>
          <w:lang w:val="lv-LV"/>
        </w:rPr>
      </w:pPr>
      <w:r w:rsidRPr="0019406C">
        <w:rPr>
          <w:rFonts w:asciiTheme="majorHAnsi" w:hAnsiTheme="majorHAnsi"/>
          <w:i/>
          <w:u w:val="single"/>
          <w:lang w:val="lv-LV"/>
        </w:rPr>
        <w:t xml:space="preserve">Tiesas un </w:t>
      </w:r>
      <w:r w:rsidR="0072729F">
        <w:rPr>
          <w:rFonts w:asciiTheme="majorHAnsi" w:hAnsiTheme="majorHAnsi"/>
          <w:i/>
          <w:u w:val="single"/>
          <w:lang w:val="lv-LV"/>
        </w:rPr>
        <w:t>admini</w:t>
      </w:r>
      <w:r w:rsidR="0072729F" w:rsidRPr="0019406C">
        <w:rPr>
          <w:rFonts w:asciiTheme="majorHAnsi" w:hAnsiTheme="majorHAnsi"/>
          <w:i/>
          <w:u w:val="single"/>
          <w:lang w:val="lv-LV"/>
        </w:rPr>
        <w:t>stratora</w:t>
      </w:r>
      <w:r w:rsidRPr="0019406C">
        <w:rPr>
          <w:rFonts w:asciiTheme="majorHAnsi" w:hAnsiTheme="majorHAnsi"/>
          <w:i/>
          <w:u w:val="single"/>
          <w:lang w:val="lv-LV"/>
        </w:rPr>
        <w:t xml:space="preserve"> sadarbība/ administratora atbildība</w:t>
      </w:r>
      <w:r w:rsidRPr="0019406C">
        <w:rPr>
          <w:rFonts w:asciiTheme="majorHAnsi" w:hAnsiTheme="majorHAnsi"/>
          <w:i/>
          <w:lang w:val="lv-LV"/>
        </w:rPr>
        <w:t xml:space="preserve"> – administratoram ir jābūt iespējai pieņemt lēmumus ātri, kas nozīmē administratoram piešķirt juridisku spēku pieņemt lēmumus, nesaskaņojot ar tiesu. Tādējādi tiktu ietaupīts šajā procesā svarīgais laiks. Atbildībai, galvenokārt, būtu jābūt pret kreditoriem ne tiesu, jo administrators ir tiesas iecelts pārstāvis. Lai administratoram nevarētu pārmest ilgu vilcināšanos un kreditoriem tiktu saglabāta aktīvu vērtība, ir nepieciešams lēmumus pieņemt ātrāk kā tas notiek Latvijā. Tiesas procesi nevar ierobežot administratoru un procesu kopumā, tiem ir jādod iespēju administratoram pašam būt atbildīgam.</w:t>
      </w:r>
    </w:p>
    <w:p w:rsidR="00596204" w:rsidRPr="0019406C" w:rsidRDefault="00596204" w:rsidP="00444A73">
      <w:pPr>
        <w:pStyle w:val="BodyText"/>
        <w:numPr>
          <w:ilvl w:val="0"/>
          <w:numId w:val="9"/>
        </w:numPr>
        <w:spacing w:line="276" w:lineRule="auto"/>
        <w:jc w:val="both"/>
        <w:rPr>
          <w:rFonts w:asciiTheme="majorHAnsi" w:hAnsiTheme="majorHAnsi"/>
          <w:i/>
          <w:lang w:val="lv-LV"/>
        </w:rPr>
      </w:pPr>
      <w:r w:rsidRPr="0019406C">
        <w:rPr>
          <w:rFonts w:asciiTheme="majorHAnsi" w:hAnsiTheme="majorHAnsi"/>
          <w:i/>
          <w:u w:val="single"/>
          <w:lang w:val="lv-LV"/>
        </w:rPr>
        <w:t>Administratoru kvalifikācija/ licencēšana</w:t>
      </w:r>
      <w:r w:rsidRPr="0019406C">
        <w:rPr>
          <w:rFonts w:asciiTheme="majorHAnsi" w:hAnsiTheme="majorHAnsi"/>
          <w:i/>
          <w:lang w:val="lv-LV"/>
        </w:rPr>
        <w:t xml:space="preserve"> – administratora atbilstību amatam raksturo šādi faktori – tam jābūt neatkarīgam un kvalificētam, bet ne obligāti juristam (kā to šobrīd pieprasa Maksātnespējas likums), bet maksātnespējas praktiķim. Administratoru licencēšana Lielbritānijā notiek, kārtojot eksāmenu trīs šādās sfērās: likumdošana, grāmatvedība un banku/ finanšu zināšanās, kas nozīmē, ka visvairāk par administratoriem kļūst tieši ar finanšu sfēru saistīti cilvēki, jo 2/3 no kvalifikācijas prasībām atbilstošā eksāmena saistītas ar finanšu jomu.</w:t>
      </w:r>
    </w:p>
    <w:p w:rsidR="00596204" w:rsidRPr="0019406C" w:rsidRDefault="00596204" w:rsidP="00444A73">
      <w:pPr>
        <w:pStyle w:val="BodyText"/>
        <w:numPr>
          <w:ilvl w:val="0"/>
          <w:numId w:val="9"/>
        </w:numPr>
        <w:spacing w:line="276" w:lineRule="auto"/>
        <w:jc w:val="both"/>
        <w:rPr>
          <w:rFonts w:asciiTheme="majorHAnsi" w:hAnsiTheme="majorHAnsi"/>
          <w:i/>
          <w:lang w:val="lv-LV"/>
        </w:rPr>
      </w:pPr>
      <w:r w:rsidRPr="0019406C">
        <w:rPr>
          <w:rFonts w:asciiTheme="majorHAnsi" w:hAnsiTheme="majorHAnsi"/>
          <w:i/>
          <w:u w:val="single"/>
          <w:lang w:val="lv-LV"/>
        </w:rPr>
        <w:lastRenderedPageBreak/>
        <w:t>Administratoru apdrošināšana</w:t>
      </w:r>
      <w:r w:rsidRPr="0019406C">
        <w:rPr>
          <w:rFonts w:asciiTheme="majorHAnsi" w:hAnsiTheme="majorHAnsi"/>
          <w:i/>
          <w:lang w:val="lv-LV"/>
        </w:rPr>
        <w:t xml:space="preserve"> – saistībā ar licencēšanu, kā obligāta prasība administratoriem Lielbritānijā ir iegādāties administratoru apdrošināšanu, kas apdrošina maksātnespējas procesu pret neizdošanos.</w:t>
      </w:r>
    </w:p>
    <w:p w:rsidR="00596204" w:rsidRPr="0019406C" w:rsidRDefault="00596204" w:rsidP="00444A73">
      <w:pPr>
        <w:pStyle w:val="BodyText"/>
        <w:numPr>
          <w:ilvl w:val="0"/>
          <w:numId w:val="9"/>
        </w:numPr>
        <w:spacing w:line="276" w:lineRule="auto"/>
        <w:jc w:val="both"/>
        <w:rPr>
          <w:rFonts w:asciiTheme="majorHAnsi" w:hAnsiTheme="majorHAnsi"/>
          <w:i/>
          <w:lang w:val="lv-LV"/>
        </w:rPr>
      </w:pPr>
      <w:r w:rsidRPr="0019406C">
        <w:rPr>
          <w:rFonts w:asciiTheme="majorHAnsi" w:hAnsiTheme="majorHAnsi"/>
          <w:i/>
          <w:u w:val="single"/>
          <w:lang w:val="lv-LV"/>
        </w:rPr>
        <w:t>Komentāri par Latvijas Maksātnespējas likumu</w:t>
      </w:r>
      <w:r w:rsidRPr="0019406C">
        <w:rPr>
          <w:rFonts w:asciiTheme="majorHAnsi" w:hAnsiTheme="majorHAnsi"/>
          <w:i/>
          <w:lang w:val="lv-LV"/>
        </w:rPr>
        <w:t xml:space="preserve"> – Latvijai piemērots modelis varētu būt, ka ir neliels skaits, bet labi (atbilstošas kvalifikācijas) administratori, kā arī varētu tikt dota iespēja strādāt ārvalstniekiem, kā tas ir Lietuvas un Čehijas gadījumā.</w:t>
      </w:r>
    </w:p>
    <w:p w:rsidR="00596204" w:rsidRPr="0019406C" w:rsidRDefault="00596204" w:rsidP="00444A73">
      <w:pPr>
        <w:pStyle w:val="BodyText"/>
        <w:numPr>
          <w:ilvl w:val="0"/>
          <w:numId w:val="9"/>
        </w:numPr>
        <w:spacing w:line="276" w:lineRule="auto"/>
        <w:jc w:val="both"/>
        <w:rPr>
          <w:rFonts w:asciiTheme="majorHAnsi" w:hAnsiTheme="majorHAnsi"/>
          <w:i/>
          <w:lang w:val="lv-LV"/>
        </w:rPr>
      </w:pPr>
      <w:r w:rsidRPr="0019406C">
        <w:rPr>
          <w:rFonts w:asciiTheme="majorHAnsi" w:hAnsiTheme="majorHAnsi"/>
          <w:i/>
          <w:u w:val="single"/>
          <w:lang w:val="lv-LV"/>
        </w:rPr>
        <w:t>Likuma nepilnības un uzlabojumi</w:t>
      </w:r>
      <w:r w:rsidRPr="0019406C">
        <w:rPr>
          <w:rFonts w:asciiTheme="majorHAnsi" w:hAnsiTheme="majorHAnsi"/>
          <w:i/>
          <w:lang w:val="lv-LV"/>
        </w:rPr>
        <w:t xml:space="preserve"> – varētu tikt izskatīta iespēja atgūt uzņēmumā iepriekš nelietderīgi iztērētos līdzekļus. Tāda iespēja paredzēta Lielbritānijā, kur administrators var iesniegt tiesā prasību atprasīt līdzekļus no uzņēmuma vadības (direktoriem) par periodu līdz 6 iepriekšējiem gadiem. Administratoram ir arī tiesības ziņot par sliktu vai </w:t>
      </w:r>
      <w:proofErr w:type="spellStart"/>
      <w:r w:rsidRPr="0019406C">
        <w:rPr>
          <w:rFonts w:asciiTheme="majorHAnsi" w:hAnsiTheme="majorHAnsi"/>
          <w:i/>
          <w:lang w:val="lv-LV"/>
        </w:rPr>
        <w:t>koruptīvu</w:t>
      </w:r>
      <w:proofErr w:type="spellEnd"/>
      <w:r w:rsidRPr="0019406C">
        <w:rPr>
          <w:rFonts w:asciiTheme="majorHAnsi" w:hAnsiTheme="majorHAnsi"/>
          <w:i/>
          <w:lang w:val="lv-LV"/>
        </w:rPr>
        <w:t>/ noziedzīgu uzņēmuma vadību attiecīgi valdības iestādēm vai pat tiesai.</w:t>
      </w:r>
    </w:p>
    <w:p w:rsidR="00596204" w:rsidRPr="0019406C" w:rsidRDefault="00596204" w:rsidP="00444A73">
      <w:pPr>
        <w:pStyle w:val="BodyText"/>
        <w:numPr>
          <w:ilvl w:val="0"/>
          <w:numId w:val="9"/>
        </w:numPr>
        <w:spacing w:line="276" w:lineRule="auto"/>
        <w:jc w:val="both"/>
        <w:rPr>
          <w:rFonts w:asciiTheme="majorHAnsi" w:hAnsiTheme="majorHAnsi"/>
          <w:i/>
          <w:lang w:val="lv-LV"/>
        </w:rPr>
      </w:pPr>
      <w:r w:rsidRPr="0019406C">
        <w:rPr>
          <w:rFonts w:asciiTheme="majorHAnsi" w:hAnsiTheme="majorHAnsi"/>
          <w:i/>
          <w:lang w:val="lv-LV"/>
        </w:rPr>
        <w:t>Lielbritānijā kopumā ir lielākas tiesības kreditoriem, salīdzinot ar CEE, kur lielākas tiesības ir uzņēmumam. Kreditori praksē daudz ātrāk var iesaistīties un iecelt administratoru, lai sakārtotu uzņēmumu. Attiecībā uz Latviju ir svarīgi, lai administratoram būtu tiesības jau tiesiskās aizsardzības laikā nepieļaut uzņēmuma vadības neatbilstošu rīcību ar kreditoru līdzekļiem.</w:t>
      </w:r>
    </w:p>
    <w:p w:rsidR="00596204" w:rsidRPr="0019406C" w:rsidRDefault="00596204" w:rsidP="00444A73">
      <w:pPr>
        <w:pStyle w:val="BodyText"/>
        <w:numPr>
          <w:ilvl w:val="0"/>
          <w:numId w:val="9"/>
        </w:numPr>
        <w:spacing w:line="276" w:lineRule="auto"/>
        <w:jc w:val="both"/>
        <w:rPr>
          <w:rFonts w:asciiTheme="majorHAnsi" w:hAnsiTheme="majorHAnsi"/>
          <w:i/>
          <w:lang w:val="lv-LV"/>
        </w:rPr>
      </w:pPr>
      <w:r w:rsidRPr="0019406C">
        <w:rPr>
          <w:rFonts w:asciiTheme="majorHAnsi" w:hAnsiTheme="majorHAnsi"/>
          <w:i/>
          <w:lang w:val="lv-LV"/>
        </w:rPr>
        <w:t>Salīdzinot ar Lielbritāniju, tur process ir ātrāks un kreditoriem labvēlīgāks, tādēļ kreditori no citām valstīm var izvēlēties savai maksātnespējas risināšanai meklēt palīdzību tieši Lielbritānijas tiesās. Administratoram Lielbritānijā ir pilna atbildība un viņam jārīkojas kreditoru interesēs. Viena no lietām, kas eksistē Lielbritānijā ir „75% likums”, kas nosaka, ka 75% kreditori var uzspiest savu lēmumu 25% atlikušajiem kreditoriem. Šādas normas esamība ļauj ātrāk vienoties par iznākumu un nezaudēt laiku un naudu. Šādai normai nav jābūt obligāti Maksātnespējas likumdošanā, bet tā var būt arī citā likumā.</w:t>
      </w:r>
    </w:p>
    <w:p w:rsidR="00596204" w:rsidRPr="0019406C" w:rsidRDefault="00596204" w:rsidP="00444A73">
      <w:pPr>
        <w:pStyle w:val="BodyText"/>
        <w:numPr>
          <w:ilvl w:val="0"/>
          <w:numId w:val="9"/>
        </w:numPr>
        <w:spacing w:line="276" w:lineRule="auto"/>
        <w:jc w:val="both"/>
        <w:rPr>
          <w:rFonts w:asciiTheme="majorHAnsi" w:hAnsiTheme="majorHAnsi"/>
          <w:i/>
          <w:lang w:val="lv-LV"/>
        </w:rPr>
      </w:pPr>
      <w:r w:rsidRPr="0019406C">
        <w:rPr>
          <w:rFonts w:asciiTheme="majorHAnsi" w:hAnsiTheme="majorHAnsi"/>
          <w:i/>
          <w:lang w:val="lv-LV"/>
        </w:rPr>
        <w:t>Attiecībā uz DB kritērijiem var teikt, ka maksātnespējas procesa laiks, kam jābūt pēc iespējas īsākam, un iznākums, ar ko saprot uzņēmuma tālāku darbību, nav pilnībā objektīvi no investora puses, jo var būt situācijas, kad, lai nodrošinātu augstāku atgūto ieguldījumu apjomu investoram, ir nepieciešams ilgāks laiks vai tas var tikt sasniegts ar mantas izpārdošanu. Lielbritānijā ir iespēja administratoram pārdot uzņēmumu/ aktīvus uzreiz pirmajā dienā pēc maksātnespējas lēmuma pieņemšanas, bet tam nepieciešams pamatojums un šādam lēmumam būs nepieciešami vairāk dokumenti kā ilgākam procesam. Īpaša vērība jāpievērš pārdošanai atpakaļ uzņēmuma vadībai vai iepriekšējiem īpašniekiem, lai neveidotos situācija, kad tiek apiets pārdošanas tirgū process un kreditoru prasījumi tiek neatbilstoši samazināti.</w:t>
      </w:r>
    </w:p>
    <w:p w:rsidR="00534CB9" w:rsidRPr="0019406C" w:rsidRDefault="00534CB9" w:rsidP="00444A73">
      <w:pPr>
        <w:pStyle w:val="BodyText"/>
        <w:spacing w:line="276" w:lineRule="auto"/>
        <w:jc w:val="both"/>
        <w:rPr>
          <w:rFonts w:asciiTheme="majorHAnsi" w:hAnsiTheme="majorHAnsi"/>
          <w:b/>
          <w:sz w:val="22"/>
          <w:lang w:val="lv-LV"/>
        </w:rPr>
      </w:pPr>
      <w:r w:rsidRPr="0019406C">
        <w:rPr>
          <w:rFonts w:asciiTheme="majorHAnsi" w:hAnsiTheme="majorHAnsi"/>
          <w:b/>
          <w:sz w:val="22"/>
          <w:lang w:val="lv-LV"/>
        </w:rPr>
        <w:t>Secinājumi un priekšlikumi</w:t>
      </w:r>
    </w:p>
    <w:p w:rsidR="00D348CB" w:rsidRPr="0019406C" w:rsidRDefault="00D348CB" w:rsidP="00444A73">
      <w:pPr>
        <w:pStyle w:val="BodyText"/>
        <w:spacing w:line="276" w:lineRule="auto"/>
        <w:jc w:val="both"/>
        <w:rPr>
          <w:rFonts w:asciiTheme="majorHAnsi" w:hAnsiTheme="majorHAnsi"/>
          <w:lang w:val="lv-LV"/>
        </w:rPr>
      </w:pPr>
      <w:r w:rsidRPr="0019406C">
        <w:rPr>
          <w:rFonts w:asciiTheme="majorHAnsi" w:hAnsiTheme="majorHAnsi"/>
          <w:lang w:val="lv-LV"/>
        </w:rPr>
        <w:t xml:space="preserve">Uzņēmēju aptaujas dati, ņemot vērā nelielo respondentu skaitu, kas saskārušies ar maksātnespējas un tiesiskās aizsardzības jautājumiem, nav attiecināmi uz visu izlases kopu, kas apliecina, ka šie nav procesi, ar kuriem saskaras daudzi uzņēmēji. </w:t>
      </w:r>
      <w:r w:rsidR="001B1F66" w:rsidRPr="0019406C">
        <w:rPr>
          <w:rFonts w:asciiTheme="majorHAnsi" w:hAnsiTheme="majorHAnsi"/>
          <w:lang w:val="lv-LV"/>
        </w:rPr>
        <w:t>Neskatoties uz to, no esošajiem respondentiem saņemtā informācija apliecina, vērtējums par atsevišķām šo procesu sastāvdaļām ir zemāks par vidējo. Responde</w:t>
      </w:r>
      <w:r w:rsidR="00A20CFD" w:rsidRPr="0019406C">
        <w:rPr>
          <w:rFonts w:asciiTheme="majorHAnsi" w:hAnsiTheme="majorHAnsi"/>
          <w:lang w:val="lv-LV"/>
        </w:rPr>
        <w:t>n</w:t>
      </w:r>
      <w:r w:rsidR="001B1F66" w:rsidRPr="0019406C">
        <w:rPr>
          <w:rFonts w:asciiTheme="majorHAnsi" w:hAnsiTheme="majorHAnsi"/>
          <w:lang w:val="lv-LV"/>
        </w:rPr>
        <w:t xml:space="preserve">tu vērtējumā atgūtā ieguldījuma daļa aptuveni sakrīt arī ar DB pētījumā norādīto informāciju, kas nozīmē, ka tikai puse no ieguldītā apjoma tiek atgūta. Šis ir viens no būtiskākajiem jautājumiem, kam būtu jāpievērš uzmanība. </w:t>
      </w:r>
    </w:p>
    <w:p w:rsidR="002B73E9" w:rsidRPr="0019406C" w:rsidRDefault="002B73E9" w:rsidP="00444A73">
      <w:pPr>
        <w:pStyle w:val="BodyText"/>
        <w:spacing w:line="276" w:lineRule="auto"/>
        <w:jc w:val="both"/>
        <w:rPr>
          <w:rFonts w:asciiTheme="majorHAnsi" w:hAnsiTheme="majorHAnsi"/>
          <w:lang w:val="lv-LV"/>
        </w:rPr>
      </w:pPr>
      <w:r w:rsidRPr="0019406C">
        <w:rPr>
          <w:rFonts w:asciiTheme="majorHAnsi" w:hAnsiTheme="majorHAnsi"/>
          <w:lang w:val="lv-LV"/>
        </w:rPr>
        <w:t>Šobrīd esošā Maksātnespējas likuma redakcija paredz, ka par maksātnespējas administratoru var kļūt persona, ka sasniegusi 25 gadu vecumu, ieguvusi juridisko izglītību un pieredzi jurisprudencē un prot valsts valodu.</w:t>
      </w:r>
    </w:p>
    <w:p w:rsidR="002B73E9" w:rsidRPr="0019406C" w:rsidRDefault="002B73E9" w:rsidP="00444A73">
      <w:pPr>
        <w:pStyle w:val="BodyText"/>
        <w:spacing w:line="276" w:lineRule="auto"/>
        <w:jc w:val="both"/>
        <w:rPr>
          <w:rFonts w:asciiTheme="majorHAnsi" w:hAnsiTheme="majorHAnsi"/>
          <w:lang w:val="lv-LV"/>
        </w:rPr>
      </w:pPr>
      <w:r w:rsidRPr="0019406C">
        <w:rPr>
          <w:rFonts w:asciiTheme="majorHAnsi" w:hAnsiTheme="majorHAnsi"/>
          <w:lang w:val="lv-LV"/>
        </w:rPr>
        <w:t>Ņemot vērā, ka administrators principā veic uzņēmuma vadības funkcijas maksātnespējas laikā būtu jāizvērtē, vai jurista kvalifikācija ir atbilstošākā prasība, lai nodrošinātu kreditoru prasījumu apmierināšanu maksimālā apmērā.</w:t>
      </w:r>
    </w:p>
    <w:p w:rsidR="00EA7576" w:rsidRPr="0019406C" w:rsidRDefault="0079500D" w:rsidP="00444A73">
      <w:pPr>
        <w:pStyle w:val="BodyText"/>
        <w:spacing w:line="276" w:lineRule="auto"/>
        <w:jc w:val="both"/>
        <w:rPr>
          <w:rFonts w:asciiTheme="majorHAnsi" w:hAnsiTheme="majorHAnsi"/>
          <w:lang w:val="lv-LV"/>
        </w:rPr>
      </w:pPr>
      <w:r w:rsidRPr="0019406C">
        <w:rPr>
          <w:rFonts w:asciiTheme="majorHAnsi" w:hAnsiTheme="majorHAnsi"/>
          <w:lang w:val="lv-LV"/>
        </w:rPr>
        <w:lastRenderedPageBreak/>
        <w:t xml:space="preserve">Šobrīd Saeimā </w:t>
      </w:r>
      <w:r w:rsidR="002B73E9" w:rsidRPr="0019406C">
        <w:rPr>
          <w:rFonts w:asciiTheme="majorHAnsi" w:hAnsiTheme="majorHAnsi"/>
          <w:lang w:val="lv-LV"/>
        </w:rPr>
        <w:t xml:space="preserve">ir iesniegti grozījumi Maksātnespējas likumā, kā arī jāņem </w:t>
      </w:r>
      <w:r w:rsidR="00596204" w:rsidRPr="0019406C">
        <w:rPr>
          <w:rFonts w:asciiTheme="majorHAnsi" w:hAnsiTheme="majorHAnsi"/>
          <w:lang w:val="lv-LV"/>
        </w:rPr>
        <w:t xml:space="preserve">vērā, ka </w:t>
      </w:r>
      <w:r w:rsidR="002B73E9" w:rsidRPr="0019406C">
        <w:rPr>
          <w:rFonts w:asciiTheme="majorHAnsi" w:hAnsiTheme="majorHAnsi"/>
          <w:lang w:val="lv-LV"/>
        </w:rPr>
        <w:t xml:space="preserve">pēdējos gados bijuši vairāki grozījumu šajā likumā, tādēļ </w:t>
      </w:r>
      <w:r w:rsidR="00596204" w:rsidRPr="0019406C">
        <w:rPr>
          <w:rFonts w:asciiTheme="majorHAnsi" w:hAnsiTheme="majorHAnsi"/>
          <w:lang w:val="lv-LV"/>
        </w:rPr>
        <w:t xml:space="preserve">jāsecina, ka DB indekss un visdrīzāk arī aptaujas rezultāti neatspoguļo aktuālo situāciju un uzņēmēju viedokli novērtējumu par jaunāko Maksātnespējas likuma versiju. </w:t>
      </w:r>
      <w:r w:rsidR="00450FD0" w:rsidRPr="0019406C">
        <w:rPr>
          <w:rFonts w:asciiTheme="majorHAnsi" w:hAnsiTheme="majorHAnsi"/>
          <w:lang w:val="lv-LV"/>
        </w:rPr>
        <w:t>Tā kā pēdējie grozījumi un priekšlikumi neskar administratora kvalifikācijas un atbildības izvērtēšanu, tad būtu jāveic pasākumi, kas paaugstinātu kreditoriem atgūstamā ieguldījuma daļu.</w:t>
      </w:r>
    </w:p>
    <w:p w:rsidR="00596204" w:rsidRPr="0019406C" w:rsidRDefault="00596204" w:rsidP="00444A73">
      <w:pPr>
        <w:pStyle w:val="BodyText"/>
        <w:spacing w:line="276" w:lineRule="auto"/>
        <w:jc w:val="both"/>
        <w:rPr>
          <w:rFonts w:asciiTheme="majorHAnsi" w:hAnsiTheme="majorHAnsi"/>
          <w:lang w:val="lv-LV"/>
        </w:rPr>
      </w:pPr>
      <w:r w:rsidRPr="0019406C">
        <w:rPr>
          <w:rFonts w:asciiTheme="majorHAnsi" w:hAnsiTheme="majorHAnsi"/>
          <w:lang w:val="lv-LV"/>
        </w:rPr>
        <w:t>No uzņēmējdarbības izbeigšanas procesu analīzes izvirzām sekojošas galvenās ieteikumu kategorijas:</w:t>
      </w:r>
    </w:p>
    <w:p w:rsidR="00E04AA0" w:rsidRPr="0019406C" w:rsidRDefault="009C79D3" w:rsidP="00444A73">
      <w:pPr>
        <w:pStyle w:val="BodyText"/>
        <w:numPr>
          <w:ilvl w:val="0"/>
          <w:numId w:val="19"/>
        </w:numPr>
        <w:spacing w:line="276" w:lineRule="auto"/>
        <w:jc w:val="both"/>
        <w:rPr>
          <w:rFonts w:asciiTheme="majorHAnsi" w:hAnsiTheme="majorHAnsi"/>
          <w:lang w:val="lv-LV"/>
        </w:rPr>
      </w:pPr>
      <w:r w:rsidRPr="0019406C">
        <w:rPr>
          <w:rFonts w:asciiTheme="majorHAnsi" w:hAnsiTheme="majorHAnsi"/>
          <w:lang w:val="lv-LV"/>
        </w:rPr>
        <w:t xml:space="preserve">Maksātnespējas administratora atbildības palielināšanas iespēju izvērtēšana </w:t>
      </w:r>
    </w:p>
    <w:p w:rsidR="00E04AA0" w:rsidRPr="0019406C" w:rsidRDefault="00E04AA0" w:rsidP="00444A73">
      <w:pPr>
        <w:pStyle w:val="BodyText"/>
        <w:spacing w:line="276" w:lineRule="auto"/>
        <w:ind w:left="360"/>
        <w:jc w:val="both"/>
        <w:rPr>
          <w:rFonts w:asciiTheme="majorHAnsi" w:hAnsiTheme="majorHAnsi"/>
          <w:lang w:val="lv-LV"/>
        </w:rPr>
      </w:pPr>
      <w:r w:rsidRPr="0019406C">
        <w:rPr>
          <w:rFonts w:asciiTheme="majorHAnsi" w:hAnsiTheme="majorHAnsi"/>
          <w:lang w:val="lv-LV"/>
        </w:rPr>
        <w:t>Ņemot vērā, ka Maksātnespējas likuma mērķis ir atgūt maksātnespējā nonākušu uzņēmumu kreditoriem pēc iespējas maksimālu ieguldītā finansējuma daļu, tad jāizvērtē, vai šobrīd noteiktās administratoru licencēšanas prasības ir pietiekošas, lai administrators spētu orientēties ne tik daudz uz procesa juridisko pusi, bet tieši uz finansiālo pusi. Jāizvērtē, vai atbilstoša ir norma, ka administratoram ir likumā noteikta prasība būt ar juridisko izglītību, kā arī, jāizvērtē, vai tiek dota iespēja kreditoriem par administratoru izvēlēties profesionāļus, kas nav licencēti Latvijā. Likumdošanas normu izmaiņas par labu finanšu sfēras profesionāļiem kopā ar citiem ierosinājumiem veicinātu procesa ātrāku norisi un augstāku atgūstamā ieguldījuma apjomu, kā arī uzņēmuma atgriešanu biznesā</w:t>
      </w:r>
      <w:r w:rsidR="009C79D3" w:rsidRPr="0019406C">
        <w:rPr>
          <w:rFonts w:asciiTheme="majorHAnsi" w:hAnsiTheme="majorHAnsi"/>
          <w:lang w:val="lv-LV"/>
        </w:rPr>
        <w:t>,</w:t>
      </w:r>
      <w:r w:rsidRPr="0019406C">
        <w:rPr>
          <w:rFonts w:asciiTheme="majorHAnsi" w:hAnsiTheme="majorHAnsi"/>
          <w:lang w:val="lv-LV"/>
        </w:rPr>
        <w:t xml:space="preserve"> ja tas rada kreditoriem augstāku vērtību</w:t>
      </w:r>
      <w:r w:rsidR="009C79D3" w:rsidRPr="0019406C">
        <w:rPr>
          <w:rFonts w:asciiTheme="majorHAnsi" w:hAnsiTheme="majorHAnsi"/>
          <w:lang w:val="lv-LV"/>
        </w:rPr>
        <w:t xml:space="preserve"> (</w:t>
      </w:r>
      <w:r w:rsidR="00E34B83" w:rsidRPr="0019406C">
        <w:rPr>
          <w:rFonts w:asciiTheme="majorHAnsi" w:hAnsiTheme="majorHAnsi"/>
          <w:lang w:val="lv-LV"/>
        </w:rPr>
        <w:t>Detalizētu priekšlikumu skatīt 1. pielikuma 5.1. punktā</w:t>
      </w:r>
      <w:r w:rsidR="009C79D3" w:rsidRPr="0019406C">
        <w:rPr>
          <w:rFonts w:asciiTheme="majorHAnsi" w:hAnsiTheme="majorHAnsi"/>
          <w:lang w:val="lv-LV"/>
        </w:rPr>
        <w:t>);</w:t>
      </w:r>
    </w:p>
    <w:p w:rsidR="00596204" w:rsidRPr="0019406C" w:rsidRDefault="009C79D3" w:rsidP="00444A73">
      <w:pPr>
        <w:pStyle w:val="BodyText"/>
        <w:numPr>
          <w:ilvl w:val="0"/>
          <w:numId w:val="82"/>
        </w:numPr>
        <w:spacing w:line="276" w:lineRule="auto"/>
        <w:jc w:val="both"/>
        <w:rPr>
          <w:rFonts w:asciiTheme="majorHAnsi" w:hAnsiTheme="majorHAnsi"/>
          <w:lang w:val="lv-LV"/>
        </w:rPr>
      </w:pPr>
      <w:r w:rsidRPr="0019406C">
        <w:rPr>
          <w:rFonts w:asciiTheme="majorHAnsi" w:hAnsiTheme="majorHAnsi"/>
          <w:lang w:val="lv-LV"/>
        </w:rPr>
        <w:t xml:space="preserve">Maksātnespējas administratoru kvalifikācijas prasību un licencēšanas izvērtēšana </w:t>
      </w:r>
    </w:p>
    <w:p w:rsidR="00A26326" w:rsidRPr="0019406C" w:rsidRDefault="00596204" w:rsidP="00444A73">
      <w:pPr>
        <w:pStyle w:val="BodyText"/>
        <w:spacing w:line="276" w:lineRule="auto"/>
        <w:ind w:left="360"/>
        <w:jc w:val="both"/>
        <w:rPr>
          <w:rFonts w:asciiTheme="majorHAnsi" w:hAnsiTheme="majorHAnsi"/>
          <w:lang w:val="lv-LV"/>
        </w:rPr>
      </w:pPr>
      <w:r w:rsidRPr="0019406C">
        <w:rPr>
          <w:rFonts w:asciiTheme="majorHAnsi" w:hAnsiTheme="majorHAnsi"/>
          <w:lang w:val="lv-LV"/>
        </w:rPr>
        <w:t>Lai samazinātu uzņēmējdarbības izbeigšanas procesiem veltīto laiku, kā arī, lai palielinātu investoriem iespējamo atgūstamo ieguldījumu apjomu jāpalielina maksātnespējas administratora tiesības pieņemt lēmumu atbilstoši kreditoru interesēm, negaidot saskaņojumu ar tiesu un nepildot tiesai nepieciešamas prasības. Tādējādi tiktu paātrināts maksātnespējas process, rodot iespēju administratoram ātrāk veikt darbības, kas nepieciešamas, piemēram, uzņēmuma pārdošanai</w:t>
      </w:r>
      <w:r w:rsidR="009C79D3" w:rsidRPr="0019406C">
        <w:rPr>
          <w:rFonts w:asciiTheme="majorHAnsi" w:hAnsiTheme="majorHAnsi"/>
          <w:lang w:val="lv-LV"/>
        </w:rPr>
        <w:t xml:space="preserve"> (</w:t>
      </w:r>
      <w:r w:rsidR="00E34B83" w:rsidRPr="0019406C">
        <w:rPr>
          <w:rFonts w:asciiTheme="majorHAnsi" w:hAnsiTheme="majorHAnsi"/>
          <w:lang w:val="lv-LV"/>
        </w:rPr>
        <w:t>Detalizētu priekšlikumu skatīt 1. pielikuma 5.2. punktā</w:t>
      </w:r>
      <w:r w:rsidR="009C79D3" w:rsidRPr="0019406C">
        <w:rPr>
          <w:rFonts w:asciiTheme="majorHAnsi" w:hAnsiTheme="majorHAnsi"/>
          <w:lang w:val="lv-LV"/>
        </w:rPr>
        <w:t>)</w:t>
      </w:r>
      <w:r w:rsidRPr="0019406C">
        <w:rPr>
          <w:rFonts w:asciiTheme="majorHAnsi" w:hAnsiTheme="majorHAnsi"/>
          <w:lang w:val="lv-LV"/>
        </w:rPr>
        <w:t>.</w:t>
      </w:r>
    </w:p>
    <w:p w:rsidR="00DF2E8C" w:rsidRPr="0019406C" w:rsidRDefault="00DF2E8C" w:rsidP="000857A7">
      <w:pPr>
        <w:pStyle w:val="BodyText"/>
        <w:rPr>
          <w:rFonts w:eastAsiaTheme="majorEastAsia" w:cstheme="majorBidi"/>
          <w:b/>
          <w:bCs/>
          <w:i/>
          <w:color w:val="DC6900" w:themeColor="text2"/>
          <w:sz w:val="32"/>
          <w:szCs w:val="26"/>
          <w:lang w:val="lv-LV"/>
        </w:rPr>
      </w:pPr>
      <w:bookmarkStart w:id="117" w:name="_Toc381343950"/>
    </w:p>
    <w:p w:rsidR="00AF4D20" w:rsidRPr="0019406C" w:rsidRDefault="00AF4D20" w:rsidP="00AF4D20">
      <w:pPr>
        <w:pStyle w:val="Heading2"/>
        <w:rPr>
          <w:lang w:val="lv-LV"/>
        </w:rPr>
      </w:pPr>
      <w:bookmarkStart w:id="118" w:name="_Toc389226087"/>
      <w:r w:rsidRPr="0019406C">
        <w:rPr>
          <w:lang w:val="lv-LV"/>
        </w:rPr>
        <w:t>Darba tiesiskās attiecības (darbinieku nodarbināšana)</w:t>
      </w:r>
      <w:bookmarkEnd w:id="117"/>
      <w:bookmarkEnd w:id="118"/>
    </w:p>
    <w:p w:rsidR="00966E26" w:rsidRPr="0019406C" w:rsidRDefault="00966E26" w:rsidP="00966E26">
      <w:pPr>
        <w:pStyle w:val="BodyText"/>
        <w:rPr>
          <w:rFonts w:asciiTheme="majorHAnsi" w:hAnsiTheme="majorHAnsi"/>
          <w:lang w:val="lv-LV"/>
        </w:rPr>
      </w:pPr>
    </w:p>
    <w:p w:rsidR="00B37DA6" w:rsidRPr="0019406C" w:rsidRDefault="00B37DA6" w:rsidP="00B37DA6">
      <w:pPr>
        <w:pStyle w:val="BodyText"/>
        <w:rPr>
          <w:rFonts w:asciiTheme="majorHAnsi" w:hAnsiTheme="majorHAnsi"/>
          <w:b/>
          <w:sz w:val="22"/>
          <w:lang w:val="lv-LV"/>
        </w:rPr>
      </w:pPr>
      <w:r w:rsidRPr="0019406C">
        <w:rPr>
          <w:rFonts w:asciiTheme="majorHAnsi" w:hAnsiTheme="majorHAnsi"/>
          <w:b/>
          <w:sz w:val="22"/>
          <w:lang w:val="lv-LV"/>
        </w:rPr>
        <w:t>Uzņēmēju aptauja</w:t>
      </w:r>
    </w:p>
    <w:p w:rsidR="00B37DA6" w:rsidRPr="0019406C" w:rsidRDefault="00B37DA6" w:rsidP="00B37DA6">
      <w:pPr>
        <w:pStyle w:val="BodyText"/>
        <w:spacing w:line="276" w:lineRule="auto"/>
        <w:jc w:val="both"/>
        <w:rPr>
          <w:rFonts w:asciiTheme="majorHAnsi" w:hAnsiTheme="majorHAnsi"/>
          <w:lang w:val="lv-LV"/>
        </w:rPr>
      </w:pPr>
      <w:r w:rsidRPr="0019406C">
        <w:rPr>
          <w:rFonts w:asciiTheme="majorHAnsi" w:hAnsiTheme="majorHAnsi"/>
          <w:lang w:val="lv-LV"/>
        </w:rPr>
        <w:t>Latvijas Faktu veiktajā uzņēmēju aptaujā darba tiesisko attiecību jomā ir novērojamas pozitīvas tendences salīdzinājumā ar iepriekšējos gados veiktajām aptaujām. Aptaujas galvenie secinājumi:</w:t>
      </w:r>
    </w:p>
    <w:p w:rsidR="00B37DA6" w:rsidRPr="0019406C" w:rsidRDefault="00B37DA6" w:rsidP="00E521EE">
      <w:pPr>
        <w:pStyle w:val="BodyText"/>
        <w:numPr>
          <w:ilvl w:val="0"/>
          <w:numId w:val="36"/>
        </w:numPr>
        <w:spacing w:line="276" w:lineRule="auto"/>
        <w:jc w:val="both"/>
        <w:rPr>
          <w:rFonts w:asciiTheme="majorHAnsi" w:hAnsiTheme="majorHAnsi"/>
          <w:lang w:val="lv-LV"/>
        </w:rPr>
      </w:pPr>
      <w:r w:rsidRPr="0019406C">
        <w:rPr>
          <w:rFonts w:asciiTheme="majorHAnsi" w:hAnsiTheme="majorHAnsi"/>
          <w:lang w:val="lv-LV"/>
        </w:rPr>
        <w:t>Arvien mazāk uzņēmējiem darba tiesisko attiecību aspekti rada problēmas. 2011. gadā darba tiesiskās attiecības problēmas radīja 54% uzņēmēju, bet 2014. gadā 31</w:t>
      </w:r>
      <w:r w:rsidR="00036416" w:rsidRPr="0019406C">
        <w:rPr>
          <w:rFonts w:asciiTheme="majorHAnsi" w:hAnsiTheme="majorHAnsi"/>
          <w:lang w:val="lv-LV"/>
        </w:rPr>
        <w:t>,</w:t>
      </w:r>
      <w:r w:rsidRPr="0019406C">
        <w:rPr>
          <w:rFonts w:asciiTheme="majorHAnsi" w:hAnsiTheme="majorHAnsi"/>
          <w:lang w:val="lv-LV"/>
        </w:rPr>
        <w:t>3% uzņēmēju, kas ir būtisks uzlabojums.</w:t>
      </w:r>
    </w:p>
    <w:p w:rsidR="00B37DA6" w:rsidRPr="0019406C" w:rsidRDefault="00B37DA6" w:rsidP="00E521EE">
      <w:pPr>
        <w:pStyle w:val="BodyText"/>
        <w:numPr>
          <w:ilvl w:val="0"/>
          <w:numId w:val="36"/>
        </w:numPr>
        <w:spacing w:line="276" w:lineRule="auto"/>
        <w:jc w:val="both"/>
        <w:rPr>
          <w:rFonts w:asciiTheme="majorHAnsi" w:hAnsiTheme="majorHAnsi"/>
          <w:lang w:val="lv-LV"/>
        </w:rPr>
      </w:pPr>
      <w:r w:rsidRPr="0019406C">
        <w:rPr>
          <w:rFonts w:asciiTheme="majorHAnsi" w:hAnsiTheme="majorHAnsi"/>
          <w:lang w:val="lv-LV"/>
        </w:rPr>
        <w:t xml:space="preserve">No tiem uzņēmējiem, kuriem darba tiesiskās attiecības rada problēmas, ir izvirzītas sekojošas problēmu jomas: </w:t>
      </w:r>
    </w:p>
    <w:p w:rsidR="00B37DA6" w:rsidRPr="0019406C" w:rsidRDefault="00B37DA6" w:rsidP="00E521EE">
      <w:pPr>
        <w:pStyle w:val="BodyText"/>
        <w:numPr>
          <w:ilvl w:val="1"/>
          <w:numId w:val="36"/>
        </w:numPr>
        <w:spacing w:line="276" w:lineRule="auto"/>
        <w:jc w:val="both"/>
        <w:rPr>
          <w:rFonts w:asciiTheme="majorHAnsi" w:hAnsiTheme="majorHAnsi"/>
          <w:lang w:val="lv-LV"/>
        </w:rPr>
      </w:pPr>
      <w:r w:rsidRPr="0019406C">
        <w:rPr>
          <w:rFonts w:asciiTheme="majorHAnsi" w:hAnsiTheme="majorHAnsi"/>
          <w:lang w:val="lv-LV"/>
        </w:rPr>
        <w:t>minimālās algas nosacījumi (problēmu sagādā 13</w:t>
      </w:r>
      <w:r w:rsidR="00036416" w:rsidRPr="0019406C">
        <w:rPr>
          <w:rFonts w:asciiTheme="majorHAnsi" w:hAnsiTheme="majorHAnsi"/>
          <w:lang w:val="lv-LV"/>
        </w:rPr>
        <w:t>,</w:t>
      </w:r>
      <w:r w:rsidRPr="0019406C">
        <w:rPr>
          <w:rFonts w:asciiTheme="majorHAnsi" w:hAnsiTheme="majorHAnsi"/>
          <w:lang w:val="lv-LV"/>
        </w:rPr>
        <w:t>8% uzņēmēju 2014. gadā un 21% 2011. gadā, problēmas intensitāte 2014. gadā tika novērtēta ar 2,4 punktiem 4 ballu skalā (lielākā problēmas intensitāte vērojama pakalpojumu sfērā (2,5) un Rīgas (2,5) uzņēmumu vidū));</w:t>
      </w:r>
    </w:p>
    <w:p w:rsidR="00B37DA6" w:rsidRPr="0019406C" w:rsidRDefault="00B37DA6" w:rsidP="00E521EE">
      <w:pPr>
        <w:pStyle w:val="BodyText"/>
        <w:numPr>
          <w:ilvl w:val="1"/>
          <w:numId w:val="36"/>
        </w:numPr>
        <w:spacing w:line="276" w:lineRule="auto"/>
        <w:jc w:val="both"/>
        <w:rPr>
          <w:rFonts w:asciiTheme="majorHAnsi" w:hAnsiTheme="majorHAnsi"/>
          <w:lang w:val="lv-LV"/>
        </w:rPr>
      </w:pPr>
      <w:r w:rsidRPr="0019406C">
        <w:rPr>
          <w:rFonts w:asciiTheme="majorHAnsi" w:hAnsiTheme="majorHAnsi"/>
          <w:lang w:val="lv-LV"/>
        </w:rPr>
        <w:lastRenderedPageBreak/>
        <w:t>atalgojuma nosacījumi (problēmu sagādā 10</w:t>
      </w:r>
      <w:r w:rsidR="00036416" w:rsidRPr="0019406C">
        <w:rPr>
          <w:rFonts w:asciiTheme="majorHAnsi" w:hAnsiTheme="majorHAnsi"/>
          <w:lang w:val="lv-LV"/>
        </w:rPr>
        <w:t>,</w:t>
      </w:r>
      <w:r w:rsidRPr="0019406C">
        <w:rPr>
          <w:rFonts w:asciiTheme="majorHAnsi" w:hAnsiTheme="majorHAnsi"/>
          <w:lang w:val="lv-LV"/>
        </w:rPr>
        <w:t xml:space="preserve">2% uzņēmēju 2014. gadā un 22% 2011. gadā, problēmas intensitāte 2014. gadā tika </w:t>
      </w:r>
      <w:r w:rsidR="0072729F" w:rsidRPr="0019406C">
        <w:rPr>
          <w:rFonts w:asciiTheme="majorHAnsi" w:hAnsiTheme="majorHAnsi"/>
          <w:lang w:val="lv-LV"/>
        </w:rPr>
        <w:t>novērtēta</w:t>
      </w:r>
      <w:r w:rsidRPr="0019406C">
        <w:rPr>
          <w:rFonts w:asciiTheme="majorHAnsi" w:hAnsiTheme="majorHAnsi"/>
          <w:lang w:val="lv-LV"/>
        </w:rPr>
        <w:t xml:space="preserve"> ar 2,3 punktiem (lielākā problēmas intensitāte vērojama mikrouzņēmumu (1</w:t>
      </w:r>
      <w:r w:rsidR="00036416" w:rsidRPr="0019406C">
        <w:rPr>
          <w:rFonts w:asciiTheme="majorHAnsi" w:hAnsiTheme="majorHAnsi"/>
          <w:lang w:val="lv-LV"/>
        </w:rPr>
        <w:t xml:space="preserve"> – </w:t>
      </w:r>
      <w:r w:rsidRPr="0019406C">
        <w:rPr>
          <w:rFonts w:asciiTheme="majorHAnsi" w:hAnsiTheme="majorHAnsi"/>
          <w:lang w:val="lv-LV"/>
        </w:rPr>
        <w:t xml:space="preserve">9 darbinieki) vidū, jeb 2,4); </w:t>
      </w:r>
    </w:p>
    <w:p w:rsidR="00B37DA6" w:rsidRPr="0019406C" w:rsidRDefault="00B37DA6" w:rsidP="00E521EE">
      <w:pPr>
        <w:pStyle w:val="BodyText"/>
        <w:numPr>
          <w:ilvl w:val="1"/>
          <w:numId w:val="36"/>
        </w:numPr>
        <w:spacing w:line="276" w:lineRule="auto"/>
        <w:jc w:val="both"/>
        <w:rPr>
          <w:rFonts w:asciiTheme="majorHAnsi" w:hAnsiTheme="majorHAnsi"/>
          <w:lang w:val="lv-LV"/>
        </w:rPr>
      </w:pPr>
      <w:r w:rsidRPr="0019406C">
        <w:rPr>
          <w:rFonts w:asciiTheme="majorHAnsi" w:hAnsiTheme="majorHAnsi"/>
          <w:lang w:val="lv-LV"/>
        </w:rPr>
        <w:t>valsts sociālās apdrošināšanas obligātās iemaksas (problēmu sagādā 9</w:t>
      </w:r>
      <w:r w:rsidR="00036416" w:rsidRPr="0019406C">
        <w:rPr>
          <w:rFonts w:asciiTheme="majorHAnsi" w:hAnsiTheme="majorHAnsi"/>
          <w:lang w:val="lv-LV"/>
        </w:rPr>
        <w:t>,</w:t>
      </w:r>
      <w:r w:rsidRPr="0019406C">
        <w:rPr>
          <w:rFonts w:asciiTheme="majorHAnsi" w:hAnsiTheme="majorHAnsi"/>
          <w:lang w:val="lv-LV"/>
        </w:rPr>
        <w:t xml:space="preserve">5% uzņēmēju 2014. gadā un 33% 2011. gadā, problēmas intensitāte 2014. gadā tika </w:t>
      </w:r>
      <w:r w:rsidR="0072729F" w:rsidRPr="0019406C">
        <w:rPr>
          <w:rFonts w:asciiTheme="majorHAnsi" w:hAnsiTheme="majorHAnsi"/>
          <w:lang w:val="lv-LV"/>
        </w:rPr>
        <w:t>novērtēta</w:t>
      </w:r>
      <w:r w:rsidRPr="0019406C">
        <w:rPr>
          <w:rFonts w:asciiTheme="majorHAnsi" w:hAnsiTheme="majorHAnsi"/>
          <w:lang w:val="lv-LV"/>
        </w:rPr>
        <w:t xml:space="preserve"> ar 2,6 punktiem, lielākā problēmas intensitāte vērojama pakalpojumu sniedzēju vidū (2,7)).</w:t>
      </w:r>
    </w:p>
    <w:p w:rsidR="00B37DA6" w:rsidRPr="0019406C" w:rsidRDefault="00B37DA6" w:rsidP="00B37DA6">
      <w:pPr>
        <w:pStyle w:val="BodyText"/>
        <w:spacing w:line="276" w:lineRule="auto"/>
        <w:jc w:val="both"/>
        <w:rPr>
          <w:rFonts w:asciiTheme="majorHAnsi" w:hAnsiTheme="majorHAnsi"/>
          <w:lang w:val="lv-LV"/>
        </w:rPr>
      </w:pPr>
      <w:r w:rsidRPr="0019406C">
        <w:rPr>
          <w:noProof/>
          <w:sz w:val="18"/>
          <w:lang w:eastAsia="en-GB"/>
        </w:rPr>
        <w:drawing>
          <wp:inline distT="0" distB="0" distL="0" distR="0" wp14:anchorId="6F3290FE" wp14:editId="01F15E15">
            <wp:extent cx="6150634" cy="2777706"/>
            <wp:effectExtent l="0" t="0" r="2540" b="381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B37DA6" w:rsidRPr="0019406C" w:rsidRDefault="00B37DA6" w:rsidP="00B37DA6">
      <w:pPr>
        <w:pStyle w:val="Caption"/>
        <w:jc w:val="both"/>
        <w:rPr>
          <w:rFonts w:asciiTheme="majorHAnsi" w:hAnsiTheme="majorHAnsi"/>
          <w:sz w:val="16"/>
          <w:lang w:val="lv-LV"/>
        </w:rPr>
      </w:pPr>
      <w:r w:rsidRPr="0019406C">
        <w:rPr>
          <w:sz w:val="16"/>
          <w:lang w:val="lv-LV"/>
        </w:rPr>
        <w:t xml:space="preserve">Ilustrācija </w:t>
      </w:r>
      <w:r w:rsidRPr="0019406C">
        <w:rPr>
          <w:sz w:val="16"/>
          <w:lang w:val="lv-LV"/>
        </w:rPr>
        <w:fldChar w:fldCharType="begin"/>
      </w:r>
      <w:r w:rsidRPr="0019406C">
        <w:rPr>
          <w:sz w:val="16"/>
          <w:lang w:val="lv-LV"/>
        </w:rPr>
        <w:instrText xml:space="preserve"> SEQ Ilustrācija \* ARABIC </w:instrText>
      </w:r>
      <w:r w:rsidRPr="0019406C">
        <w:rPr>
          <w:sz w:val="16"/>
          <w:lang w:val="lv-LV"/>
        </w:rPr>
        <w:fldChar w:fldCharType="separate"/>
      </w:r>
      <w:r w:rsidR="00410806" w:rsidRPr="0019406C">
        <w:rPr>
          <w:noProof/>
          <w:sz w:val="16"/>
          <w:lang w:val="lv-LV"/>
        </w:rPr>
        <w:t>10</w:t>
      </w:r>
      <w:r w:rsidRPr="0019406C">
        <w:rPr>
          <w:sz w:val="16"/>
          <w:lang w:val="lv-LV"/>
        </w:rPr>
        <w:fldChar w:fldCharType="end"/>
      </w:r>
      <w:r w:rsidRPr="0019406C">
        <w:rPr>
          <w:sz w:val="16"/>
          <w:lang w:val="lv-LV"/>
        </w:rPr>
        <w:t xml:space="preserve"> Izplatītākās </w:t>
      </w:r>
      <w:proofErr w:type="spellStart"/>
      <w:r w:rsidRPr="0019406C">
        <w:rPr>
          <w:sz w:val="16"/>
          <w:lang w:val="lv-LV"/>
        </w:rPr>
        <w:t>problēmjomas</w:t>
      </w:r>
      <w:proofErr w:type="spellEnd"/>
      <w:r w:rsidRPr="0019406C">
        <w:rPr>
          <w:sz w:val="16"/>
          <w:lang w:val="lv-LV"/>
        </w:rPr>
        <w:t xml:space="preserve"> uzņēmējiem, kam darba tiesiskās attiecības rada problēmas (procenti uzņēmēju, kas konkrētās jomas atzina par problemātiskām)</w:t>
      </w:r>
    </w:p>
    <w:p w:rsidR="00B37DA6" w:rsidRPr="0019406C" w:rsidRDefault="00B37DA6" w:rsidP="00E521EE">
      <w:pPr>
        <w:pStyle w:val="BodyText"/>
        <w:numPr>
          <w:ilvl w:val="0"/>
          <w:numId w:val="36"/>
        </w:numPr>
        <w:spacing w:line="276" w:lineRule="auto"/>
        <w:jc w:val="both"/>
        <w:rPr>
          <w:rFonts w:asciiTheme="majorHAnsi" w:hAnsiTheme="majorHAnsi"/>
          <w:lang w:val="lv-LV"/>
        </w:rPr>
      </w:pPr>
      <w:r w:rsidRPr="0019406C">
        <w:rPr>
          <w:rFonts w:asciiTheme="majorHAnsi" w:hAnsiTheme="majorHAnsi"/>
          <w:lang w:val="lv-LV"/>
        </w:rPr>
        <w:t>44% uzņēmēju problēmas rada darba spēka pieejamības aspekti, no kuriem par problemātiskākajiem tiek uzskatīti sekojošie: (1) augsti kvalificēta tehniskā personāla (speciālistu) pieejamība (30.5%), norādot 2,7 punktu intensitāti 4 ballu skalā (lielākā problēmas intensitāte vērojama jaundibināto (pēc 01.01.2012.) (3,2), vidējo (50</w:t>
      </w:r>
      <w:r w:rsidR="00036416" w:rsidRPr="0019406C">
        <w:rPr>
          <w:rFonts w:asciiTheme="majorHAnsi" w:hAnsiTheme="majorHAnsi"/>
          <w:lang w:val="lv-LV"/>
        </w:rPr>
        <w:t xml:space="preserve"> – </w:t>
      </w:r>
      <w:r w:rsidRPr="0019406C">
        <w:rPr>
          <w:rFonts w:asciiTheme="majorHAnsi" w:hAnsiTheme="majorHAnsi"/>
          <w:lang w:val="lv-LV"/>
        </w:rPr>
        <w:t>249 darbinieki), (3,1), mazo (10</w:t>
      </w:r>
      <w:r w:rsidR="00036416" w:rsidRPr="0019406C">
        <w:rPr>
          <w:rFonts w:asciiTheme="majorHAnsi" w:hAnsiTheme="majorHAnsi"/>
          <w:lang w:val="lv-LV"/>
        </w:rPr>
        <w:t xml:space="preserve"> – </w:t>
      </w:r>
      <w:r w:rsidRPr="0019406C">
        <w:rPr>
          <w:rFonts w:asciiTheme="majorHAnsi" w:hAnsiTheme="majorHAnsi"/>
          <w:lang w:val="lv-LV"/>
        </w:rPr>
        <w:t>49 darbinieki) (2,8), ražošanas/ rūpniecības (2,8) un pakalpojumu sniedzēju (2,8) uzņēmumu grupās), (2) darbinieku uzticamība, lojalitāte un darba tikums (25</w:t>
      </w:r>
      <w:r w:rsidR="00036416" w:rsidRPr="0019406C">
        <w:rPr>
          <w:rFonts w:asciiTheme="majorHAnsi" w:hAnsiTheme="majorHAnsi"/>
          <w:lang w:val="lv-LV"/>
        </w:rPr>
        <w:t>,</w:t>
      </w:r>
      <w:r w:rsidRPr="0019406C">
        <w:rPr>
          <w:rFonts w:asciiTheme="majorHAnsi" w:hAnsiTheme="majorHAnsi"/>
          <w:lang w:val="lv-LV"/>
        </w:rPr>
        <w:t>6%), norādot 2,5 punktu intensitāti (lielākā problēmas intensitāte vērojama ražošanas/ rūpniecības (2,8) un būvniecības (2,8), kā arī jaundibināto (pēc 01.01.2012.) (2,7) uzņēmumu grupās) un (3) darbaspēka pietiekamība kopumā (24</w:t>
      </w:r>
      <w:r w:rsidR="00036416" w:rsidRPr="0019406C">
        <w:rPr>
          <w:rFonts w:asciiTheme="majorHAnsi" w:hAnsiTheme="majorHAnsi"/>
          <w:lang w:val="lv-LV"/>
        </w:rPr>
        <w:t>,</w:t>
      </w:r>
      <w:r w:rsidRPr="0019406C">
        <w:rPr>
          <w:rFonts w:asciiTheme="majorHAnsi" w:hAnsiTheme="majorHAnsi"/>
          <w:lang w:val="lv-LV"/>
        </w:rPr>
        <w:t>1%), norādot 2,7 punktu intensitāti (lielākā problēmas intensitāte vērojama jaundibināto (pēc 01.01.2012.) (3,2), tirdzniecības (2,8), pakalpojumu sniedzēju  (2,8), mazo (10</w:t>
      </w:r>
      <w:r w:rsidR="00036416" w:rsidRPr="0019406C">
        <w:rPr>
          <w:rFonts w:asciiTheme="majorHAnsi" w:hAnsiTheme="majorHAnsi"/>
          <w:lang w:val="lv-LV"/>
        </w:rPr>
        <w:t xml:space="preserve"> – </w:t>
      </w:r>
      <w:r w:rsidRPr="0019406C">
        <w:rPr>
          <w:rFonts w:asciiTheme="majorHAnsi" w:hAnsiTheme="majorHAnsi"/>
          <w:lang w:val="lv-LV"/>
        </w:rPr>
        <w:t>49 darbinieki) (2,8), mikrouzņēmumu (1</w:t>
      </w:r>
      <w:r w:rsidR="00036416" w:rsidRPr="0019406C">
        <w:rPr>
          <w:rFonts w:asciiTheme="majorHAnsi" w:hAnsiTheme="majorHAnsi"/>
          <w:lang w:val="lv-LV"/>
        </w:rPr>
        <w:t xml:space="preserve"> – </w:t>
      </w:r>
      <w:r w:rsidRPr="0019406C">
        <w:rPr>
          <w:rFonts w:asciiTheme="majorHAnsi" w:hAnsiTheme="majorHAnsi"/>
          <w:lang w:val="lv-LV"/>
        </w:rPr>
        <w:t>9 darbinieki) (2,8), lauku teritoriju (2,8) un Rīgas (2,8) uzņēmumu grupās). Lai arī šīs ir problemātiskās sfēras, tās kopš 2011. gada aptaujas ir piedzīvojušas būtiskus uzlabojumus un arvien mazāk uzņēmēju tās uzskata par problēmām.</w:t>
      </w:r>
    </w:p>
    <w:p w:rsidR="00B37DA6" w:rsidRPr="0019406C" w:rsidRDefault="00B37DA6" w:rsidP="00E521EE">
      <w:pPr>
        <w:pStyle w:val="BodyText"/>
        <w:numPr>
          <w:ilvl w:val="0"/>
          <w:numId w:val="36"/>
        </w:numPr>
        <w:spacing w:line="276" w:lineRule="auto"/>
        <w:jc w:val="both"/>
        <w:rPr>
          <w:rFonts w:asciiTheme="majorHAnsi" w:hAnsiTheme="majorHAnsi"/>
          <w:lang w:val="lv-LV"/>
        </w:rPr>
      </w:pPr>
      <w:r w:rsidRPr="0019406C">
        <w:rPr>
          <w:rFonts w:asciiTheme="majorHAnsi" w:hAnsiTheme="majorHAnsi"/>
          <w:lang w:val="lv-LV"/>
        </w:rPr>
        <w:t>Pēc uzņēmēju viedokļa, minimālās algas apmēram 2014. gadā būtu jābūt 483</w:t>
      </w:r>
      <w:r w:rsidR="00036416" w:rsidRPr="0019406C">
        <w:rPr>
          <w:rFonts w:asciiTheme="majorHAnsi" w:hAnsiTheme="majorHAnsi"/>
          <w:lang w:val="lv-LV"/>
        </w:rPr>
        <w:t>,</w:t>
      </w:r>
      <w:r w:rsidRPr="0019406C">
        <w:rPr>
          <w:rFonts w:asciiTheme="majorHAnsi" w:hAnsiTheme="majorHAnsi"/>
          <w:lang w:val="lv-LV"/>
        </w:rPr>
        <w:t>7 EUR apmērā pēc nodokļu nomaksas, 2011. gadā pēc uzņēmēju domām tam bija jābūt 398</w:t>
      </w:r>
      <w:r w:rsidR="00036416" w:rsidRPr="0019406C">
        <w:rPr>
          <w:rFonts w:asciiTheme="majorHAnsi" w:hAnsiTheme="majorHAnsi"/>
          <w:lang w:val="lv-LV"/>
        </w:rPr>
        <w:t>,</w:t>
      </w:r>
      <w:r w:rsidRPr="0019406C">
        <w:rPr>
          <w:rFonts w:asciiTheme="majorHAnsi" w:hAnsiTheme="majorHAnsi"/>
          <w:lang w:val="lv-LV"/>
        </w:rPr>
        <w:t>4 EUR apmērā. Faktiski kopš 2014. gada 1. janvāra minimālā alga ir 320 EUR, kas pēc nodokļu nomaksas ir aptuveni 217 EUR. Tādējādi uzņēmēji vēlētos paaugstināt minimālās algas apmēru valstī vairāk kā divkārtīgi.</w:t>
      </w:r>
    </w:p>
    <w:p w:rsidR="00B37DA6" w:rsidRPr="0019406C" w:rsidRDefault="00B37DA6" w:rsidP="00E521EE">
      <w:pPr>
        <w:pStyle w:val="BodyText"/>
        <w:numPr>
          <w:ilvl w:val="0"/>
          <w:numId w:val="36"/>
        </w:numPr>
        <w:spacing w:line="276" w:lineRule="auto"/>
        <w:jc w:val="both"/>
        <w:rPr>
          <w:rFonts w:asciiTheme="majorHAnsi" w:hAnsiTheme="majorHAnsi"/>
          <w:lang w:val="lv-LV"/>
        </w:rPr>
      </w:pPr>
      <w:r w:rsidRPr="0019406C">
        <w:rPr>
          <w:rFonts w:asciiTheme="majorHAnsi" w:hAnsiTheme="majorHAnsi"/>
          <w:lang w:val="lv-LV"/>
        </w:rPr>
        <w:t>Aptuveni 80% aptaujas dalībnieku atzina, ka darbiniekiem neizmaksā piemaksas par virsstundu darbu, kā arī darbu svētku dienās un brīvdienās</w:t>
      </w:r>
      <w:r w:rsidR="000111DC" w:rsidRPr="0019406C">
        <w:rPr>
          <w:rFonts w:asciiTheme="majorHAnsi" w:hAnsiTheme="majorHAnsi"/>
          <w:lang w:val="lv-LV"/>
        </w:rPr>
        <w:t>.</w:t>
      </w:r>
    </w:p>
    <w:p w:rsidR="00B37DA6" w:rsidRPr="0019406C" w:rsidRDefault="00B37DA6" w:rsidP="00B37DA6">
      <w:pPr>
        <w:pStyle w:val="BodyText"/>
        <w:spacing w:line="276" w:lineRule="auto"/>
        <w:jc w:val="both"/>
        <w:rPr>
          <w:rFonts w:asciiTheme="majorHAnsi" w:hAnsiTheme="majorHAnsi"/>
          <w:lang w:val="lv-LV"/>
        </w:rPr>
      </w:pPr>
      <w:r w:rsidRPr="0019406C">
        <w:rPr>
          <w:rFonts w:asciiTheme="majorHAnsi" w:hAnsiTheme="majorHAnsi"/>
          <w:lang w:val="lv-LV"/>
        </w:rPr>
        <w:lastRenderedPageBreak/>
        <w:t>Tādējādi, no uzņēmēju aptaujas var secināt, ka uzņēmumiem darba tiesiskās attiecības lielākoties nesagādā problēmas, tomēr tiem kuriem sagādā</w:t>
      </w:r>
      <w:r w:rsidR="00973A45" w:rsidRPr="0019406C">
        <w:rPr>
          <w:rFonts w:asciiTheme="majorHAnsi" w:hAnsiTheme="majorHAnsi"/>
          <w:lang w:val="lv-LV"/>
        </w:rPr>
        <w:t>,</w:t>
      </w:r>
      <w:r w:rsidRPr="0019406C">
        <w:rPr>
          <w:rFonts w:asciiTheme="majorHAnsi" w:hAnsiTheme="majorHAnsi"/>
          <w:lang w:val="lv-LV"/>
        </w:rPr>
        <w:t xml:space="preserve"> lielākās problēmas ir zemais minimālās algas apmērs un kvalificēta darbaspēka pietiekamība. Pie tam, abos minētajos rādītājos pēdējos gados ir manāmas pozitīvas tendences.</w:t>
      </w:r>
    </w:p>
    <w:p w:rsidR="002A2698" w:rsidRPr="0019406C" w:rsidRDefault="002A2698" w:rsidP="002A2698">
      <w:pPr>
        <w:pStyle w:val="BodyText"/>
        <w:rPr>
          <w:rFonts w:asciiTheme="majorHAnsi" w:hAnsiTheme="majorHAnsi"/>
          <w:b/>
          <w:sz w:val="22"/>
          <w:lang w:val="lv-LV"/>
        </w:rPr>
      </w:pPr>
      <w:r w:rsidRPr="0019406C">
        <w:rPr>
          <w:rFonts w:asciiTheme="majorHAnsi" w:hAnsiTheme="majorHAnsi"/>
          <w:b/>
          <w:sz w:val="22"/>
          <w:lang w:val="lv-LV"/>
        </w:rPr>
        <w:t>Doing Business pētījums</w:t>
      </w:r>
    </w:p>
    <w:p w:rsidR="002A2698" w:rsidRPr="0019406C" w:rsidRDefault="002A2698" w:rsidP="002A2698">
      <w:pPr>
        <w:pStyle w:val="BodyText"/>
        <w:spacing w:line="276" w:lineRule="auto"/>
        <w:jc w:val="both"/>
        <w:rPr>
          <w:rFonts w:asciiTheme="majorHAnsi" w:hAnsiTheme="majorHAnsi"/>
          <w:lang w:val="lv-LV"/>
        </w:rPr>
      </w:pPr>
      <w:r w:rsidRPr="0019406C">
        <w:rPr>
          <w:rFonts w:asciiTheme="majorHAnsi" w:hAnsiTheme="majorHAnsi"/>
          <w:lang w:val="lv-LV"/>
        </w:rPr>
        <w:t>DB2014 pētījums darba tiesiskās attiecības reitingā neiekļauj. Taču neskatoties uz to, DB ir apkopojis rādītājus par darba tiesiskajām attiecībām (skatīt zemāk).</w:t>
      </w:r>
    </w:p>
    <w:p w:rsidR="002A2698" w:rsidRPr="0019406C" w:rsidRDefault="002A2698" w:rsidP="002A2698">
      <w:pPr>
        <w:pStyle w:val="Caption"/>
        <w:keepNext/>
        <w:rPr>
          <w:rFonts w:asciiTheme="majorHAnsi" w:hAnsiTheme="majorHAnsi"/>
          <w:sz w:val="16"/>
          <w:lang w:val="lv-LV"/>
        </w:rPr>
      </w:pPr>
      <w:bookmarkStart w:id="119" w:name="_Toc381343988"/>
      <w:bookmarkStart w:id="120" w:name="_Toc389225098"/>
      <w:r w:rsidRPr="0019406C">
        <w:rPr>
          <w:rFonts w:asciiTheme="majorHAnsi" w:hAnsiTheme="majorHAnsi"/>
          <w:sz w:val="16"/>
          <w:lang w:val="lv-LV"/>
        </w:rPr>
        <w:t xml:space="preserve">Tabula </w:t>
      </w:r>
      <w:r w:rsidRPr="0019406C">
        <w:rPr>
          <w:rFonts w:asciiTheme="majorHAnsi" w:hAnsiTheme="majorHAnsi"/>
          <w:sz w:val="16"/>
          <w:lang w:val="lv-LV"/>
        </w:rPr>
        <w:fldChar w:fldCharType="begin"/>
      </w:r>
      <w:r w:rsidRPr="0019406C">
        <w:rPr>
          <w:rFonts w:asciiTheme="majorHAnsi" w:hAnsiTheme="majorHAnsi"/>
          <w:sz w:val="16"/>
          <w:lang w:val="lv-LV"/>
        </w:rPr>
        <w:instrText xml:space="preserve"> SEQ Tabula \* ARABIC </w:instrText>
      </w:r>
      <w:r w:rsidRPr="0019406C">
        <w:rPr>
          <w:rFonts w:asciiTheme="majorHAnsi" w:hAnsiTheme="majorHAnsi"/>
          <w:sz w:val="16"/>
          <w:lang w:val="lv-LV"/>
        </w:rPr>
        <w:fldChar w:fldCharType="separate"/>
      </w:r>
      <w:r w:rsidR="00410806" w:rsidRPr="0019406C">
        <w:rPr>
          <w:rFonts w:asciiTheme="majorHAnsi" w:hAnsiTheme="majorHAnsi"/>
          <w:noProof/>
          <w:sz w:val="16"/>
          <w:lang w:val="lv-LV"/>
        </w:rPr>
        <w:t>24</w:t>
      </w:r>
      <w:r w:rsidRPr="0019406C">
        <w:rPr>
          <w:rFonts w:asciiTheme="majorHAnsi" w:hAnsiTheme="majorHAnsi"/>
          <w:sz w:val="16"/>
          <w:lang w:val="lv-LV"/>
        </w:rPr>
        <w:fldChar w:fldCharType="end"/>
      </w:r>
      <w:r w:rsidRPr="0019406C">
        <w:rPr>
          <w:rFonts w:asciiTheme="majorHAnsi" w:hAnsiTheme="majorHAnsi"/>
          <w:sz w:val="16"/>
          <w:lang w:val="lv-LV"/>
        </w:rPr>
        <w:t xml:space="preserve"> DB2014 darba tiesisko attiecību rādītāju salīdzinājums</w:t>
      </w:r>
      <w:bookmarkEnd w:id="119"/>
      <w:bookmarkEnd w:id="120"/>
    </w:p>
    <w:tbl>
      <w:tblPr>
        <w:tblStyle w:val="LightList-Accent11"/>
        <w:tblW w:w="5000" w:type="pct"/>
        <w:tblLook w:val="00A0" w:firstRow="1" w:lastRow="0" w:firstColumn="1" w:lastColumn="0" w:noHBand="0" w:noVBand="0"/>
      </w:tblPr>
      <w:tblGrid>
        <w:gridCol w:w="1048"/>
        <w:gridCol w:w="1163"/>
        <w:gridCol w:w="2750"/>
        <w:gridCol w:w="2752"/>
        <w:gridCol w:w="2367"/>
      </w:tblGrid>
      <w:tr w:rsidR="002A2698" w:rsidRPr="00BB0049" w:rsidTr="00AE0B1D">
        <w:trPr>
          <w:cnfStyle w:val="100000000000" w:firstRow="1" w:lastRow="0" w:firstColumn="0" w:lastColumn="0" w:oddVBand="0" w:evenVBand="0" w:oddHBand="0" w:evenHBand="0" w:firstRowFirstColumn="0" w:firstRowLastColumn="0" w:lastRowFirstColumn="0" w:lastRowLastColumn="0"/>
          <w:trHeight w:val="190"/>
          <w:tblHeader/>
        </w:trPr>
        <w:tc>
          <w:tcPr>
            <w:cnfStyle w:val="001000000000" w:firstRow="0" w:lastRow="0" w:firstColumn="1" w:lastColumn="0" w:oddVBand="0" w:evenVBand="0" w:oddHBand="0" w:evenHBand="0" w:firstRowFirstColumn="0" w:firstRowLastColumn="0" w:lastRowFirstColumn="0" w:lastRowLastColumn="0"/>
            <w:tcW w:w="520" w:type="pct"/>
          </w:tcPr>
          <w:p w:rsidR="002A2698" w:rsidRPr="0019406C" w:rsidRDefault="002A2698" w:rsidP="00AE0B1D">
            <w:pPr>
              <w:rPr>
                <w:rFonts w:asciiTheme="majorHAnsi" w:hAnsiTheme="majorHAnsi"/>
                <w:lang w:val="lv-LV"/>
              </w:rPr>
            </w:pPr>
            <w:r w:rsidRPr="0019406C">
              <w:rPr>
                <w:rFonts w:asciiTheme="majorHAnsi" w:hAnsiTheme="majorHAnsi"/>
                <w:lang w:val="lv-LV"/>
              </w:rPr>
              <w:t>Valsts</w:t>
            </w:r>
          </w:p>
        </w:tc>
        <w:tc>
          <w:tcPr>
            <w:cnfStyle w:val="000010000000" w:firstRow="0" w:lastRow="0" w:firstColumn="0" w:lastColumn="0" w:oddVBand="1" w:evenVBand="0" w:oddHBand="0" w:evenHBand="0" w:firstRowFirstColumn="0" w:firstRowLastColumn="0" w:lastRowFirstColumn="0" w:lastRowLastColumn="0"/>
            <w:tcW w:w="577" w:type="pct"/>
          </w:tcPr>
          <w:p w:rsidR="002A2698" w:rsidRPr="0019406C" w:rsidRDefault="002A2698" w:rsidP="00AE0B1D">
            <w:pPr>
              <w:rPr>
                <w:rFonts w:asciiTheme="majorHAnsi" w:hAnsiTheme="majorHAnsi"/>
                <w:lang w:val="lv-LV"/>
              </w:rPr>
            </w:pPr>
            <w:r w:rsidRPr="0019406C">
              <w:rPr>
                <w:rFonts w:asciiTheme="majorHAnsi" w:hAnsiTheme="majorHAnsi"/>
                <w:lang w:val="lv-LV"/>
              </w:rPr>
              <w:t>Darba dienas nedēļā</w:t>
            </w:r>
          </w:p>
        </w:tc>
        <w:tc>
          <w:tcPr>
            <w:tcW w:w="1364" w:type="pct"/>
          </w:tcPr>
          <w:p w:rsidR="002A2698" w:rsidRPr="0019406C" w:rsidRDefault="002A2698" w:rsidP="00AE0B1D">
            <w:pPr>
              <w:cnfStyle w:val="100000000000" w:firstRow="1"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Ikgadējais apmaksātais atvaļinājums (darba dienas) pēc 5 nostrādātiem gadiem</w:t>
            </w:r>
          </w:p>
        </w:tc>
        <w:tc>
          <w:tcPr>
            <w:cnfStyle w:val="000010000000" w:firstRow="0" w:lastRow="0" w:firstColumn="0" w:lastColumn="0" w:oddVBand="1" w:evenVBand="0" w:oddHBand="0" w:evenHBand="0" w:firstRowFirstColumn="0" w:firstRowLastColumn="0" w:lastRowFirstColumn="0" w:lastRowLastColumn="0"/>
            <w:tcW w:w="1365" w:type="pct"/>
          </w:tcPr>
          <w:p w:rsidR="002A2698" w:rsidRPr="0019406C" w:rsidRDefault="002A2698" w:rsidP="00AE0B1D">
            <w:pPr>
              <w:rPr>
                <w:rFonts w:asciiTheme="majorHAnsi" w:hAnsiTheme="majorHAnsi"/>
                <w:lang w:val="lv-LV"/>
              </w:rPr>
            </w:pPr>
            <w:r w:rsidRPr="0019406C">
              <w:rPr>
                <w:rFonts w:asciiTheme="majorHAnsi" w:hAnsiTheme="majorHAnsi"/>
                <w:lang w:val="lv-LV"/>
              </w:rPr>
              <w:t>Iepriekšējs paziņojums par atlaišanu (darba dienas) pēc 5 nostrādātiem gadiem</w:t>
            </w:r>
          </w:p>
        </w:tc>
        <w:tc>
          <w:tcPr>
            <w:tcW w:w="1174" w:type="pct"/>
          </w:tcPr>
          <w:p w:rsidR="002A2698" w:rsidRPr="0019406C" w:rsidRDefault="002A2698" w:rsidP="00AE0B1D">
            <w:pPr>
              <w:cnfStyle w:val="100000000000" w:firstRow="1"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Atlaišanas pabalsts (mēneši) pēc 5 nostrādātiem gadiem</w:t>
            </w:r>
          </w:p>
        </w:tc>
      </w:tr>
      <w:tr w:rsidR="002A2698" w:rsidRPr="0019406C" w:rsidTr="00AE0B1D">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20" w:type="pct"/>
          </w:tcPr>
          <w:p w:rsidR="002A2698" w:rsidRPr="0019406C" w:rsidRDefault="002A2698" w:rsidP="00AE0B1D">
            <w:pPr>
              <w:rPr>
                <w:rFonts w:asciiTheme="majorHAnsi" w:hAnsiTheme="majorHAnsi"/>
                <w:b w:val="0"/>
                <w:lang w:val="lv-LV"/>
              </w:rPr>
            </w:pPr>
            <w:r w:rsidRPr="0019406C">
              <w:rPr>
                <w:rFonts w:asciiTheme="majorHAnsi" w:hAnsiTheme="majorHAnsi"/>
                <w:b w:val="0"/>
                <w:lang w:val="lv-LV"/>
              </w:rPr>
              <w:t>Zviedrija</w:t>
            </w:r>
          </w:p>
        </w:tc>
        <w:tc>
          <w:tcPr>
            <w:cnfStyle w:val="000010000000" w:firstRow="0" w:lastRow="0" w:firstColumn="0" w:lastColumn="0" w:oddVBand="1" w:evenVBand="0" w:oddHBand="0" w:evenHBand="0" w:firstRowFirstColumn="0" w:firstRowLastColumn="0" w:lastRowFirstColumn="0" w:lastRowLastColumn="0"/>
            <w:tcW w:w="577" w:type="pct"/>
          </w:tcPr>
          <w:p w:rsidR="002A2698" w:rsidRPr="0019406C" w:rsidRDefault="002A2698" w:rsidP="00036416">
            <w:pPr>
              <w:jc w:val="center"/>
              <w:rPr>
                <w:rFonts w:asciiTheme="majorHAnsi" w:hAnsiTheme="majorHAnsi"/>
                <w:lang w:val="lv-LV"/>
              </w:rPr>
            </w:pPr>
            <w:r w:rsidRPr="0019406C">
              <w:rPr>
                <w:rFonts w:asciiTheme="majorHAnsi" w:hAnsiTheme="majorHAnsi"/>
                <w:lang w:val="lv-LV"/>
              </w:rPr>
              <w:t>5</w:t>
            </w:r>
            <w:r w:rsidR="00036416" w:rsidRPr="0019406C">
              <w:rPr>
                <w:rFonts w:asciiTheme="majorHAnsi" w:hAnsiTheme="majorHAnsi"/>
                <w:lang w:val="lv-LV"/>
              </w:rPr>
              <w:t>,</w:t>
            </w:r>
            <w:r w:rsidRPr="0019406C">
              <w:rPr>
                <w:rFonts w:asciiTheme="majorHAnsi" w:hAnsiTheme="majorHAnsi"/>
                <w:lang w:val="lv-LV"/>
              </w:rPr>
              <w:t>5</w:t>
            </w:r>
          </w:p>
        </w:tc>
        <w:tc>
          <w:tcPr>
            <w:tcW w:w="1364" w:type="pct"/>
          </w:tcPr>
          <w:p w:rsidR="002A2698" w:rsidRPr="0019406C" w:rsidRDefault="002A2698" w:rsidP="00AE0B1D">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25</w:t>
            </w:r>
          </w:p>
        </w:tc>
        <w:tc>
          <w:tcPr>
            <w:cnfStyle w:val="000010000000" w:firstRow="0" w:lastRow="0" w:firstColumn="0" w:lastColumn="0" w:oddVBand="1" w:evenVBand="0" w:oddHBand="0" w:evenHBand="0" w:firstRowFirstColumn="0" w:firstRowLastColumn="0" w:lastRowFirstColumn="0" w:lastRowLastColumn="0"/>
            <w:tcW w:w="1365" w:type="pct"/>
          </w:tcPr>
          <w:p w:rsidR="002A2698" w:rsidRPr="0019406C" w:rsidRDefault="002A2698" w:rsidP="00036416">
            <w:pPr>
              <w:jc w:val="center"/>
              <w:rPr>
                <w:rFonts w:asciiTheme="majorHAnsi" w:hAnsiTheme="majorHAnsi"/>
                <w:lang w:val="lv-LV"/>
              </w:rPr>
            </w:pPr>
            <w:r w:rsidRPr="0019406C">
              <w:rPr>
                <w:rFonts w:asciiTheme="majorHAnsi" w:hAnsiTheme="majorHAnsi"/>
                <w:lang w:val="lv-LV"/>
              </w:rPr>
              <w:t>13</w:t>
            </w:r>
            <w:r w:rsidR="00036416" w:rsidRPr="0019406C">
              <w:rPr>
                <w:rFonts w:asciiTheme="majorHAnsi" w:hAnsiTheme="majorHAnsi"/>
                <w:lang w:val="lv-LV"/>
              </w:rPr>
              <w:t>,</w:t>
            </w:r>
            <w:r w:rsidRPr="0019406C">
              <w:rPr>
                <w:rFonts w:asciiTheme="majorHAnsi" w:hAnsiTheme="majorHAnsi"/>
                <w:lang w:val="lv-LV"/>
              </w:rPr>
              <w:t>00</w:t>
            </w:r>
          </w:p>
        </w:tc>
        <w:tc>
          <w:tcPr>
            <w:tcW w:w="1174" w:type="pct"/>
          </w:tcPr>
          <w:p w:rsidR="002A2698" w:rsidRPr="0019406C" w:rsidRDefault="002A2698" w:rsidP="00AE0B1D">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w:t>
            </w:r>
          </w:p>
        </w:tc>
      </w:tr>
      <w:tr w:rsidR="002A2698" w:rsidRPr="0019406C" w:rsidTr="00AE0B1D">
        <w:trPr>
          <w:trHeight w:val="270"/>
        </w:trPr>
        <w:tc>
          <w:tcPr>
            <w:cnfStyle w:val="001000000000" w:firstRow="0" w:lastRow="0" w:firstColumn="1" w:lastColumn="0" w:oddVBand="0" w:evenVBand="0" w:oddHBand="0" w:evenHBand="0" w:firstRowFirstColumn="0" w:firstRowLastColumn="0" w:lastRowFirstColumn="0" w:lastRowLastColumn="0"/>
            <w:tcW w:w="520" w:type="pct"/>
          </w:tcPr>
          <w:p w:rsidR="002A2698" w:rsidRPr="0019406C" w:rsidRDefault="002A2698" w:rsidP="00AE0B1D">
            <w:pPr>
              <w:rPr>
                <w:rFonts w:asciiTheme="majorHAnsi" w:hAnsiTheme="majorHAnsi"/>
                <w:b w:val="0"/>
                <w:lang w:val="lv-LV"/>
              </w:rPr>
            </w:pPr>
            <w:r w:rsidRPr="0019406C">
              <w:rPr>
                <w:rFonts w:asciiTheme="majorHAnsi" w:hAnsiTheme="majorHAnsi"/>
                <w:b w:val="0"/>
                <w:lang w:val="lv-LV"/>
              </w:rPr>
              <w:t>Polija</w:t>
            </w:r>
          </w:p>
        </w:tc>
        <w:tc>
          <w:tcPr>
            <w:cnfStyle w:val="000010000000" w:firstRow="0" w:lastRow="0" w:firstColumn="0" w:lastColumn="0" w:oddVBand="1" w:evenVBand="0" w:oddHBand="0" w:evenHBand="0" w:firstRowFirstColumn="0" w:firstRowLastColumn="0" w:lastRowFirstColumn="0" w:lastRowLastColumn="0"/>
            <w:tcW w:w="577" w:type="pct"/>
          </w:tcPr>
          <w:p w:rsidR="002A2698" w:rsidRPr="0019406C" w:rsidRDefault="002A2698" w:rsidP="00AE0B1D">
            <w:pPr>
              <w:jc w:val="center"/>
              <w:rPr>
                <w:rFonts w:asciiTheme="majorHAnsi" w:hAnsiTheme="majorHAnsi"/>
                <w:lang w:val="lv-LV"/>
              </w:rPr>
            </w:pPr>
            <w:r w:rsidRPr="0019406C">
              <w:rPr>
                <w:rFonts w:asciiTheme="majorHAnsi" w:hAnsiTheme="majorHAnsi"/>
                <w:lang w:val="lv-LV"/>
              </w:rPr>
              <w:t>6</w:t>
            </w:r>
          </w:p>
        </w:tc>
        <w:tc>
          <w:tcPr>
            <w:tcW w:w="1364" w:type="pct"/>
          </w:tcPr>
          <w:p w:rsidR="002A2698" w:rsidRPr="0019406C" w:rsidRDefault="002A2698" w:rsidP="00AE0B1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20</w:t>
            </w:r>
          </w:p>
        </w:tc>
        <w:tc>
          <w:tcPr>
            <w:cnfStyle w:val="000010000000" w:firstRow="0" w:lastRow="0" w:firstColumn="0" w:lastColumn="0" w:oddVBand="1" w:evenVBand="0" w:oddHBand="0" w:evenHBand="0" w:firstRowFirstColumn="0" w:firstRowLastColumn="0" w:lastRowFirstColumn="0" w:lastRowLastColumn="0"/>
            <w:tcW w:w="1365" w:type="pct"/>
          </w:tcPr>
          <w:p w:rsidR="002A2698" w:rsidRPr="0019406C" w:rsidRDefault="002A2698" w:rsidP="00036416">
            <w:pPr>
              <w:jc w:val="center"/>
              <w:rPr>
                <w:rFonts w:asciiTheme="majorHAnsi" w:hAnsiTheme="majorHAnsi"/>
                <w:lang w:val="lv-LV"/>
              </w:rPr>
            </w:pPr>
            <w:r w:rsidRPr="0019406C">
              <w:rPr>
                <w:rFonts w:asciiTheme="majorHAnsi" w:hAnsiTheme="majorHAnsi"/>
                <w:lang w:val="lv-LV"/>
              </w:rPr>
              <w:t>13</w:t>
            </w:r>
            <w:r w:rsidR="00036416" w:rsidRPr="0019406C">
              <w:rPr>
                <w:rFonts w:asciiTheme="majorHAnsi" w:hAnsiTheme="majorHAnsi"/>
                <w:lang w:val="lv-LV"/>
              </w:rPr>
              <w:t>,</w:t>
            </w:r>
            <w:r w:rsidRPr="0019406C">
              <w:rPr>
                <w:rFonts w:asciiTheme="majorHAnsi" w:hAnsiTheme="majorHAnsi"/>
                <w:lang w:val="lv-LV"/>
              </w:rPr>
              <w:t>00</w:t>
            </w:r>
          </w:p>
        </w:tc>
        <w:tc>
          <w:tcPr>
            <w:tcW w:w="1174" w:type="pct"/>
          </w:tcPr>
          <w:p w:rsidR="002A2698" w:rsidRPr="0019406C" w:rsidRDefault="002A2698" w:rsidP="000364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8</w:t>
            </w:r>
            <w:r w:rsidR="00036416" w:rsidRPr="0019406C">
              <w:rPr>
                <w:rFonts w:asciiTheme="majorHAnsi" w:hAnsiTheme="majorHAnsi"/>
                <w:lang w:val="lv-LV"/>
              </w:rPr>
              <w:t>,</w:t>
            </w:r>
            <w:r w:rsidRPr="0019406C">
              <w:rPr>
                <w:rFonts w:asciiTheme="majorHAnsi" w:hAnsiTheme="majorHAnsi"/>
                <w:lang w:val="lv-LV"/>
              </w:rPr>
              <w:t>67</w:t>
            </w:r>
          </w:p>
        </w:tc>
      </w:tr>
      <w:tr w:rsidR="002A2698" w:rsidRPr="0019406C" w:rsidTr="00AE0B1D">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520" w:type="pct"/>
          </w:tcPr>
          <w:p w:rsidR="002A2698" w:rsidRPr="0019406C" w:rsidRDefault="002A2698" w:rsidP="00AE0B1D">
            <w:pPr>
              <w:rPr>
                <w:rFonts w:asciiTheme="majorHAnsi" w:hAnsiTheme="majorHAnsi"/>
                <w:b w:val="0"/>
                <w:lang w:val="lv-LV"/>
              </w:rPr>
            </w:pPr>
            <w:r w:rsidRPr="0019406C">
              <w:rPr>
                <w:rFonts w:asciiTheme="majorHAnsi" w:hAnsiTheme="majorHAnsi"/>
                <w:b w:val="0"/>
                <w:lang w:val="lv-LV"/>
              </w:rPr>
              <w:t>Lietuva</w:t>
            </w:r>
          </w:p>
        </w:tc>
        <w:tc>
          <w:tcPr>
            <w:cnfStyle w:val="000010000000" w:firstRow="0" w:lastRow="0" w:firstColumn="0" w:lastColumn="0" w:oddVBand="1" w:evenVBand="0" w:oddHBand="0" w:evenHBand="0" w:firstRowFirstColumn="0" w:firstRowLastColumn="0" w:lastRowFirstColumn="0" w:lastRowLastColumn="0"/>
            <w:tcW w:w="577" w:type="pct"/>
          </w:tcPr>
          <w:p w:rsidR="002A2698" w:rsidRPr="0019406C" w:rsidRDefault="002A2698" w:rsidP="00036416">
            <w:pPr>
              <w:jc w:val="center"/>
              <w:rPr>
                <w:rFonts w:asciiTheme="majorHAnsi" w:hAnsiTheme="majorHAnsi"/>
                <w:lang w:val="lv-LV"/>
              </w:rPr>
            </w:pPr>
            <w:r w:rsidRPr="0019406C">
              <w:rPr>
                <w:rFonts w:asciiTheme="majorHAnsi" w:hAnsiTheme="majorHAnsi"/>
                <w:lang w:val="lv-LV"/>
              </w:rPr>
              <w:t>5</w:t>
            </w:r>
            <w:r w:rsidR="00036416" w:rsidRPr="0019406C">
              <w:rPr>
                <w:rFonts w:asciiTheme="majorHAnsi" w:hAnsiTheme="majorHAnsi"/>
                <w:lang w:val="lv-LV"/>
              </w:rPr>
              <w:t>,</w:t>
            </w:r>
            <w:r w:rsidRPr="0019406C">
              <w:rPr>
                <w:rFonts w:asciiTheme="majorHAnsi" w:hAnsiTheme="majorHAnsi"/>
                <w:lang w:val="lv-LV"/>
              </w:rPr>
              <w:t>54</w:t>
            </w:r>
          </w:p>
        </w:tc>
        <w:tc>
          <w:tcPr>
            <w:tcW w:w="1364" w:type="pct"/>
          </w:tcPr>
          <w:p w:rsidR="002A2698" w:rsidRPr="0019406C" w:rsidRDefault="002A2698" w:rsidP="00AE0B1D">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20</w:t>
            </w:r>
          </w:p>
        </w:tc>
        <w:tc>
          <w:tcPr>
            <w:cnfStyle w:val="000010000000" w:firstRow="0" w:lastRow="0" w:firstColumn="0" w:lastColumn="0" w:oddVBand="1" w:evenVBand="0" w:oddHBand="0" w:evenHBand="0" w:firstRowFirstColumn="0" w:firstRowLastColumn="0" w:lastRowFirstColumn="0" w:lastRowLastColumn="0"/>
            <w:tcW w:w="1365" w:type="pct"/>
          </w:tcPr>
          <w:p w:rsidR="002A2698" w:rsidRPr="0019406C" w:rsidRDefault="002A2698" w:rsidP="00036416">
            <w:pPr>
              <w:jc w:val="center"/>
              <w:rPr>
                <w:rFonts w:asciiTheme="majorHAnsi" w:hAnsiTheme="majorHAnsi"/>
                <w:lang w:val="lv-LV"/>
              </w:rPr>
            </w:pPr>
            <w:r w:rsidRPr="0019406C">
              <w:rPr>
                <w:rFonts w:asciiTheme="majorHAnsi" w:hAnsiTheme="majorHAnsi"/>
                <w:lang w:val="lv-LV"/>
              </w:rPr>
              <w:t>8</w:t>
            </w:r>
            <w:r w:rsidR="00036416" w:rsidRPr="0019406C">
              <w:rPr>
                <w:rFonts w:asciiTheme="majorHAnsi" w:hAnsiTheme="majorHAnsi"/>
                <w:lang w:val="lv-LV"/>
              </w:rPr>
              <w:t>,</w:t>
            </w:r>
            <w:r w:rsidRPr="0019406C">
              <w:rPr>
                <w:rFonts w:asciiTheme="majorHAnsi" w:hAnsiTheme="majorHAnsi"/>
                <w:lang w:val="lv-LV"/>
              </w:rPr>
              <w:t>67</w:t>
            </w:r>
          </w:p>
        </w:tc>
        <w:tc>
          <w:tcPr>
            <w:tcW w:w="1174" w:type="pct"/>
          </w:tcPr>
          <w:p w:rsidR="002A2698" w:rsidRPr="0019406C" w:rsidRDefault="002A2698" w:rsidP="00036416">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17</w:t>
            </w:r>
            <w:r w:rsidR="00036416" w:rsidRPr="0019406C">
              <w:rPr>
                <w:rFonts w:asciiTheme="majorHAnsi" w:hAnsiTheme="majorHAnsi"/>
                <w:lang w:val="lv-LV"/>
              </w:rPr>
              <w:t>,</w:t>
            </w:r>
            <w:r w:rsidRPr="0019406C">
              <w:rPr>
                <w:rFonts w:asciiTheme="majorHAnsi" w:hAnsiTheme="majorHAnsi"/>
                <w:lang w:val="lv-LV"/>
              </w:rPr>
              <w:t>33</w:t>
            </w:r>
          </w:p>
        </w:tc>
      </w:tr>
      <w:tr w:rsidR="002A2698" w:rsidRPr="0019406C" w:rsidTr="00AE0B1D">
        <w:trPr>
          <w:trHeight w:val="264"/>
        </w:trPr>
        <w:tc>
          <w:tcPr>
            <w:cnfStyle w:val="001000000000" w:firstRow="0" w:lastRow="0" w:firstColumn="1" w:lastColumn="0" w:oddVBand="0" w:evenVBand="0" w:oddHBand="0" w:evenHBand="0" w:firstRowFirstColumn="0" w:firstRowLastColumn="0" w:lastRowFirstColumn="0" w:lastRowLastColumn="0"/>
            <w:tcW w:w="520" w:type="pct"/>
            <w:shd w:val="clear" w:color="auto" w:fill="FFE199" w:themeFill="accent2" w:themeFillTint="66"/>
          </w:tcPr>
          <w:p w:rsidR="002A2698" w:rsidRPr="0019406C" w:rsidRDefault="002A2698" w:rsidP="00AE0B1D">
            <w:pPr>
              <w:rPr>
                <w:rFonts w:asciiTheme="majorHAnsi" w:hAnsiTheme="majorHAnsi"/>
                <w:b w:val="0"/>
                <w:lang w:val="lv-LV"/>
              </w:rPr>
            </w:pPr>
            <w:r w:rsidRPr="0019406C">
              <w:rPr>
                <w:rFonts w:asciiTheme="majorHAnsi" w:hAnsiTheme="majorHAnsi"/>
                <w:b w:val="0"/>
                <w:lang w:val="lv-LV"/>
              </w:rPr>
              <w:t>Latvija</w:t>
            </w:r>
          </w:p>
        </w:tc>
        <w:tc>
          <w:tcPr>
            <w:cnfStyle w:val="000010000000" w:firstRow="0" w:lastRow="0" w:firstColumn="0" w:lastColumn="0" w:oddVBand="1" w:evenVBand="0" w:oddHBand="0" w:evenHBand="0" w:firstRowFirstColumn="0" w:firstRowLastColumn="0" w:lastRowFirstColumn="0" w:lastRowLastColumn="0"/>
            <w:tcW w:w="577" w:type="pct"/>
            <w:shd w:val="clear" w:color="auto" w:fill="FFE199" w:themeFill="accent2" w:themeFillTint="66"/>
          </w:tcPr>
          <w:p w:rsidR="002A2698" w:rsidRPr="0019406C" w:rsidRDefault="002A2698" w:rsidP="00036416">
            <w:pPr>
              <w:jc w:val="center"/>
              <w:rPr>
                <w:rFonts w:asciiTheme="majorHAnsi" w:hAnsiTheme="majorHAnsi"/>
                <w:lang w:val="lv-LV"/>
              </w:rPr>
            </w:pPr>
            <w:r w:rsidRPr="0019406C">
              <w:rPr>
                <w:rFonts w:asciiTheme="majorHAnsi" w:hAnsiTheme="majorHAnsi"/>
                <w:lang w:val="lv-LV"/>
              </w:rPr>
              <w:t>5</w:t>
            </w:r>
            <w:r w:rsidR="00036416" w:rsidRPr="0019406C">
              <w:rPr>
                <w:rFonts w:asciiTheme="majorHAnsi" w:hAnsiTheme="majorHAnsi"/>
                <w:lang w:val="lv-LV"/>
              </w:rPr>
              <w:t>,</w:t>
            </w:r>
            <w:r w:rsidRPr="0019406C">
              <w:rPr>
                <w:rFonts w:asciiTheme="majorHAnsi" w:hAnsiTheme="majorHAnsi"/>
                <w:lang w:val="lv-LV"/>
              </w:rPr>
              <w:t>5</w:t>
            </w:r>
          </w:p>
        </w:tc>
        <w:tc>
          <w:tcPr>
            <w:tcW w:w="1364" w:type="pct"/>
            <w:shd w:val="clear" w:color="auto" w:fill="FFE199" w:themeFill="accent2" w:themeFillTint="66"/>
          </w:tcPr>
          <w:p w:rsidR="002A2698" w:rsidRPr="0019406C" w:rsidRDefault="002A2698" w:rsidP="00AE0B1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20</w:t>
            </w:r>
          </w:p>
        </w:tc>
        <w:tc>
          <w:tcPr>
            <w:cnfStyle w:val="000010000000" w:firstRow="0" w:lastRow="0" w:firstColumn="0" w:lastColumn="0" w:oddVBand="1" w:evenVBand="0" w:oddHBand="0" w:evenHBand="0" w:firstRowFirstColumn="0" w:firstRowLastColumn="0" w:lastRowFirstColumn="0" w:lastRowLastColumn="0"/>
            <w:tcW w:w="1365" w:type="pct"/>
            <w:shd w:val="clear" w:color="auto" w:fill="FFE199" w:themeFill="accent2" w:themeFillTint="66"/>
          </w:tcPr>
          <w:p w:rsidR="002A2698" w:rsidRPr="0019406C" w:rsidRDefault="002A2698" w:rsidP="00036416">
            <w:pPr>
              <w:jc w:val="center"/>
              <w:rPr>
                <w:rFonts w:asciiTheme="majorHAnsi" w:hAnsiTheme="majorHAnsi"/>
                <w:lang w:val="lv-LV"/>
              </w:rPr>
            </w:pPr>
            <w:r w:rsidRPr="0019406C">
              <w:rPr>
                <w:rFonts w:asciiTheme="majorHAnsi" w:hAnsiTheme="majorHAnsi"/>
                <w:lang w:val="lv-LV"/>
              </w:rPr>
              <w:t>1</w:t>
            </w:r>
            <w:r w:rsidR="00036416" w:rsidRPr="0019406C">
              <w:rPr>
                <w:rFonts w:asciiTheme="majorHAnsi" w:hAnsiTheme="majorHAnsi"/>
                <w:lang w:val="lv-LV"/>
              </w:rPr>
              <w:t>,</w:t>
            </w:r>
            <w:r w:rsidRPr="0019406C">
              <w:rPr>
                <w:rFonts w:asciiTheme="majorHAnsi" w:hAnsiTheme="majorHAnsi"/>
                <w:lang w:val="lv-LV"/>
              </w:rPr>
              <w:t>00</w:t>
            </w:r>
          </w:p>
        </w:tc>
        <w:tc>
          <w:tcPr>
            <w:tcW w:w="1174" w:type="pct"/>
            <w:shd w:val="clear" w:color="auto" w:fill="FFE199" w:themeFill="accent2" w:themeFillTint="66"/>
          </w:tcPr>
          <w:p w:rsidR="002A2698" w:rsidRPr="0019406C" w:rsidRDefault="002A2698" w:rsidP="000364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8</w:t>
            </w:r>
            <w:r w:rsidR="00036416" w:rsidRPr="0019406C">
              <w:rPr>
                <w:rFonts w:asciiTheme="majorHAnsi" w:hAnsiTheme="majorHAnsi"/>
                <w:lang w:val="lv-LV"/>
              </w:rPr>
              <w:t>,</w:t>
            </w:r>
            <w:r w:rsidRPr="0019406C">
              <w:rPr>
                <w:rFonts w:asciiTheme="majorHAnsi" w:hAnsiTheme="majorHAnsi"/>
                <w:lang w:val="lv-LV"/>
              </w:rPr>
              <w:t>67</w:t>
            </w:r>
          </w:p>
        </w:tc>
      </w:tr>
      <w:tr w:rsidR="002A2698" w:rsidRPr="0019406C" w:rsidTr="00AE0B1D">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520" w:type="pct"/>
          </w:tcPr>
          <w:p w:rsidR="002A2698" w:rsidRPr="0019406C" w:rsidRDefault="002A2698" w:rsidP="00AE0B1D">
            <w:pPr>
              <w:rPr>
                <w:rFonts w:asciiTheme="majorHAnsi" w:hAnsiTheme="majorHAnsi"/>
                <w:b w:val="0"/>
                <w:lang w:val="lv-LV"/>
              </w:rPr>
            </w:pPr>
            <w:r w:rsidRPr="0019406C">
              <w:rPr>
                <w:rFonts w:asciiTheme="majorHAnsi" w:hAnsiTheme="majorHAnsi"/>
                <w:b w:val="0"/>
                <w:lang w:val="lv-LV"/>
              </w:rPr>
              <w:t>Somija</w:t>
            </w:r>
          </w:p>
        </w:tc>
        <w:tc>
          <w:tcPr>
            <w:cnfStyle w:val="000010000000" w:firstRow="0" w:lastRow="0" w:firstColumn="0" w:lastColumn="0" w:oddVBand="1" w:evenVBand="0" w:oddHBand="0" w:evenHBand="0" w:firstRowFirstColumn="0" w:firstRowLastColumn="0" w:lastRowFirstColumn="0" w:lastRowLastColumn="0"/>
            <w:tcW w:w="577" w:type="pct"/>
          </w:tcPr>
          <w:p w:rsidR="002A2698" w:rsidRPr="0019406C" w:rsidRDefault="002A2698" w:rsidP="00AE0B1D">
            <w:pPr>
              <w:jc w:val="center"/>
              <w:rPr>
                <w:rFonts w:asciiTheme="majorHAnsi" w:hAnsiTheme="majorHAnsi"/>
                <w:lang w:val="lv-LV"/>
              </w:rPr>
            </w:pPr>
            <w:r w:rsidRPr="0019406C">
              <w:rPr>
                <w:rFonts w:asciiTheme="majorHAnsi" w:hAnsiTheme="majorHAnsi"/>
                <w:lang w:val="lv-LV"/>
              </w:rPr>
              <w:t>6</w:t>
            </w:r>
          </w:p>
        </w:tc>
        <w:tc>
          <w:tcPr>
            <w:tcW w:w="1364" w:type="pct"/>
          </w:tcPr>
          <w:p w:rsidR="002A2698" w:rsidRPr="0019406C" w:rsidRDefault="002A2698" w:rsidP="00AE0B1D">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30</w:t>
            </w:r>
          </w:p>
        </w:tc>
        <w:tc>
          <w:tcPr>
            <w:cnfStyle w:val="000010000000" w:firstRow="0" w:lastRow="0" w:firstColumn="0" w:lastColumn="0" w:oddVBand="1" w:evenVBand="0" w:oddHBand="0" w:evenHBand="0" w:firstRowFirstColumn="0" w:firstRowLastColumn="0" w:lastRowFirstColumn="0" w:lastRowLastColumn="0"/>
            <w:tcW w:w="1365" w:type="pct"/>
          </w:tcPr>
          <w:p w:rsidR="002A2698" w:rsidRPr="0019406C" w:rsidRDefault="002A2698" w:rsidP="00036416">
            <w:pPr>
              <w:jc w:val="center"/>
              <w:rPr>
                <w:rFonts w:asciiTheme="majorHAnsi" w:hAnsiTheme="majorHAnsi"/>
                <w:lang w:val="lv-LV"/>
              </w:rPr>
            </w:pPr>
            <w:r w:rsidRPr="0019406C">
              <w:rPr>
                <w:rFonts w:asciiTheme="majorHAnsi" w:hAnsiTheme="majorHAnsi"/>
                <w:lang w:val="lv-LV"/>
              </w:rPr>
              <w:t>8</w:t>
            </w:r>
            <w:r w:rsidR="00036416" w:rsidRPr="0019406C">
              <w:rPr>
                <w:rFonts w:asciiTheme="majorHAnsi" w:hAnsiTheme="majorHAnsi"/>
                <w:lang w:val="lv-LV"/>
              </w:rPr>
              <w:t>,</w:t>
            </w:r>
            <w:r w:rsidRPr="0019406C">
              <w:rPr>
                <w:rFonts w:asciiTheme="majorHAnsi" w:hAnsiTheme="majorHAnsi"/>
                <w:lang w:val="lv-LV"/>
              </w:rPr>
              <w:t>67</w:t>
            </w:r>
          </w:p>
        </w:tc>
        <w:tc>
          <w:tcPr>
            <w:tcW w:w="1174" w:type="pct"/>
          </w:tcPr>
          <w:p w:rsidR="002A2698" w:rsidRPr="0019406C" w:rsidRDefault="002A2698" w:rsidP="00AE0B1D">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w:t>
            </w:r>
          </w:p>
        </w:tc>
      </w:tr>
      <w:tr w:rsidR="002A2698" w:rsidRPr="0019406C" w:rsidTr="00AE0B1D">
        <w:trPr>
          <w:trHeight w:val="272"/>
        </w:trPr>
        <w:tc>
          <w:tcPr>
            <w:cnfStyle w:val="001000000000" w:firstRow="0" w:lastRow="0" w:firstColumn="1" w:lastColumn="0" w:oddVBand="0" w:evenVBand="0" w:oddHBand="0" w:evenHBand="0" w:firstRowFirstColumn="0" w:firstRowLastColumn="0" w:lastRowFirstColumn="0" w:lastRowLastColumn="0"/>
            <w:tcW w:w="520" w:type="pct"/>
          </w:tcPr>
          <w:p w:rsidR="002A2698" w:rsidRPr="0019406C" w:rsidRDefault="002A2698" w:rsidP="00AE0B1D">
            <w:pPr>
              <w:rPr>
                <w:rFonts w:asciiTheme="majorHAnsi" w:hAnsiTheme="majorHAnsi"/>
                <w:b w:val="0"/>
                <w:lang w:val="lv-LV"/>
              </w:rPr>
            </w:pPr>
            <w:r w:rsidRPr="0019406C">
              <w:rPr>
                <w:rFonts w:asciiTheme="majorHAnsi" w:hAnsiTheme="majorHAnsi"/>
                <w:b w:val="0"/>
                <w:lang w:val="lv-LV"/>
              </w:rPr>
              <w:t>Igaunija</w:t>
            </w:r>
          </w:p>
        </w:tc>
        <w:tc>
          <w:tcPr>
            <w:cnfStyle w:val="000010000000" w:firstRow="0" w:lastRow="0" w:firstColumn="0" w:lastColumn="0" w:oddVBand="1" w:evenVBand="0" w:oddHBand="0" w:evenHBand="0" w:firstRowFirstColumn="0" w:firstRowLastColumn="0" w:lastRowFirstColumn="0" w:lastRowLastColumn="0"/>
            <w:tcW w:w="577" w:type="pct"/>
          </w:tcPr>
          <w:p w:rsidR="002A2698" w:rsidRPr="0019406C" w:rsidRDefault="002A2698" w:rsidP="00AE0B1D">
            <w:pPr>
              <w:jc w:val="center"/>
              <w:rPr>
                <w:rFonts w:asciiTheme="majorHAnsi" w:hAnsiTheme="majorHAnsi"/>
                <w:lang w:val="lv-LV"/>
              </w:rPr>
            </w:pPr>
            <w:r w:rsidRPr="0019406C">
              <w:rPr>
                <w:rFonts w:asciiTheme="majorHAnsi" w:hAnsiTheme="majorHAnsi"/>
                <w:lang w:val="lv-LV"/>
              </w:rPr>
              <w:t>5</w:t>
            </w:r>
          </w:p>
        </w:tc>
        <w:tc>
          <w:tcPr>
            <w:tcW w:w="1364" w:type="pct"/>
          </w:tcPr>
          <w:p w:rsidR="002A2698" w:rsidRPr="0019406C" w:rsidRDefault="002A2698" w:rsidP="00AE0B1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24</w:t>
            </w:r>
          </w:p>
        </w:tc>
        <w:tc>
          <w:tcPr>
            <w:cnfStyle w:val="000010000000" w:firstRow="0" w:lastRow="0" w:firstColumn="0" w:lastColumn="0" w:oddVBand="1" w:evenVBand="0" w:oddHBand="0" w:evenHBand="0" w:firstRowFirstColumn="0" w:firstRowLastColumn="0" w:lastRowFirstColumn="0" w:lastRowLastColumn="0"/>
            <w:tcW w:w="1365" w:type="pct"/>
          </w:tcPr>
          <w:p w:rsidR="002A2698" w:rsidRPr="0019406C" w:rsidRDefault="002A2698" w:rsidP="00036416">
            <w:pPr>
              <w:jc w:val="center"/>
              <w:rPr>
                <w:rFonts w:asciiTheme="majorHAnsi" w:hAnsiTheme="majorHAnsi"/>
                <w:lang w:val="lv-LV"/>
              </w:rPr>
            </w:pPr>
            <w:r w:rsidRPr="0019406C">
              <w:rPr>
                <w:rFonts w:asciiTheme="majorHAnsi" w:hAnsiTheme="majorHAnsi"/>
                <w:lang w:val="lv-LV"/>
              </w:rPr>
              <w:t>8</w:t>
            </w:r>
            <w:r w:rsidR="00036416" w:rsidRPr="0019406C">
              <w:rPr>
                <w:rFonts w:asciiTheme="majorHAnsi" w:hAnsiTheme="majorHAnsi"/>
                <w:lang w:val="lv-LV"/>
              </w:rPr>
              <w:t>,</w:t>
            </w:r>
            <w:r w:rsidRPr="0019406C">
              <w:rPr>
                <w:rFonts w:asciiTheme="majorHAnsi" w:hAnsiTheme="majorHAnsi"/>
                <w:lang w:val="lv-LV"/>
              </w:rPr>
              <w:t>57</w:t>
            </w:r>
          </w:p>
        </w:tc>
        <w:tc>
          <w:tcPr>
            <w:tcW w:w="1174" w:type="pct"/>
          </w:tcPr>
          <w:p w:rsidR="002A2698" w:rsidRPr="0019406C" w:rsidRDefault="002A2698" w:rsidP="000364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4</w:t>
            </w:r>
            <w:r w:rsidR="00036416" w:rsidRPr="0019406C">
              <w:rPr>
                <w:rFonts w:asciiTheme="majorHAnsi" w:hAnsiTheme="majorHAnsi"/>
                <w:lang w:val="lv-LV"/>
              </w:rPr>
              <w:t>,</w:t>
            </w:r>
            <w:r w:rsidRPr="0019406C">
              <w:rPr>
                <w:rFonts w:asciiTheme="majorHAnsi" w:hAnsiTheme="majorHAnsi"/>
                <w:lang w:val="lv-LV"/>
              </w:rPr>
              <w:t>33</w:t>
            </w:r>
          </w:p>
        </w:tc>
      </w:tr>
      <w:tr w:rsidR="002A2698" w:rsidRPr="0019406C" w:rsidTr="00AE0B1D">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520" w:type="pct"/>
          </w:tcPr>
          <w:p w:rsidR="002A2698" w:rsidRPr="0019406C" w:rsidRDefault="002A2698" w:rsidP="00AE0B1D">
            <w:pPr>
              <w:rPr>
                <w:rFonts w:asciiTheme="majorHAnsi" w:hAnsiTheme="majorHAnsi"/>
                <w:b w:val="0"/>
                <w:lang w:val="lv-LV"/>
              </w:rPr>
            </w:pPr>
            <w:r w:rsidRPr="0019406C">
              <w:rPr>
                <w:rFonts w:asciiTheme="majorHAnsi" w:hAnsiTheme="majorHAnsi"/>
                <w:b w:val="0"/>
                <w:lang w:val="lv-LV"/>
              </w:rPr>
              <w:t>Dānija</w:t>
            </w:r>
          </w:p>
        </w:tc>
        <w:tc>
          <w:tcPr>
            <w:cnfStyle w:val="000010000000" w:firstRow="0" w:lastRow="0" w:firstColumn="0" w:lastColumn="0" w:oddVBand="1" w:evenVBand="0" w:oddHBand="0" w:evenHBand="0" w:firstRowFirstColumn="0" w:firstRowLastColumn="0" w:lastRowFirstColumn="0" w:lastRowLastColumn="0"/>
            <w:tcW w:w="577" w:type="pct"/>
          </w:tcPr>
          <w:p w:rsidR="002A2698" w:rsidRPr="0019406C" w:rsidRDefault="002A2698" w:rsidP="00AE0B1D">
            <w:pPr>
              <w:jc w:val="center"/>
              <w:rPr>
                <w:rFonts w:asciiTheme="majorHAnsi" w:hAnsiTheme="majorHAnsi"/>
                <w:lang w:val="lv-LV"/>
              </w:rPr>
            </w:pPr>
            <w:r w:rsidRPr="0019406C">
              <w:rPr>
                <w:rFonts w:asciiTheme="majorHAnsi" w:hAnsiTheme="majorHAnsi"/>
                <w:lang w:val="lv-LV"/>
              </w:rPr>
              <w:t>6</w:t>
            </w:r>
          </w:p>
        </w:tc>
        <w:tc>
          <w:tcPr>
            <w:tcW w:w="1364" w:type="pct"/>
          </w:tcPr>
          <w:p w:rsidR="002A2698" w:rsidRPr="0019406C" w:rsidRDefault="002A2698" w:rsidP="00AE0B1D">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25</w:t>
            </w:r>
          </w:p>
        </w:tc>
        <w:tc>
          <w:tcPr>
            <w:cnfStyle w:val="000010000000" w:firstRow="0" w:lastRow="0" w:firstColumn="0" w:lastColumn="0" w:oddVBand="1" w:evenVBand="0" w:oddHBand="0" w:evenHBand="0" w:firstRowFirstColumn="0" w:firstRowLastColumn="0" w:lastRowFirstColumn="0" w:lastRowLastColumn="0"/>
            <w:tcW w:w="1365" w:type="pct"/>
          </w:tcPr>
          <w:p w:rsidR="002A2698" w:rsidRPr="0019406C" w:rsidRDefault="002A2698" w:rsidP="00AE0B1D">
            <w:pPr>
              <w:jc w:val="center"/>
              <w:rPr>
                <w:rFonts w:asciiTheme="majorHAnsi" w:hAnsiTheme="majorHAnsi"/>
                <w:lang w:val="lv-LV"/>
              </w:rPr>
            </w:pPr>
            <w:r w:rsidRPr="0019406C">
              <w:rPr>
                <w:rFonts w:asciiTheme="majorHAnsi" w:hAnsiTheme="majorHAnsi"/>
                <w:lang w:val="lv-LV"/>
              </w:rPr>
              <w:t>-</w:t>
            </w:r>
          </w:p>
        </w:tc>
        <w:tc>
          <w:tcPr>
            <w:tcW w:w="1174" w:type="pct"/>
          </w:tcPr>
          <w:p w:rsidR="002A2698" w:rsidRPr="0019406C" w:rsidRDefault="002A2698" w:rsidP="00AE0B1D">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w:t>
            </w:r>
          </w:p>
        </w:tc>
      </w:tr>
      <w:tr w:rsidR="002A2698" w:rsidRPr="0019406C" w:rsidTr="00AE0B1D">
        <w:trPr>
          <w:trHeight w:val="272"/>
        </w:trPr>
        <w:tc>
          <w:tcPr>
            <w:cnfStyle w:val="001000000000" w:firstRow="0" w:lastRow="0" w:firstColumn="1" w:lastColumn="0" w:oddVBand="0" w:evenVBand="0" w:oddHBand="0" w:evenHBand="0" w:firstRowFirstColumn="0" w:firstRowLastColumn="0" w:lastRowFirstColumn="0" w:lastRowLastColumn="0"/>
            <w:tcW w:w="520" w:type="pct"/>
          </w:tcPr>
          <w:p w:rsidR="002A2698" w:rsidRPr="0019406C" w:rsidRDefault="002A2698" w:rsidP="00AE0B1D">
            <w:pPr>
              <w:rPr>
                <w:rFonts w:asciiTheme="majorHAnsi" w:hAnsiTheme="majorHAnsi"/>
                <w:b w:val="0"/>
                <w:lang w:val="lv-LV"/>
              </w:rPr>
            </w:pPr>
            <w:r w:rsidRPr="0019406C">
              <w:rPr>
                <w:rFonts w:asciiTheme="majorHAnsi" w:hAnsiTheme="majorHAnsi"/>
                <w:b w:val="0"/>
                <w:lang w:val="lv-LV"/>
              </w:rPr>
              <w:t>Čehija</w:t>
            </w:r>
          </w:p>
        </w:tc>
        <w:tc>
          <w:tcPr>
            <w:cnfStyle w:val="000010000000" w:firstRow="0" w:lastRow="0" w:firstColumn="0" w:lastColumn="0" w:oddVBand="1" w:evenVBand="0" w:oddHBand="0" w:evenHBand="0" w:firstRowFirstColumn="0" w:firstRowLastColumn="0" w:lastRowFirstColumn="0" w:lastRowLastColumn="0"/>
            <w:tcW w:w="577" w:type="pct"/>
          </w:tcPr>
          <w:p w:rsidR="002A2698" w:rsidRPr="0019406C" w:rsidRDefault="002A2698" w:rsidP="00AE0B1D">
            <w:pPr>
              <w:jc w:val="center"/>
              <w:rPr>
                <w:rFonts w:asciiTheme="majorHAnsi" w:hAnsiTheme="majorHAnsi"/>
                <w:lang w:val="lv-LV"/>
              </w:rPr>
            </w:pPr>
            <w:r w:rsidRPr="0019406C">
              <w:rPr>
                <w:rFonts w:asciiTheme="majorHAnsi" w:hAnsiTheme="majorHAnsi"/>
                <w:lang w:val="lv-LV"/>
              </w:rPr>
              <w:t>6</w:t>
            </w:r>
          </w:p>
        </w:tc>
        <w:tc>
          <w:tcPr>
            <w:tcW w:w="1364" w:type="pct"/>
          </w:tcPr>
          <w:p w:rsidR="002A2698" w:rsidRPr="0019406C" w:rsidRDefault="002A2698" w:rsidP="00AE0B1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20</w:t>
            </w:r>
          </w:p>
        </w:tc>
        <w:tc>
          <w:tcPr>
            <w:cnfStyle w:val="000010000000" w:firstRow="0" w:lastRow="0" w:firstColumn="0" w:lastColumn="0" w:oddVBand="1" w:evenVBand="0" w:oddHBand="0" w:evenHBand="0" w:firstRowFirstColumn="0" w:firstRowLastColumn="0" w:lastRowFirstColumn="0" w:lastRowLastColumn="0"/>
            <w:tcW w:w="1365" w:type="pct"/>
          </w:tcPr>
          <w:p w:rsidR="002A2698" w:rsidRPr="0019406C" w:rsidRDefault="002A2698" w:rsidP="00036416">
            <w:pPr>
              <w:jc w:val="center"/>
              <w:rPr>
                <w:rFonts w:asciiTheme="majorHAnsi" w:hAnsiTheme="majorHAnsi"/>
                <w:lang w:val="lv-LV"/>
              </w:rPr>
            </w:pPr>
            <w:r w:rsidRPr="0019406C">
              <w:rPr>
                <w:rFonts w:asciiTheme="majorHAnsi" w:hAnsiTheme="majorHAnsi"/>
                <w:lang w:val="lv-LV"/>
              </w:rPr>
              <w:t>8</w:t>
            </w:r>
            <w:r w:rsidR="00036416" w:rsidRPr="0019406C">
              <w:rPr>
                <w:rFonts w:asciiTheme="majorHAnsi" w:hAnsiTheme="majorHAnsi"/>
                <w:lang w:val="lv-LV"/>
              </w:rPr>
              <w:t>,</w:t>
            </w:r>
            <w:r w:rsidRPr="0019406C">
              <w:rPr>
                <w:rFonts w:asciiTheme="majorHAnsi" w:hAnsiTheme="majorHAnsi"/>
                <w:lang w:val="lv-LV"/>
              </w:rPr>
              <w:t>67</w:t>
            </w:r>
          </w:p>
        </w:tc>
        <w:tc>
          <w:tcPr>
            <w:tcW w:w="1174" w:type="pct"/>
          </w:tcPr>
          <w:p w:rsidR="002A2698" w:rsidRPr="0019406C" w:rsidRDefault="002A2698" w:rsidP="000364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11</w:t>
            </w:r>
            <w:r w:rsidR="00036416" w:rsidRPr="0019406C">
              <w:rPr>
                <w:rFonts w:asciiTheme="majorHAnsi" w:hAnsiTheme="majorHAnsi"/>
                <w:lang w:val="lv-LV"/>
              </w:rPr>
              <w:t>,</w:t>
            </w:r>
            <w:r w:rsidRPr="0019406C">
              <w:rPr>
                <w:rFonts w:asciiTheme="majorHAnsi" w:hAnsiTheme="majorHAnsi"/>
                <w:lang w:val="lv-LV"/>
              </w:rPr>
              <w:t>55</w:t>
            </w:r>
          </w:p>
        </w:tc>
      </w:tr>
    </w:tbl>
    <w:p w:rsidR="002A2698" w:rsidRPr="0019406C" w:rsidRDefault="002A2698" w:rsidP="00444A73">
      <w:pPr>
        <w:pStyle w:val="BodyText"/>
        <w:spacing w:line="276" w:lineRule="auto"/>
        <w:rPr>
          <w:rFonts w:asciiTheme="majorHAnsi" w:hAnsiTheme="majorHAnsi"/>
          <w:lang w:val="lv-LV"/>
        </w:rPr>
      </w:pPr>
    </w:p>
    <w:p w:rsidR="002A2698" w:rsidRPr="0019406C" w:rsidRDefault="002A2698" w:rsidP="00444A73">
      <w:pPr>
        <w:pStyle w:val="BodyText"/>
        <w:spacing w:line="276" w:lineRule="auto"/>
        <w:jc w:val="both"/>
        <w:rPr>
          <w:rFonts w:asciiTheme="majorHAnsi" w:hAnsiTheme="majorHAnsi"/>
          <w:lang w:val="lv-LV"/>
        </w:rPr>
      </w:pPr>
      <w:r w:rsidRPr="0019406C">
        <w:rPr>
          <w:rFonts w:asciiTheme="majorHAnsi" w:hAnsiTheme="majorHAnsi"/>
          <w:lang w:val="lv-LV"/>
        </w:rPr>
        <w:t xml:space="preserve">Pēc DB2014 pētījumā apkopotajiem rādītājiem var secināt, ka Latvija ir konkurētspējīga darba attiecību jomā, ja salīdzina ar kaimiņvalstīm. DB pētījumā noteiktie rādītāji Latvijai būtiski neatšķiras no rādītājiem, kas noteikti konkurējošās valstīs. </w:t>
      </w:r>
    </w:p>
    <w:p w:rsidR="002A2698" w:rsidRPr="0019406C" w:rsidRDefault="002A2698" w:rsidP="00444A73">
      <w:pPr>
        <w:pStyle w:val="BodyText"/>
        <w:spacing w:line="276" w:lineRule="auto"/>
        <w:rPr>
          <w:rFonts w:asciiTheme="majorHAnsi" w:hAnsiTheme="majorHAnsi"/>
          <w:b/>
          <w:sz w:val="22"/>
          <w:lang w:val="lv-LV"/>
        </w:rPr>
      </w:pPr>
      <w:r w:rsidRPr="0019406C">
        <w:rPr>
          <w:rFonts w:asciiTheme="majorHAnsi" w:hAnsiTheme="majorHAnsi"/>
          <w:b/>
          <w:sz w:val="22"/>
          <w:lang w:val="lv-LV"/>
        </w:rPr>
        <w:t>Globālās konkurētspējas indekss</w:t>
      </w:r>
    </w:p>
    <w:p w:rsidR="002A2698" w:rsidRDefault="002A2698" w:rsidP="00444A73">
      <w:pPr>
        <w:pStyle w:val="BodyText"/>
        <w:spacing w:line="276" w:lineRule="auto"/>
        <w:jc w:val="both"/>
        <w:rPr>
          <w:rFonts w:asciiTheme="majorHAnsi" w:hAnsiTheme="majorHAnsi"/>
          <w:lang w:val="lv-LV"/>
        </w:rPr>
      </w:pPr>
      <w:r w:rsidRPr="0019406C">
        <w:rPr>
          <w:rFonts w:asciiTheme="majorHAnsi" w:hAnsiTheme="majorHAnsi"/>
          <w:lang w:val="lv-LV"/>
        </w:rPr>
        <w:t>GKI apskata vairākus darba tiesiskās attiecības ietekmējošus rādītājus. GKI apskatītie rādītāji un to salīdzinājums ar 2012. gada rezultātiem apkopoti zemāk.</w:t>
      </w:r>
    </w:p>
    <w:p w:rsidR="00444A73" w:rsidRPr="0019406C" w:rsidRDefault="00444A73" w:rsidP="00444A73">
      <w:pPr>
        <w:rPr>
          <w:rFonts w:asciiTheme="majorHAnsi" w:hAnsiTheme="majorHAnsi"/>
          <w:lang w:val="lv-LV"/>
        </w:rPr>
      </w:pPr>
      <w:r>
        <w:rPr>
          <w:rFonts w:asciiTheme="majorHAnsi" w:hAnsiTheme="majorHAnsi"/>
          <w:lang w:val="lv-LV"/>
        </w:rPr>
        <w:br w:type="page"/>
      </w:r>
    </w:p>
    <w:p w:rsidR="002A2698" w:rsidRPr="0019406C" w:rsidRDefault="002A2698" w:rsidP="002A2698">
      <w:pPr>
        <w:pStyle w:val="Caption"/>
        <w:keepNext/>
        <w:rPr>
          <w:rFonts w:asciiTheme="majorHAnsi" w:hAnsiTheme="majorHAnsi"/>
          <w:sz w:val="16"/>
          <w:lang w:val="lv-LV"/>
        </w:rPr>
      </w:pPr>
      <w:bookmarkStart w:id="121" w:name="_Toc381343989"/>
      <w:bookmarkStart w:id="122" w:name="_Toc389225099"/>
      <w:r w:rsidRPr="0019406C">
        <w:rPr>
          <w:rFonts w:asciiTheme="majorHAnsi" w:hAnsiTheme="majorHAnsi"/>
          <w:sz w:val="16"/>
          <w:lang w:val="lv-LV"/>
        </w:rPr>
        <w:lastRenderedPageBreak/>
        <w:t xml:space="preserve">Tabula </w:t>
      </w:r>
      <w:r w:rsidRPr="0019406C">
        <w:rPr>
          <w:rFonts w:asciiTheme="majorHAnsi" w:hAnsiTheme="majorHAnsi"/>
          <w:sz w:val="16"/>
          <w:lang w:val="lv-LV"/>
        </w:rPr>
        <w:fldChar w:fldCharType="begin"/>
      </w:r>
      <w:r w:rsidRPr="0019406C">
        <w:rPr>
          <w:rFonts w:asciiTheme="majorHAnsi" w:hAnsiTheme="majorHAnsi"/>
          <w:sz w:val="16"/>
          <w:lang w:val="lv-LV"/>
        </w:rPr>
        <w:instrText xml:space="preserve"> SEQ Tabula \* ARABIC </w:instrText>
      </w:r>
      <w:r w:rsidRPr="0019406C">
        <w:rPr>
          <w:rFonts w:asciiTheme="majorHAnsi" w:hAnsiTheme="majorHAnsi"/>
          <w:sz w:val="16"/>
          <w:lang w:val="lv-LV"/>
        </w:rPr>
        <w:fldChar w:fldCharType="separate"/>
      </w:r>
      <w:r w:rsidR="00410806" w:rsidRPr="0019406C">
        <w:rPr>
          <w:rFonts w:asciiTheme="majorHAnsi" w:hAnsiTheme="majorHAnsi"/>
          <w:noProof/>
          <w:sz w:val="16"/>
          <w:lang w:val="lv-LV"/>
        </w:rPr>
        <w:t>25</w:t>
      </w:r>
      <w:r w:rsidRPr="0019406C">
        <w:rPr>
          <w:rFonts w:asciiTheme="majorHAnsi" w:hAnsiTheme="majorHAnsi"/>
          <w:sz w:val="16"/>
          <w:lang w:val="lv-LV"/>
        </w:rPr>
        <w:fldChar w:fldCharType="end"/>
      </w:r>
      <w:r w:rsidRPr="0019406C">
        <w:rPr>
          <w:rFonts w:asciiTheme="majorHAnsi" w:hAnsiTheme="majorHAnsi"/>
          <w:sz w:val="16"/>
          <w:lang w:val="lv-LV"/>
        </w:rPr>
        <w:t xml:space="preserve"> Latvijas GKI indeksu nodarbinātībai</w:t>
      </w:r>
      <w:r w:rsidRPr="0019406C">
        <w:rPr>
          <w:rFonts w:asciiTheme="majorHAnsi" w:hAnsiTheme="majorHAnsi"/>
          <w:noProof/>
          <w:sz w:val="16"/>
          <w:lang w:val="lv-LV"/>
        </w:rPr>
        <w:t xml:space="preserve"> salīdzinājums</w:t>
      </w:r>
      <w:bookmarkEnd w:id="121"/>
      <w:bookmarkEnd w:id="122"/>
    </w:p>
    <w:tbl>
      <w:tblPr>
        <w:tblStyle w:val="LightList-Accent11"/>
        <w:tblW w:w="5000" w:type="pct"/>
        <w:tblLook w:val="00E0" w:firstRow="1" w:lastRow="1" w:firstColumn="1" w:lastColumn="0" w:noHBand="0" w:noVBand="0"/>
      </w:tblPr>
      <w:tblGrid>
        <w:gridCol w:w="4886"/>
        <w:gridCol w:w="1736"/>
        <w:gridCol w:w="1734"/>
        <w:gridCol w:w="1724"/>
      </w:tblGrid>
      <w:tr w:rsidR="002A2698" w:rsidRPr="0019406C" w:rsidTr="00AE0B1D">
        <w:trPr>
          <w:cnfStyle w:val="100000000000" w:firstRow="1" w:lastRow="0" w:firstColumn="0" w:lastColumn="0" w:oddVBand="0" w:evenVBand="0" w:oddHBand="0" w:evenHBand="0" w:firstRowFirstColumn="0" w:firstRowLastColumn="0" w:lastRowFirstColumn="0" w:lastRowLastColumn="0"/>
          <w:trHeight w:val="190"/>
        </w:trPr>
        <w:tc>
          <w:tcPr>
            <w:cnfStyle w:val="001000000000" w:firstRow="0" w:lastRow="0" w:firstColumn="1" w:lastColumn="0" w:oddVBand="0" w:evenVBand="0" w:oddHBand="0" w:evenHBand="0" w:firstRowFirstColumn="0" w:firstRowLastColumn="0" w:lastRowFirstColumn="0" w:lastRowLastColumn="0"/>
            <w:tcW w:w="2424" w:type="pct"/>
            <w:vAlign w:val="center"/>
          </w:tcPr>
          <w:p w:rsidR="002A2698" w:rsidRPr="0019406C" w:rsidRDefault="002A2698" w:rsidP="00AE0B1D">
            <w:pPr>
              <w:rPr>
                <w:rFonts w:asciiTheme="majorHAnsi" w:eastAsia="Cambria" w:hAnsiTheme="majorHAnsi" w:cs="Times New Roman"/>
                <w:lang w:val="lv-LV"/>
              </w:rPr>
            </w:pPr>
            <w:r w:rsidRPr="0019406C">
              <w:rPr>
                <w:rFonts w:asciiTheme="majorHAnsi" w:eastAsia="Cambria" w:hAnsiTheme="majorHAnsi" w:cs="Times New Roman"/>
                <w:lang w:val="lv-LV"/>
              </w:rPr>
              <w:t>Rādītājs</w:t>
            </w:r>
          </w:p>
        </w:tc>
        <w:tc>
          <w:tcPr>
            <w:cnfStyle w:val="000010000000" w:firstRow="0" w:lastRow="0" w:firstColumn="0" w:lastColumn="0" w:oddVBand="1" w:evenVBand="0" w:oddHBand="0" w:evenHBand="0" w:firstRowFirstColumn="0" w:firstRowLastColumn="0" w:lastRowFirstColumn="0" w:lastRowLastColumn="0"/>
            <w:tcW w:w="861"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2012. gads</w:t>
            </w:r>
          </w:p>
        </w:tc>
        <w:tc>
          <w:tcPr>
            <w:tcW w:w="860" w:type="pct"/>
            <w:vAlign w:val="center"/>
          </w:tcPr>
          <w:p w:rsidR="002A2698" w:rsidRPr="0019406C" w:rsidRDefault="002A2698" w:rsidP="00AE0B1D">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2013. gads</w:t>
            </w:r>
          </w:p>
        </w:tc>
        <w:tc>
          <w:tcPr>
            <w:cnfStyle w:val="000010000000" w:firstRow="0" w:lastRow="0" w:firstColumn="0" w:lastColumn="0" w:oddVBand="1" w:evenVBand="0" w:oddHBand="0" w:evenHBand="0" w:firstRowFirstColumn="0" w:firstRowLastColumn="0" w:lastRowFirstColumn="0" w:lastRowLastColumn="0"/>
            <w:tcW w:w="855"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Izmaiņa</w:t>
            </w:r>
          </w:p>
        </w:tc>
      </w:tr>
      <w:tr w:rsidR="002A2698" w:rsidRPr="0019406C" w:rsidTr="00AE0B1D">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424" w:type="pct"/>
            <w:vAlign w:val="center"/>
          </w:tcPr>
          <w:p w:rsidR="002A2698" w:rsidRPr="0019406C" w:rsidRDefault="002A2698" w:rsidP="00AE0B1D">
            <w:pPr>
              <w:rPr>
                <w:rFonts w:asciiTheme="majorHAnsi" w:eastAsia="Cambria" w:hAnsiTheme="majorHAnsi" w:cs="Times New Roman"/>
                <w:b w:val="0"/>
                <w:lang w:val="lv-LV"/>
              </w:rPr>
            </w:pPr>
            <w:r w:rsidRPr="0019406C">
              <w:rPr>
                <w:rFonts w:asciiTheme="majorHAnsi" w:eastAsia="Cambria" w:hAnsiTheme="majorHAnsi" w:cs="Times New Roman"/>
                <w:b w:val="0"/>
                <w:lang w:val="lv-LV"/>
              </w:rPr>
              <w:t>Darba ņēmēju un darba devēju attiecības</w:t>
            </w:r>
          </w:p>
        </w:tc>
        <w:tc>
          <w:tcPr>
            <w:cnfStyle w:val="000010000000" w:firstRow="0" w:lastRow="0" w:firstColumn="0" w:lastColumn="0" w:oddVBand="1" w:evenVBand="0" w:oddHBand="0" w:evenHBand="0" w:firstRowFirstColumn="0" w:firstRowLastColumn="0" w:lastRowFirstColumn="0" w:lastRowLastColumn="0"/>
            <w:tcW w:w="861"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60</w:t>
            </w:r>
          </w:p>
        </w:tc>
        <w:tc>
          <w:tcPr>
            <w:tcW w:w="860" w:type="pct"/>
            <w:vAlign w:val="center"/>
          </w:tcPr>
          <w:p w:rsidR="002A2698" w:rsidRPr="0019406C" w:rsidRDefault="002A2698" w:rsidP="00AE0B1D">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51</w:t>
            </w:r>
          </w:p>
        </w:tc>
        <w:tc>
          <w:tcPr>
            <w:cnfStyle w:val="000010000000" w:firstRow="0" w:lastRow="0" w:firstColumn="0" w:lastColumn="0" w:oddVBand="1" w:evenVBand="0" w:oddHBand="0" w:evenHBand="0" w:firstRowFirstColumn="0" w:firstRowLastColumn="0" w:lastRowFirstColumn="0" w:lastRowLastColumn="0"/>
            <w:tcW w:w="855" w:type="pct"/>
            <w:vAlign w:val="center"/>
          </w:tcPr>
          <w:p w:rsidR="002A2698" w:rsidRPr="0019406C" w:rsidRDefault="002A2698" w:rsidP="00AE0B1D">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9</w:t>
            </w:r>
          </w:p>
        </w:tc>
      </w:tr>
      <w:tr w:rsidR="002A2698" w:rsidRPr="0019406C" w:rsidTr="00AE0B1D">
        <w:trPr>
          <w:trHeight w:val="270"/>
        </w:trPr>
        <w:tc>
          <w:tcPr>
            <w:cnfStyle w:val="001000000000" w:firstRow="0" w:lastRow="0" w:firstColumn="1" w:lastColumn="0" w:oddVBand="0" w:evenVBand="0" w:oddHBand="0" w:evenHBand="0" w:firstRowFirstColumn="0" w:firstRowLastColumn="0" w:lastRowFirstColumn="0" w:lastRowLastColumn="0"/>
            <w:tcW w:w="2424" w:type="pct"/>
            <w:vAlign w:val="center"/>
          </w:tcPr>
          <w:p w:rsidR="002A2698" w:rsidRPr="0019406C" w:rsidRDefault="002A2698" w:rsidP="00AE0B1D">
            <w:pPr>
              <w:rPr>
                <w:rFonts w:asciiTheme="majorHAnsi" w:eastAsia="Cambria" w:hAnsiTheme="majorHAnsi" w:cs="Times New Roman"/>
                <w:b w:val="0"/>
                <w:lang w:val="lv-LV"/>
              </w:rPr>
            </w:pPr>
            <w:r w:rsidRPr="0019406C">
              <w:rPr>
                <w:rFonts w:asciiTheme="majorHAnsi" w:hAnsiTheme="majorHAnsi"/>
                <w:b w:val="0"/>
                <w:lang w:val="lv-LV"/>
              </w:rPr>
              <w:t>Elastīgums darba samaksas noteikšanā</w:t>
            </w:r>
          </w:p>
        </w:tc>
        <w:tc>
          <w:tcPr>
            <w:cnfStyle w:val="000010000000" w:firstRow="0" w:lastRow="0" w:firstColumn="0" w:lastColumn="0" w:oddVBand="1" w:evenVBand="0" w:oddHBand="0" w:evenHBand="0" w:firstRowFirstColumn="0" w:firstRowLastColumn="0" w:lastRowFirstColumn="0" w:lastRowLastColumn="0"/>
            <w:tcW w:w="861"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48</w:t>
            </w:r>
          </w:p>
        </w:tc>
        <w:tc>
          <w:tcPr>
            <w:tcW w:w="860" w:type="pct"/>
            <w:vAlign w:val="center"/>
          </w:tcPr>
          <w:p w:rsidR="002A2698" w:rsidRPr="0019406C" w:rsidRDefault="002A2698" w:rsidP="00AE0B1D">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13</w:t>
            </w:r>
          </w:p>
        </w:tc>
        <w:tc>
          <w:tcPr>
            <w:cnfStyle w:val="000010000000" w:firstRow="0" w:lastRow="0" w:firstColumn="0" w:lastColumn="0" w:oddVBand="1" w:evenVBand="0" w:oddHBand="0" w:evenHBand="0" w:firstRowFirstColumn="0" w:firstRowLastColumn="0" w:lastRowFirstColumn="0" w:lastRowLastColumn="0"/>
            <w:tcW w:w="855" w:type="pct"/>
            <w:vAlign w:val="center"/>
          </w:tcPr>
          <w:p w:rsidR="002A2698" w:rsidRPr="0019406C" w:rsidRDefault="002A2698" w:rsidP="00AE0B1D">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35</w:t>
            </w:r>
          </w:p>
        </w:tc>
      </w:tr>
      <w:tr w:rsidR="002A2698" w:rsidRPr="0019406C" w:rsidTr="00AE0B1D">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2424" w:type="pct"/>
            <w:vAlign w:val="center"/>
          </w:tcPr>
          <w:p w:rsidR="002A2698" w:rsidRPr="0019406C" w:rsidRDefault="002A2698" w:rsidP="00AE0B1D">
            <w:pPr>
              <w:rPr>
                <w:rFonts w:asciiTheme="majorHAnsi" w:eastAsia="Cambria" w:hAnsiTheme="majorHAnsi" w:cs="Times New Roman"/>
                <w:b w:val="0"/>
                <w:lang w:val="lv-LV"/>
              </w:rPr>
            </w:pPr>
            <w:r w:rsidRPr="0019406C">
              <w:rPr>
                <w:rFonts w:asciiTheme="majorHAnsi" w:hAnsiTheme="majorHAnsi"/>
                <w:b w:val="0"/>
                <w:lang w:val="lv-LV"/>
              </w:rPr>
              <w:t>Darbā pieņemšanas un atlaišanas prakse</w:t>
            </w:r>
          </w:p>
        </w:tc>
        <w:tc>
          <w:tcPr>
            <w:cnfStyle w:val="000010000000" w:firstRow="0" w:lastRow="0" w:firstColumn="0" w:lastColumn="0" w:oddVBand="1" w:evenVBand="0" w:oddHBand="0" w:evenHBand="0" w:firstRowFirstColumn="0" w:firstRowLastColumn="0" w:lastRowFirstColumn="0" w:lastRowLastColumn="0"/>
            <w:tcW w:w="861"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55</w:t>
            </w:r>
          </w:p>
        </w:tc>
        <w:tc>
          <w:tcPr>
            <w:tcW w:w="860" w:type="pct"/>
            <w:vAlign w:val="center"/>
          </w:tcPr>
          <w:p w:rsidR="002A2698" w:rsidRPr="0019406C" w:rsidRDefault="002A2698" w:rsidP="00AE0B1D">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45</w:t>
            </w:r>
          </w:p>
        </w:tc>
        <w:tc>
          <w:tcPr>
            <w:cnfStyle w:val="000010000000" w:firstRow="0" w:lastRow="0" w:firstColumn="0" w:lastColumn="0" w:oddVBand="1" w:evenVBand="0" w:oddHBand="0" w:evenHBand="0" w:firstRowFirstColumn="0" w:firstRowLastColumn="0" w:lastRowFirstColumn="0" w:lastRowLastColumn="0"/>
            <w:tcW w:w="855" w:type="pct"/>
            <w:vAlign w:val="center"/>
          </w:tcPr>
          <w:p w:rsidR="002A2698" w:rsidRPr="0019406C" w:rsidRDefault="002A2698" w:rsidP="00AE0B1D">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10</w:t>
            </w:r>
          </w:p>
        </w:tc>
      </w:tr>
      <w:tr w:rsidR="002A2698" w:rsidRPr="0019406C" w:rsidTr="00AE0B1D">
        <w:trPr>
          <w:trHeight w:val="264"/>
        </w:trPr>
        <w:tc>
          <w:tcPr>
            <w:cnfStyle w:val="001000000000" w:firstRow="0" w:lastRow="0" w:firstColumn="1" w:lastColumn="0" w:oddVBand="0" w:evenVBand="0" w:oddHBand="0" w:evenHBand="0" w:firstRowFirstColumn="0" w:firstRowLastColumn="0" w:lastRowFirstColumn="0" w:lastRowLastColumn="0"/>
            <w:tcW w:w="2424" w:type="pct"/>
            <w:vAlign w:val="center"/>
          </w:tcPr>
          <w:p w:rsidR="002A2698" w:rsidRPr="0019406C" w:rsidRDefault="002A2698" w:rsidP="00AE0B1D">
            <w:pPr>
              <w:rPr>
                <w:rFonts w:asciiTheme="majorHAnsi" w:eastAsia="Cambria" w:hAnsiTheme="majorHAnsi" w:cs="Times New Roman"/>
                <w:b w:val="0"/>
                <w:lang w:val="lv-LV"/>
              </w:rPr>
            </w:pPr>
            <w:r w:rsidRPr="0019406C">
              <w:rPr>
                <w:rFonts w:asciiTheme="majorHAnsi" w:hAnsiTheme="majorHAnsi"/>
                <w:b w:val="0"/>
                <w:lang w:val="lv-LV"/>
              </w:rPr>
              <w:t>Atlaišanas izmaksas, ilgums</w:t>
            </w:r>
          </w:p>
        </w:tc>
        <w:tc>
          <w:tcPr>
            <w:cnfStyle w:val="000010000000" w:firstRow="0" w:lastRow="0" w:firstColumn="0" w:lastColumn="0" w:oddVBand="1" w:evenVBand="0" w:oddHBand="0" w:evenHBand="0" w:firstRowFirstColumn="0" w:firstRowLastColumn="0" w:lastRowFirstColumn="0" w:lastRowLastColumn="0"/>
            <w:tcW w:w="861"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35</w:t>
            </w:r>
          </w:p>
        </w:tc>
        <w:tc>
          <w:tcPr>
            <w:tcW w:w="860" w:type="pct"/>
            <w:vAlign w:val="center"/>
          </w:tcPr>
          <w:p w:rsidR="002A2698" w:rsidRPr="0019406C" w:rsidRDefault="002A2698" w:rsidP="00AE0B1D">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37</w:t>
            </w:r>
          </w:p>
        </w:tc>
        <w:tc>
          <w:tcPr>
            <w:cnfStyle w:val="000010000000" w:firstRow="0" w:lastRow="0" w:firstColumn="0" w:lastColumn="0" w:oddVBand="1" w:evenVBand="0" w:oddHBand="0" w:evenHBand="0" w:firstRowFirstColumn="0" w:firstRowLastColumn="0" w:lastRowFirstColumn="0" w:lastRowLastColumn="0"/>
            <w:tcW w:w="855" w:type="pct"/>
            <w:vAlign w:val="center"/>
          </w:tcPr>
          <w:p w:rsidR="002A2698" w:rsidRPr="0019406C" w:rsidRDefault="002A2698" w:rsidP="00AE0B1D">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-2</w:t>
            </w:r>
          </w:p>
        </w:tc>
      </w:tr>
      <w:tr w:rsidR="002A2698" w:rsidRPr="0019406C" w:rsidTr="00AE0B1D">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2424" w:type="pct"/>
            <w:vAlign w:val="center"/>
          </w:tcPr>
          <w:p w:rsidR="002A2698" w:rsidRPr="0019406C" w:rsidRDefault="002A2698" w:rsidP="00AE0B1D">
            <w:pPr>
              <w:rPr>
                <w:rFonts w:asciiTheme="majorHAnsi" w:eastAsia="Cambria" w:hAnsiTheme="majorHAnsi" w:cs="Times New Roman"/>
                <w:b w:val="0"/>
                <w:lang w:val="lv-LV"/>
              </w:rPr>
            </w:pPr>
            <w:r w:rsidRPr="0019406C">
              <w:rPr>
                <w:rFonts w:asciiTheme="majorHAnsi" w:hAnsiTheme="majorHAnsi"/>
                <w:b w:val="0"/>
                <w:lang w:val="lv-LV"/>
              </w:rPr>
              <w:t>Darba samaksas sasaiste ar darba ražīgumu</w:t>
            </w:r>
          </w:p>
        </w:tc>
        <w:tc>
          <w:tcPr>
            <w:cnfStyle w:val="000010000000" w:firstRow="0" w:lastRow="0" w:firstColumn="0" w:lastColumn="0" w:oddVBand="1" w:evenVBand="0" w:oddHBand="0" w:evenHBand="0" w:firstRowFirstColumn="0" w:firstRowLastColumn="0" w:lastRowFirstColumn="0" w:lastRowLastColumn="0"/>
            <w:tcW w:w="861"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26</w:t>
            </w:r>
          </w:p>
        </w:tc>
        <w:tc>
          <w:tcPr>
            <w:tcW w:w="860" w:type="pct"/>
            <w:vAlign w:val="center"/>
          </w:tcPr>
          <w:p w:rsidR="002A2698" w:rsidRPr="0019406C" w:rsidRDefault="002A2698" w:rsidP="00AE0B1D">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20</w:t>
            </w:r>
          </w:p>
        </w:tc>
        <w:tc>
          <w:tcPr>
            <w:cnfStyle w:val="000010000000" w:firstRow="0" w:lastRow="0" w:firstColumn="0" w:lastColumn="0" w:oddVBand="1" w:evenVBand="0" w:oddHBand="0" w:evenHBand="0" w:firstRowFirstColumn="0" w:firstRowLastColumn="0" w:lastRowFirstColumn="0" w:lastRowLastColumn="0"/>
            <w:tcW w:w="855" w:type="pct"/>
            <w:vAlign w:val="center"/>
          </w:tcPr>
          <w:p w:rsidR="002A2698" w:rsidRPr="0019406C" w:rsidRDefault="002A2698" w:rsidP="00AE0B1D">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6</w:t>
            </w:r>
          </w:p>
        </w:tc>
      </w:tr>
      <w:tr w:rsidR="002A2698" w:rsidRPr="0019406C" w:rsidTr="00AE0B1D">
        <w:trPr>
          <w:trHeight w:val="272"/>
        </w:trPr>
        <w:tc>
          <w:tcPr>
            <w:cnfStyle w:val="001000000000" w:firstRow="0" w:lastRow="0" w:firstColumn="1" w:lastColumn="0" w:oddVBand="0" w:evenVBand="0" w:oddHBand="0" w:evenHBand="0" w:firstRowFirstColumn="0" w:firstRowLastColumn="0" w:lastRowFirstColumn="0" w:lastRowLastColumn="0"/>
            <w:tcW w:w="2424" w:type="pct"/>
            <w:vAlign w:val="center"/>
          </w:tcPr>
          <w:p w:rsidR="002A2698" w:rsidRPr="0019406C" w:rsidRDefault="002A2698" w:rsidP="00AE0B1D">
            <w:pPr>
              <w:rPr>
                <w:rFonts w:asciiTheme="majorHAnsi" w:eastAsia="Cambria" w:hAnsiTheme="majorHAnsi" w:cs="Times New Roman"/>
                <w:b w:val="0"/>
                <w:lang w:val="lv-LV"/>
              </w:rPr>
            </w:pPr>
            <w:r w:rsidRPr="0019406C">
              <w:rPr>
                <w:rFonts w:asciiTheme="majorHAnsi" w:hAnsiTheme="majorHAnsi"/>
                <w:b w:val="0"/>
                <w:lang w:val="lv-LV"/>
              </w:rPr>
              <w:t>Uzņēmumu vadības profesionalitāte</w:t>
            </w:r>
          </w:p>
        </w:tc>
        <w:tc>
          <w:tcPr>
            <w:cnfStyle w:val="000010000000" w:firstRow="0" w:lastRow="0" w:firstColumn="0" w:lastColumn="0" w:oddVBand="1" w:evenVBand="0" w:oddHBand="0" w:evenHBand="0" w:firstRowFirstColumn="0" w:firstRowLastColumn="0" w:lastRowFirstColumn="0" w:lastRowLastColumn="0"/>
            <w:tcW w:w="861"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60</w:t>
            </w:r>
          </w:p>
        </w:tc>
        <w:tc>
          <w:tcPr>
            <w:tcW w:w="860" w:type="pct"/>
            <w:vAlign w:val="center"/>
          </w:tcPr>
          <w:p w:rsidR="002A2698" w:rsidRPr="0019406C" w:rsidRDefault="002A2698" w:rsidP="00AE0B1D">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42</w:t>
            </w:r>
          </w:p>
        </w:tc>
        <w:tc>
          <w:tcPr>
            <w:cnfStyle w:val="000010000000" w:firstRow="0" w:lastRow="0" w:firstColumn="0" w:lastColumn="0" w:oddVBand="1" w:evenVBand="0" w:oddHBand="0" w:evenHBand="0" w:firstRowFirstColumn="0" w:firstRowLastColumn="0" w:lastRowFirstColumn="0" w:lastRowLastColumn="0"/>
            <w:tcW w:w="855" w:type="pct"/>
            <w:vAlign w:val="center"/>
          </w:tcPr>
          <w:p w:rsidR="002A2698" w:rsidRPr="0019406C" w:rsidRDefault="002A2698" w:rsidP="00AE0B1D">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18</w:t>
            </w:r>
          </w:p>
        </w:tc>
      </w:tr>
      <w:tr w:rsidR="002A2698" w:rsidRPr="0019406C" w:rsidTr="00AE0B1D">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2424" w:type="pct"/>
            <w:vAlign w:val="center"/>
          </w:tcPr>
          <w:p w:rsidR="002A2698" w:rsidRPr="0019406C" w:rsidRDefault="002A2698" w:rsidP="00AE0B1D">
            <w:pPr>
              <w:rPr>
                <w:rFonts w:asciiTheme="majorHAnsi" w:eastAsia="Cambria" w:hAnsiTheme="majorHAnsi" w:cs="Times New Roman"/>
                <w:b w:val="0"/>
                <w:lang w:val="lv-LV"/>
              </w:rPr>
            </w:pPr>
            <w:r w:rsidRPr="0019406C">
              <w:rPr>
                <w:rFonts w:asciiTheme="majorHAnsi" w:hAnsiTheme="majorHAnsi"/>
                <w:b w:val="0"/>
                <w:lang w:val="lv-LV"/>
              </w:rPr>
              <w:t xml:space="preserve">Sieviešu līdzdalība darba tirgū </w:t>
            </w:r>
          </w:p>
        </w:tc>
        <w:tc>
          <w:tcPr>
            <w:cnfStyle w:val="000010000000" w:firstRow="0" w:lastRow="0" w:firstColumn="0" w:lastColumn="0" w:oddVBand="1" w:evenVBand="0" w:oddHBand="0" w:evenHBand="0" w:firstRowFirstColumn="0" w:firstRowLastColumn="0" w:lastRowFirstColumn="0" w:lastRowLastColumn="0"/>
            <w:tcW w:w="861"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16</w:t>
            </w:r>
          </w:p>
        </w:tc>
        <w:tc>
          <w:tcPr>
            <w:tcW w:w="860" w:type="pct"/>
            <w:vAlign w:val="center"/>
          </w:tcPr>
          <w:p w:rsidR="002A2698" w:rsidRPr="0019406C" w:rsidRDefault="002A2698" w:rsidP="00AE0B1D">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17</w:t>
            </w:r>
          </w:p>
        </w:tc>
        <w:tc>
          <w:tcPr>
            <w:cnfStyle w:val="000010000000" w:firstRow="0" w:lastRow="0" w:firstColumn="0" w:lastColumn="0" w:oddVBand="1" w:evenVBand="0" w:oddHBand="0" w:evenHBand="0" w:firstRowFirstColumn="0" w:firstRowLastColumn="0" w:lastRowFirstColumn="0" w:lastRowLastColumn="0"/>
            <w:tcW w:w="855" w:type="pct"/>
            <w:vAlign w:val="center"/>
          </w:tcPr>
          <w:p w:rsidR="002A2698" w:rsidRPr="0019406C" w:rsidRDefault="002A2698" w:rsidP="00AE0B1D">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w:t>
            </w:r>
          </w:p>
        </w:tc>
      </w:tr>
      <w:tr w:rsidR="002A2698" w:rsidRPr="0019406C" w:rsidTr="00AE0B1D">
        <w:trPr>
          <w:trHeight w:val="282"/>
        </w:trPr>
        <w:tc>
          <w:tcPr>
            <w:cnfStyle w:val="001000000000" w:firstRow="0" w:lastRow="0" w:firstColumn="1" w:lastColumn="0" w:oddVBand="0" w:evenVBand="0" w:oddHBand="0" w:evenHBand="0" w:firstRowFirstColumn="0" w:firstRowLastColumn="0" w:lastRowFirstColumn="0" w:lastRowLastColumn="0"/>
            <w:tcW w:w="2424" w:type="pct"/>
            <w:vAlign w:val="center"/>
          </w:tcPr>
          <w:p w:rsidR="002A2698" w:rsidRPr="0019406C" w:rsidRDefault="002A2698" w:rsidP="00AE0B1D">
            <w:pPr>
              <w:rPr>
                <w:rFonts w:asciiTheme="majorHAnsi" w:eastAsia="Cambria" w:hAnsiTheme="majorHAnsi" w:cs="Times New Roman"/>
                <w:b w:val="0"/>
                <w:lang w:val="lv-LV"/>
              </w:rPr>
            </w:pPr>
            <w:r w:rsidRPr="0019406C">
              <w:rPr>
                <w:rFonts w:asciiTheme="majorHAnsi" w:hAnsiTheme="majorHAnsi"/>
                <w:b w:val="0"/>
                <w:lang w:val="lv-LV"/>
              </w:rPr>
              <w:t>Nodokļu ietekme uz darbavietām un investīcijām</w:t>
            </w:r>
          </w:p>
        </w:tc>
        <w:tc>
          <w:tcPr>
            <w:cnfStyle w:val="000010000000" w:firstRow="0" w:lastRow="0" w:firstColumn="0" w:lastColumn="0" w:oddVBand="1" w:evenVBand="0" w:oddHBand="0" w:evenHBand="0" w:firstRowFirstColumn="0" w:firstRowLastColumn="0" w:lastRowFirstColumn="0" w:lastRowLastColumn="0"/>
            <w:tcW w:w="861"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w:t>
            </w:r>
          </w:p>
        </w:tc>
        <w:tc>
          <w:tcPr>
            <w:tcW w:w="860" w:type="pct"/>
            <w:vAlign w:val="center"/>
          </w:tcPr>
          <w:p w:rsidR="002A2698" w:rsidRPr="0019406C" w:rsidRDefault="002A2698" w:rsidP="00AE0B1D">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115</w:t>
            </w:r>
          </w:p>
        </w:tc>
        <w:tc>
          <w:tcPr>
            <w:cnfStyle w:val="000010000000" w:firstRow="0" w:lastRow="0" w:firstColumn="0" w:lastColumn="0" w:oddVBand="1" w:evenVBand="0" w:oddHBand="0" w:evenHBand="0" w:firstRowFirstColumn="0" w:firstRowLastColumn="0" w:lastRowFirstColumn="0" w:lastRowLastColumn="0"/>
            <w:tcW w:w="855" w:type="pct"/>
            <w:vAlign w:val="center"/>
          </w:tcPr>
          <w:p w:rsidR="002A2698" w:rsidRPr="0019406C" w:rsidRDefault="002A2698" w:rsidP="00AE0B1D">
            <w:pPr>
              <w:jc w:val="center"/>
              <w:rPr>
                <w:rFonts w:asciiTheme="majorHAnsi" w:eastAsia="Cambria" w:hAnsiTheme="majorHAnsi" w:cs="Times New Roman"/>
                <w:b/>
                <w:lang w:val="lv-LV"/>
              </w:rPr>
            </w:pPr>
            <w:r w:rsidRPr="0019406C">
              <w:rPr>
                <w:rFonts w:asciiTheme="majorHAnsi" w:eastAsia="Cambria" w:hAnsiTheme="majorHAnsi" w:cs="Times New Roman"/>
                <w:b/>
                <w:lang w:val="lv-LV"/>
              </w:rPr>
              <w:t xml:space="preserve">- </w:t>
            </w:r>
          </w:p>
        </w:tc>
      </w:tr>
      <w:tr w:rsidR="002A2698" w:rsidRPr="0019406C" w:rsidTr="00AE0B1D">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2424" w:type="pct"/>
            <w:vAlign w:val="center"/>
          </w:tcPr>
          <w:p w:rsidR="002A2698" w:rsidRPr="0019406C" w:rsidRDefault="002A2698" w:rsidP="00AE0B1D">
            <w:pPr>
              <w:rPr>
                <w:rFonts w:asciiTheme="majorHAnsi" w:eastAsia="Cambria" w:hAnsiTheme="majorHAnsi" w:cs="Times New Roman"/>
                <w:b w:val="0"/>
                <w:lang w:val="lv-LV"/>
              </w:rPr>
            </w:pPr>
            <w:r w:rsidRPr="0019406C">
              <w:rPr>
                <w:rFonts w:asciiTheme="majorHAnsi" w:eastAsia="Cambria" w:hAnsiTheme="majorHAnsi" w:cs="Times New Roman"/>
                <w:b w:val="0"/>
                <w:lang w:val="lv-LV"/>
              </w:rPr>
              <w:t>Valsts spēja saglabāt talantus</w:t>
            </w:r>
          </w:p>
        </w:tc>
        <w:tc>
          <w:tcPr>
            <w:cnfStyle w:val="000010000000" w:firstRow="0" w:lastRow="0" w:firstColumn="0" w:lastColumn="0" w:oddVBand="1" w:evenVBand="0" w:oddHBand="0" w:evenHBand="0" w:firstRowFirstColumn="0" w:firstRowLastColumn="0" w:lastRowFirstColumn="0" w:lastRowLastColumn="0"/>
            <w:tcW w:w="861"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w:t>
            </w:r>
          </w:p>
        </w:tc>
        <w:tc>
          <w:tcPr>
            <w:tcW w:w="860" w:type="pct"/>
            <w:vAlign w:val="center"/>
          </w:tcPr>
          <w:p w:rsidR="002A2698" w:rsidRPr="0019406C" w:rsidRDefault="002A2698" w:rsidP="00AE0B1D">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98</w:t>
            </w:r>
          </w:p>
        </w:tc>
        <w:tc>
          <w:tcPr>
            <w:cnfStyle w:val="000010000000" w:firstRow="0" w:lastRow="0" w:firstColumn="0" w:lastColumn="0" w:oddVBand="1" w:evenVBand="0" w:oddHBand="0" w:evenHBand="0" w:firstRowFirstColumn="0" w:firstRowLastColumn="0" w:lastRowFirstColumn="0" w:lastRowLastColumn="0"/>
            <w:tcW w:w="855" w:type="pct"/>
            <w:vAlign w:val="center"/>
          </w:tcPr>
          <w:p w:rsidR="002A2698" w:rsidRPr="0019406C" w:rsidRDefault="002A2698" w:rsidP="00AE0B1D">
            <w:pPr>
              <w:jc w:val="center"/>
              <w:rPr>
                <w:rFonts w:asciiTheme="majorHAnsi" w:eastAsia="Cambria" w:hAnsiTheme="majorHAnsi" w:cs="Times New Roman"/>
                <w:b/>
                <w:lang w:val="lv-LV"/>
              </w:rPr>
            </w:pPr>
            <w:r w:rsidRPr="0019406C">
              <w:rPr>
                <w:rFonts w:asciiTheme="majorHAnsi" w:eastAsia="Cambria" w:hAnsiTheme="majorHAnsi" w:cs="Times New Roman"/>
                <w:b/>
                <w:lang w:val="lv-LV"/>
              </w:rPr>
              <w:t>-</w:t>
            </w:r>
          </w:p>
        </w:tc>
      </w:tr>
      <w:tr w:rsidR="002A2698" w:rsidRPr="0019406C" w:rsidTr="00AE0B1D">
        <w:trPr>
          <w:trHeight w:val="272"/>
        </w:trPr>
        <w:tc>
          <w:tcPr>
            <w:cnfStyle w:val="001000000000" w:firstRow="0" w:lastRow="0" w:firstColumn="1" w:lastColumn="0" w:oddVBand="0" w:evenVBand="0" w:oddHBand="0" w:evenHBand="0" w:firstRowFirstColumn="0" w:firstRowLastColumn="0" w:lastRowFirstColumn="0" w:lastRowLastColumn="0"/>
            <w:tcW w:w="2424" w:type="pct"/>
            <w:vAlign w:val="center"/>
          </w:tcPr>
          <w:p w:rsidR="002A2698" w:rsidRPr="0019406C" w:rsidRDefault="002A2698" w:rsidP="00AE0B1D">
            <w:pPr>
              <w:rPr>
                <w:rFonts w:asciiTheme="majorHAnsi" w:eastAsia="Cambria" w:hAnsiTheme="majorHAnsi" w:cs="Times New Roman"/>
                <w:b w:val="0"/>
                <w:lang w:val="lv-LV"/>
              </w:rPr>
            </w:pPr>
            <w:r w:rsidRPr="0019406C">
              <w:rPr>
                <w:rFonts w:asciiTheme="majorHAnsi" w:eastAsia="Cambria" w:hAnsiTheme="majorHAnsi" w:cs="Times New Roman"/>
                <w:b w:val="0"/>
                <w:lang w:val="lv-LV"/>
              </w:rPr>
              <w:t>Valsts spēja piesaistīt talantus</w:t>
            </w:r>
          </w:p>
        </w:tc>
        <w:tc>
          <w:tcPr>
            <w:cnfStyle w:val="000010000000" w:firstRow="0" w:lastRow="0" w:firstColumn="0" w:lastColumn="0" w:oddVBand="1" w:evenVBand="0" w:oddHBand="0" w:evenHBand="0" w:firstRowFirstColumn="0" w:firstRowLastColumn="0" w:lastRowFirstColumn="0" w:lastRowLastColumn="0"/>
            <w:tcW w:w="861"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w:t>
            </w:r>
          </w:p>
        </w:tc>
        <w:tc>
          <w:tcPr>
            <w:tcW w:w="860" w:type="pct"/>
            <w:vAlign w:val="center"/>
          </w:tcPr>
          <w:p w:rsidR="002A2698" w:rsidRPr="0019406C" w:rsidRDefault="002A2698" w:rsidP="00AE0B1D">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112</w:t>
            </w:r>
          </w:p>
        </w:tc>
        <w:tc>
          <w:tcPr>
            <w:cnfStyle w:val="000010000000" w:firstRow="0" w:lastRow="0" w:firstColumn="0" w:lastColumn="0" w:oddVBand="1" w:evenVBand="0" w:oddHBand="0" w:evenHBand="0" w:firstRowFirstColumn="0" w:firstRowLastColumn="0" w:lastRowFirstColumn="0" w:lastRowLastColumn="0"/>
            <w:tcW w:w="855" w:type="pct"/>
            <w:vAlign w:val="center"/>
          </w:tcPr>
          <w:p w:rsidR="002A2698" w:rsidRPr="0019406C" w:rsidRDefault="002A2698" w:rsidP="00AE0B1D">
            <w:pPr>
              <w:jc w:val="center"/>
              <w:rPr>
                <w:rFonts w:asciiTheme="majorHAnsi" w:eastAsia="Cambria" w:hAnsiTheme="majorHAnsi" w:cs="Times New Roman"/>
                <w:b/>
                <w:lang w:val="lv-LV"/>
              </w:rPr>
            </w:pPr>
            <w:r w:rsidRPr="0019406C">
              <w:rPr>
                <w:rFonts w:asciiTheme="majorHAnsi" w:eastAsia="Cambria" w:hAnsiTheme="majorHAnsi" w:cs="Times New Roman"/>
                <w:b/>
                <w:lang w:val="lv-LV"/>
              </w:rPr>
              <w:t>-</w:t>
            </w:r>
          </w:p>
        </w:tc>
      </w:tr>
      <w:tr w:rsidR="002A2698" w:rsidRPr="0019406C" w:rsidTr="00AE0B1D">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2424" w:type="pct"/>
            <w:vAlign w:val="center"/>
          </w:tcPr>
          <w:p w:rsidR="002A2698" w:rsidRPr="0019406C" w:rsidRDefault="002A2698" w:rsidP="00AE0B1D">
            <w:pPr>
              <w:rPr>
                <w:rFonts w:asciiTheme="majorHAnsi" w:eastAsia="Cambria" w:hAnsiTheme="majorHAnsi" w:cs="Times New Roman"/>
                <w:b w:val="0"/>
                <w:lang w:val="lv-LV"/>
              </w:rPr>
            </w:pPr>
            <w:r w:rsidRPr="0019406C">
              <w:rPr>
                <w:rFonts w:asciiTheme="majorHAnsi" w:hAnsiTheme="majorHAnsi"/>
                <w:b w:val="0"/>
                <w:lang w:val="lv-LV"/>
              </w:rPr>
              <w:t xml:space="preserve">Zināšanu aizplūšana </w:t>
            </w:r>
            <w:r w:rsidRPr="0019406C">
              <w:rPr>
                <w:rFonts w:asciiTheme="majorHAnsi" w:hAnsiTheme="majorHAnsi"/>
                <w:b w:val="0"/>
                <w:i/>
                <w:lang w:val="lv-LV"/>
              </w:rPr>
              <w:t>(</w:t>
            </w:r>
            <w:proofErr w:type="spellStart"/>
            <w:r w:rsidRPr="0019406C">
              <w:rPr>
                <w:rFonts w:asciiTheme="majorHAnsi" w:hAnsiTheme="majorHAnsi"/>
                <w:b w:val="0"/>
                <w:i/>
                <w:lang w:val="lv-LV"/>
              </w:rPr>
              <w:t>brain</w:t>
            </w:r>
            <w:proofErr w:type="spellEnd"/>
            <w:r w:rsidRPr="0019406C">
              <w:rPr>
                <w:rFonts w:asciiTheme="majorHAnsi" w:hAnsiTheme="majorHAnsi"/>
                <w:b w:val="0"/>
                <w:i/>
                <w:lang w:val="lv-LV"/>
              </w:rPr>
              <w:t xml:space="preserve"> </w:t>
            </w:r>
            <w:proofErr w:type="spellStart"/>
            <w:r w:rsidRPr="0019406C">
              <w:rPr>
                <w:rFonts w:asciiTheme="majorHAnsi" w:hAnsiTheme="majorHAnsi"/>
                <w:b w:val="0"/>
                <w:i/>
                <w:lang w:val="lv-LV"/>
              </w:rPr>
              <w:t>drain</w:t>
            </w:r>
            <w:proofErr w:type="spellEnd"/>
            <w:r w:rsidRPr="0019406C">
              <w:rPr>
                <w:rFonts w:asciiTheme="majorHAnsi" w:hAnsiTheme="majorHAnsi"/>
                <w:b w:val="0"/>
                <w:i/>
                <w:lang w:val="lv-LV"/>
              </w:rPr>
              <w:t>)</w:t>
            </w:r>
          </w:p>
        </w:tc>
        <w:tc>
          <w:tcPr>
            <w:cnfStyle w:val="000010000000" w:firstRow="0" w:lastRow="0" w:firstColumn="0" w:lastColumn="0" w:oddVBand="1" w:evenVBand="0" w:oddHBand="0" w:evenHBand="0" w:firstRowFirstColumn="0" w:firstRowLastColumn="0" w:lastRowFirstColumn="0" w:lastRowLastColumn="0"/>
            <w:tcW w:w="861"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95</w:t>
            </w:r>
          </w:p>
        </w:tc>
        <w:tc>
          <w:tcPr>
            <w:tcW w:w="860" w:type="pct"/>
            <w:vAlign w:val="center"/>
          </w:tcPr>
          <w:p w:rsidR="002A2698" w:rsidRPr="0019406C" w:rsidRDefault="002A2698" w:rsidP="00AE0B1D">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c>
          <w:tcPr>
            <w:cnfStyle w:val="000010000000" w:firstRow="0" w:lastRow="0" w:firstColumn="0" w:lastColumn="0" w:oddVBand="1" w:evenVBand="0" w:oddHBand="0" w:evenHBand="0" w:firstRowFirstColumn="0" w:firstRowLastColumn="0" w:lastRowFirstColumn="0" w:lastRowLastColumn="0"/>
            <w:tcW w:w="855" w:type="pct"/>
            <w:vAlign w:val="center"/>
          </w:tcPr>
          <w:p w:rsidR="002A2698" w:rsidRPr="0019406C" w:rsidRDefault="002A2698" w:rsidP="00AE0B1D">
            <w:pPr>
              <w:jc w:val="center"/>
              <w:rPr>
                <w:rFonts w:asciiTheme="majorHAnsi" w:eastAsia="Cambria" w:hAnsiTheme="majorHAnsi" w:cs="Times New Roman"/>
                <w:b/>
                <w:lang w:val="lv-LV"/>
              </w:rPr>
            </w:pPr>
            <w:r w:rsidRPr="0019406C">
              <w:rPr>
                <w:rFonts w:asciiTheme="majorHAnsi" w:eastAsia="Cambria" w:hAnsiTheme="majorHAnsi" w:cs="Times New Roman"/>
                <w:b/>
                <w:lang w:val="lv-LV"/>
              </w:rPr>
              <w:t>-</w:t>
            </w:r>
          </w:p>
        </w:tc>
      </w:tr>
      <w:tr w:rsidR="002A2698" w:rsidRPr="0019406C" w:rsidTr="00AE0B1D">
        <w:trPr>
          <w:cnfStyle w:val="010000000000" w:firstRow="0" w:lastRow="1" w:firstColumn="0" w:lastColumn="0" w:oddVBand="0" w:evenVBand="0" w:oddHBand="0"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424" w:type="pct"/>
            <w:vAlign w:val="center"/>
          </w:tcPr>
          <w:p w:rsidR="002A2698" w:rsidRPr="0019406C" w:rsidRDefault="002A2698" w:rsidP="00AE0B1D">
            <w:pPr>
              <w:rPr>
                <w:rFonts w:asciiTheme="majorHAnsi" w:eastAsia="Cambria" w:hAnsiTheme="majorHAnsi" w:cs="Times New Roman"/>
                <w:lang w:val="lv-LV"/>
              </w:rPr>
            </w:pPr>
            <w:r w:rsidRPr="0019406C">
              <w:rPr>
                <w:rFonts w:asciiTheme="majorHAnsi" w:eastAsia="Cambria" w:hAnsiTheme="majorHAnsi" w:cs="Times New Roman"/>
                <w:lang w:val="lv-LV"/>
              </w:rPr>
              <w:t>Kopējais vērtējums</w:t>
            </w:r>
          </w:p>
        </w:tc>
        <w:tc>
          <w:tcPr>
            <w:cnfStyle w:val="000010000000" w:firstRow="0" w:lastRow="0" w:firstColumn="0" w:lastColumn="0" w:oddVBand="1" w:evenVBand="0" w:oddHBand="0" w:evenHBand="0" w:firstRowFirstColumn="0" w:firstRowLastColumn="0" w:lastRowFirstColumn="0" w:lastRowLastColumn="0"/>
            <w:tcW w:w="861"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heme="majorHAnsi" w:eastAsia="Cambria" w:hAnsiTheme="majorHAnsi" w:cs="Times New Roman"/>
                <w:lang w:val="lv-LV"/>
              </w:rPr>
              <w:t>27</w:t>
            </w:r>
          </w:p>
        </w:tc>
        <w:tc>
          <w:tcPr>
            <w:tcW w:w="860" w:type="pct"/>
            <w:vAlign w:val="center"/>
          </w:tcPr>
          <w:p w:rsidR="002A2698" w:rsidRPr="0019406C" w:rsidRDefault="002A2698" w:rsidP="00AE0B1D">
            <w:pPr>
              <w:jc w:val="center"/>
              <w:cnfStyle w:val="010000000000" w:firstRow="0" w:lastRow="1"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26</w:t>
            </w:r>
          </w:p>
        </w:tc>
        <w:tc>
          <w:tcPr>
            <w:cnfStyle w:val="000010000000" w:firstRow="0" w:lastRow="0" w:firstColumn="0" w:lastColumn="0" w:oddVBand="1" w:evenVBand="0" w:oddHBand="0" w:evenHBand="0" w:firstRowFirstColumn="0" w:firstRowLastColumn="0" w:lastRowFirstColumn="0" w:lastRowLastColumn="0"/>
            <w:tcW w:w="855" w:type="pct"/>
            <w:vAlign w:val="center"/>
          </w:tcPr>
          <w:p w:rsidR="002A2698" w:rsidRPr="0019406C" w:rsidRDefault="002A2698" w:rsidP="00AE0B1D">
            <w:pPr>
              <w:jc w:val="center"/>
              <w:rPr>
                <w:rFonts w:asciiTheme="majorHAnsi" w:eastAsia="Cambria" w:hAnsiTheme="majorHAnsi" w:cs="Times New Roman"/>
                <w:lang w:val="lv-LV"/>
              </w:rPr>
            </w:pPr>
            <w:r w:rsidRPr="0019406C">
              <w:rPr>
                <w:rFonts w:ascii="Times New Roman" w:eastAsia="Cambria" w:hAnsi="Times New Roman" w:cs="Times New Roman"/>
                <w:b w:val="0"/>
                <w:lang w:val="lv-LV"/>
              </w:rPr>
              <w:t>↑</w:t>
            </w:r>
            <w:r w:rsidRPr="0019406C">
              <w:rPr>
                <w:rFonts w:asciiTheme="majorHAnsi" w:eastAsia="Cambria" w:hAnsiTheme="majorHAnsi" w:cs="Times New Roman"/>
                <w:b w:val="0"/>
                <w:lang w:val="lv-LV"/>
              </w:rPr>
              <w:t xml:space="preserve"> </w:t>
            </w:r>
            <w:r w:rsidRPr="0019406C">
              <w:rPr>
                <w:rFonts w:asciiTheme="majorHAnsi" w:eastAsia="Cambria" w:hAnsiTheme="majorHAnsi" w:cs="Times New Roman"/>
                <w:lang w:val="lv-LV"/>
              </w:rPr>
              <w:t>1</w:t>
            </w:r>
          </w:p>
        </w:tc>
      </w:tr>
    </w:tbl>
    <w:p w:rsidR="002A2698" w:rsidRPr="0019406C" w:rsidRDefault="002A2698" w:rsidP="002A2698">
      <w:pPr>
        <w:pStyle w:val="BodyText"/>
        <w:jc w:val="both"/>
        <w:rPr>
          <w:rFonts w:asciiTheme="majorHAnsi" w:hAnsiTheme="majorHAnsi"/>
          <w:lang w:val="lv-LV"/>
        </w:rPr>
      </w:pPr>
    </w:p>
    <w:p w:rsidR="002A2698" w:rsidRPr="0019406C" w:rsidRDefault="002A2698" w:rsidP="00444A73">
      <w:pPr>
        <w:pStyle w:val="BodyText"/>
        <w:spacing w:line="276" w:lineRule="auto"/>
        <w:jc w:val="both"/>
        <w:rPr>
          <w:rFonts w:asciiTheme="majorHAnsi" w:hAnsiTheme="majorHAnsi"/>
          <w:lang w:val="lv-LV"/>
        </w:rPr>
      </w:pPr>
      <w:r w:rsidRPr="0019406C">
        <w:rPr>
          <w:rFonts w:asciiTheme="majorHAnsi" w:hAnsiTheme="majorHAnsi"/>
          <w:lang w:val="lv-LV"/>
        </w:rPr>
        <w:t>Latvijas darba tirgus kvalitāte GKI vērtējumā 2013. gadā ierindojas 26. vietā, kāpjot par 1 vietu, salīdzinot ar gadu iepriekš. Turklāt vairākās novērtējuma pozīcijās Latvija ir pakāpusies par vairākām vietām, būtiskāko kāpumu piedzīvojot darba samaksas noteikšanas elastīgumā (kāpums par 35 vietām) un uzņēmumu vadības profesionalitātē (kāpums par 18 vietām). Pozitīvas izmaiņas ir veiktas arī darbā pieņemšanas un atlaišanas praksē, arī jomā, kas saistīta ar darba samaksas sasaisti ar darba ražīgumu. Pēc GKI aptaujas var secināt, ka uzlabojušās ir arī darba ņēmēju un darba devēju attiecības.</w:t>
      </w:r>
    </w:p>
    <w:p w:rsidR="002A2698" w:rsidRPr="0019406C" w:rsidRDefault="002A2698" w:rsidP="00444A73">
      <w:pPr>
        <w:pStyle w:val="BodyText"/>
        <w:spacing w:line="276" w:lineRule="auto"/>
        <w:jc w:val="both"/>
        <w:rPr>
          <w:rFonts w:asciiTheme="majorHAnsi" w:hAnsiTheme="majorHAnsi"/>
          <w:lang w:val="lv-LV"/>
        </w:rPr>
      </w:pPr>
      <w:r w:rsidRPr="0019406C">
        <w:rPr>
          <w:rFonts w:asciiTheme="majorHAnsi" w:hAnsiTheme="majorHAnsi"/>
          <w:lang w:val="lv-LV"/>
        </w:rPr>
        <w:t xml:space="preserve">Par nopietnu problēmu Latvijā </w:t>
      </w:r>
      <w:r w:rsidR="0072729F" w:rsidRPr="0019406C">
        <w:rPr>
          <w:rFonts w:asciiTheme="majorHAnsi" w:hAnsiTheme="majorHAnsi"/>
          <w:lang w:val="lv-LV"/>
        </w:rPr>
        <w:t>vēl joprojām</w:t>
      </w:r>
      <w:r w:rsidRPr="0019406C">
        <w:rPr>
          <w:rFonts w:asciiTheme="majorHAnsi" w:hAnsiTheme="majorHAnsi"/>
          <w:lang w:val="lv-LV"/>
        </w:rPr>
        <w:t xml:space="preserve"> ir uzskatāma zināšanu aizplūšana jeb </w:t>
      </w:r>
      <w:proofErr w:type="spellStart"/>
      <w:r w:rsidRPr="0019406C">
        <w:rPr>
          <w:rFonts w:asciiTheme="majorHAnsi" w:hAnsiTheme="majorHAnsi"/>
          <w:i/>
          <w:lang w:val="lv-LV"/>
        </w:rPr>
        <w:t>brain</w:t>
      </w:r>
      <w:proofErr w:type="spellEnd"/>
      <w:r w:rsidRPr="0019406C">
        <w:rPr>
          <w:rFonts w:asciiTheme="majorHAnsi" w:hAnsiTheme="majorHAnsi"/>
          <w:i/>
          <w:lang w:val="lv-LV"/>
        </w:rPr>
        <w:t xml:space="preserve"> </w:t>
      </w:r>
      <w:proofErr w:type="spellStart"/>
      <w:r w:rsidRPr="0019406C">
        <w:rPr>
          <w:rFonts w:asciiTheme="majorHAnsi" w:hAnsiTheme="majorHAnsi"/>
          <w:i/>
          <w:lang w:val="lv-LV"/>
        </w:rPr>
        <w:t>drain</w:t>
      </w:r>
      <w:proofErr w:type="spellEnd"/>
      <w:r w:rsidRPr="0019406C">
        <w:rPr>
          <w:rFonts w:asciiTheme="majorHAnsi" w:hAnsiTheme="majorHAnsi"/>
          <w:lang w:val="lv-LV"/>
        </w:rPr>
        <w:t xml:space="preserve">, kas apzīmē valsts spēju piesaistīt un saglabāt talantus darba tirgū. Ņemot vērā to, ka 2012. gadā GKI indeksā Latvija ierindojās tikai 95. vietā un 2013. gada GKI indeksā šī tēma ir apskatīta jau </w:t>
      </w:r>
      <w:r w:rsidR="0072729F" w:rsidRPr="0019406C">
        <w:rPr>
          <w:rFonts w:asciiTheme="majorHAnsi" w:hAnsiTheme="majorHAnsi"/>
          <w:lang w:val="lv-LV"/>
        </w:rPr>
        <w:t>detalizētāki</w:t>
      </w:r>
      <w:r w:rsidRPr="0019406C">
        <w:rPr>
          <w:rFonts w:asciiTheme="majorHAnsi" w:hAnsiTheme="majorHAnsi"/>
          <w:lang w:val="lv-LV"/>
        </w:rPr>
        <w:t>, kur Latvijas novērtējumi parāda vēl zemākus rādītājus (v</w:t>
      </w:r>
      <w:r w:rsidRPr="0019406C">
        <w:rPr>
          <w:rFonts w:asciiTheme="majorHAnsi" w:eastAsia="Cambria" w:hAnsiTheme="majorHAnsi" w:cs="Times New Roman"/>
          <w:lang w:val="lv-LV"/>
        </w:rPr>
        <w:t>alsts spēja piesaistīt talantus – 112. vieta un valsts spēja saglabāt talantus – 98. vieta) šai jomai būtu jāvelta īpaša uzmanība.</w:t>
      </w:r>
    </w:p>
    <w:p w:rsidR="002A2698" w:rsidRPr="0019406C" w:rsidRDefault="002A2698" w:rsidP="00444A73">
      <w:pPr>
        <w:pStyle w:val="BodyText"/>
        <w:spacing w:line="276" w:lineRule="auto"/>
        <w:jc w:val="both"/>
        <w:rPr>
          <w:rFonts w:asciiTheme="majorHAnsi" w:hAnsiTheme="majorHAnsi"/>
          <w:lang w:val="lv-LV"/>
        </w:rPr>
      </w:pPr>
      <w:r w:rsidRPr="0019406C">
        <w:rPr>
          <w:rFonts w:asciiTheme="majorHAnsi" w:hAnsiTheme="majorHAnsi"/>
          <w:lang w:val="lv-LV"/>
        </w:rPr>
        <w:t xml:space="preserve">Kā viens no Latvijas </w:t>
      </w:r>
      <w:proofErr w:type="spellStart"/>
      <w:r w:rsidRPr="0019406C">
        <w:rPr>
          <w:rFonts w:asciiTheme="majorHAnsi" w:hAnsiTheme="majorHAnsi"/>
          <w:lang w:val="lv-LV"/>
        </w:rPr>
        <w:t>problēmjautājumiem</w:t>
      </w:r>
      <w:proofErr w:type="spellEnd"/>
      <w:r w:rsidRPr="0019406C">
        <w:rPr>
          <w:rFonts w:asciiTheme="majorHAnsi" w:hAnsiTheme="majorHAnsi"/>
          <w:lang w:val="lv-LV"/>
        </w:rPr>
        <w:t xml:space="preserve"> GKI tiek minēta neatbilstoša izglītība darbiniekiem, kas no GKI novērtējuma 2012. gadā sastādīja 7</w:t>
      </w:r>
      <w:r w:rsidR="00036416" w:rsidRPr="0019406C">
        <w:rPr>
          <w:rFonts w:asciiTheme="majorHAnsi" w:hAnsiTheme="majorHAnsi"/>
          <w:lang w:val="lv-LV"/>
        </w:rPr>
        <w:t>,</w:t>
      </w:r>
      <w:r w:rsidRPr="0019406C">
        <w:rPr>
          <w:rFonts w:asciiTheme="majorHAnsi" w:hAnsiTheme="majorHAnsi"/>
          <w:lang w:val="lv-LV"/>
        </w:rPr>
        <w:t>7% no kavējošiem faktoriem, tad 2013. gadā rādītājs jau uzlabojās un sastādīja 6</w:t>
      </w:r>
      <w:r w:rsidR="00036416" w:rsidRPr="0019406C">
        <w:rPr>
          <w:rFonts w:asciiTheme="majorHAnsi" w:hAnsiTheme="majorHAnsi"/>
          <w:lang w:val="lv-LV"/>
        </w:rPr>
        <w:t>,</w:t>
      </w:r>
      <w:r w:rsidRPr="0019406C">
        <w:rPr>
          <w:rFonts w:asciiTheme="majorHAnsi" w:hAnsiTheme="majorHAnsi"/>
          <w:lang w:val="lv-LV"/>
        </w:rPr>
        <w:t>4%, tomēr Latvijā būtu jāstrādā pie izglītības sistēmas piemērošanas nākotnes tirgus prasībām.</w:t>
      </w:r>
    </w:p>
    <w:p w:rsidR="00534CB9" w:rsidRPr="0019406C" w:rsidRDefault="00534CB9" w:rsidP="00444A73">
      <w:pPr>
        <w:pStyle w:val="BodyText"/>
        <w:spacing w:line="276" w:lineRule="auto"/>
        <w:rPr>
          <w:rFonts w:asciiTheme="majorHAnsi" w:hAnsiTheme="majorHAnsi"/>
          <w:b/>
          <w:sz w:val="22"/>
          <w:lang w:val="lv-LV"/>
        </w:rPr>
      </w:pPr>
      <w:r w:rsidRPr="0019406C">
        <w:rPr>
          <w:rFonts w:asciiTheme="majorHAnsi" w:hAnsiTheme="majorHAnsi"/>
          <w:b/>
          <w:sz w:val="22"/>
          <w:lang w:val="lv-LV"/>
        </w:rPr>
        <w:t>Secinājumi un priekšlikumi</w:t>
      </w:r>
    </w:p>
    <w:p w:rsidR="005C3913" w:rsidRPr="0019406C" w:rsidRDefault="002A2698" w:rsidP="00444A73">
      <w:pPr>
        <w:pStyle w:val="BodyText"/>
        <w:spacing w:line="276" w:lineRule="auto"/>
        <w:jc w:val="both"/>
        <w:rPr>
          <w:rFonts w:asciiTheme="majorHAnsi" w:hAnsiTheme="majorHAnsi"/>
          <w:lang w:val="lv-LV"/>
        </w:rPr>
      </w:pPr>
      <w:r w:rsidRPr="0019406C">
        <w:rPr>
          <w:rFonts w:asciiTheme="majorHAnsi" w:hAnsiTheme="majorHAnsi"/>
          <w:lang w:val="lv-LV"/>
        </w:rPr>
        <w:t>No veiktās darba tiesisko attiecību rādītāju analīzes var secināt, ka Latvijā situācija darba tiesiskajās attiecībās arvien uzlabojas un arvien mazāk šī joma kā uzņēmēju vidū, tā starptautiski tiek uzskatītas par problēmu</w:t>
      </w:r>
      <w:r w:rsidR="00E020A7" w:rsidRPr="0019406C">
        <w:rPr>
          <w:rFonts w:asciiTheme="majorHAnsi" w:hAnsiTheme="majorHAnsi"/>
          <w:lang w:val="lv-LV"/>
        </w:rPr>
        <w:t>, t</w:t>
      </w:r>
      <w:r w:rsidRPr="0019406C">
        <w:rPr>
          <w:rFonts w:asciiTheme="majorHAnsi" w:hAnsiTheme="majorHAnsi"/>
          <w:lang w:val="lv-LV"/>
        </w:rPr>
        <w:t xml:space="preserve">omēr </w:t>
      </w:r>
      <w:r w:rsidR="00E020A7" w:rsidRPr="0019406C">
        <w:rPr>
          <w:rFonts w:asciiTheme="majorHAnsi" w:hAnsiTheme="majorHAnsi"/>
          <w:lang w:val="lv-LV"/>
        </w:rPr>
        <w:t xml:space="preserve">esošā </w:t>
      </w:r>
      <w:r w:rsidRPr="0019406C">
        <w:rPr>
          <w:rFonts w:asciiTheme="majorHAnsi" w:hAnsiTheme="majorHAnsi"/>
          <w:lang w:val="lv-LV"/>
        </w:rPr>
        <w:t xml:space="preserve">problēma šajā jomā </w:t>
      </w:r>
      <w:r w:rsidR="00E020A7" w:rsidRPr="0019406C">
        <w:rPr>
          <w:rFonts w:asciiTheme="majorHAnsi" w:hAnsiTheme="majorHAnsi"/>
          <w:lang w:val="lv-LV"/>
        </w:rPr>
        <w:t xml:space="preserve">varētu būt </w:t>
      </w:r>
      <w:r w:rsidRPr="0019406C">
        <w:rPr>
          <w:rFonts w:asciiTheme="majorHAnsi" w:hAnsiTheme="majorHAnsi"/>
          <w:lang w:val="lv-LV"/>
        </w:rPr>
        <w:t>kvalificētu darbinieku trūkums un to aizbrauk</w:t>
      </w:r>
      <w:r w:rsidR="00E020A7" w:rsidRPr="0019406C">
        <w:rPr>
          <w:rFonts w:asciiTheme="majorHAnsi" w:hAnsiTheme="majorHAnsi"/>
          <w:lang w:val="lv-LV"/>
        </w:rPr>
        <w:t>ša</w:t>
      </w:r>
      <w:r w:rsidRPr="0019406C">
        <w:rPr>
          <w:rFonts w:asciiTheme="majorHAnsi" w:hAnsiTheme="majorHAnsi"/>
          <w:lang w:val="lv-LV"/>
        </w:rPr>
        <w:t xml:space="preserve">na no Latvijas. Minētā problēma būtu jāskata ilgtermiņā un saistībā ar valsts ekonomisko un politisko attīstību, izglītības  sistēmas un uzņēmējdarbības attīstību. </w:t>
      </w:r>
      <w:r w:rsidR="00E020A7" w:rsidRPr="0019406C">
        <w:rPr>
          <w:rFonts w:asciiTheme="majorHAnsi" w:hAnsiTheme="majorHAnsi"/>
          <w:lang w:val="lv-LV"/>
        </w:rPr>
        <w:t xml:space="preserve">Šī pētījuma ietvaros </w:t>
      </w:r>
      <w:r w:rsidR="000111DC" w:rsidRPr="0019406C">
        <w:rPr>
          <w:rFonts w:asciiTheme="majorHAnsi" w:hAnsiTheme="majorHAnsi"/>
          <w:lang w:val="lv-LV"/>
        </w:rPr>
        <w:t xml:space="preserve">darba tiesisko attiecību jomā </w:t>
      </w:r>
      <w:r w:rsidRPr="0019406C">
        <w:rPr>
          <w:rFonts w:asciiTheme="majorHAnsi" w:hAnsiTheme="majorHAnsi"/>
          <w:lang w:val="lv-LV"/>
        </w:rPr>
        <w:t>netiek izvirzīti specifiski pasākumi šīs jomas uzlabošanā.</w:t>
      </w:r>
    </w:p>
    <w:p w:rsidR="00E020A7" w:rsidRPr="0019406C" w:rsidRDefault="00E020A7" w:rsidP="000857A7">
      <w:pPr>
        <w:pStyle w:val="BodyText"/>
        <w:rPr>
          <w:lang w:val="lv-LV"/>
        </w:rPr>
      </w:pPr>
    </w:p>
    <w:p w:rsidR="00B1457B" w:rsidRPr="0019406C" w:rsidRDefault="00B1457B" w:rsidP="00B1457B">
      <w:pPr>
        <w:pStyle w:val="Heading2"/>
        <w:rPr>
          <w:lang w:val="lv-LV"/>
        </w:rPr>
      </w:pPr>
      <w:bookmarkStart w:id="123" w:name="_Toc389226088"/>
      <w:r w:rsidRPr="0019406C">
        <w:rPr>
          <w:lang w:val="lv-LV"/>
        </w:rPr>
        <w:t>Elektroenerģijas pieslēgums</w:t>
      </w:r>
      <w:bookmarkEnd w:id="123"/>
    </w:p>
    <w:p w:rsidR="00B1457B" w:rsidRPr="0019406C" w:rsidRDefault="00B1457B" w:rsidP="00B1457B">
      <w:pPr>
        <w:pStyle w:val="BodyText"/>
        <w:rPr>
          <w:rFonts w:asciiTheme="majorHAnsi" w:hAnsiTheme="majorHAnsi"/>
          <w:lang w:val="lv-LV"/>
        </w:rPr>
      </w:pPr>
    </w:p>
    <w:p w:rsidR="00C60846" w:rsidRPr="0019406C" w:rsidRDefault="00C60846" w:rsidP="00C60846">
      <w:pPr>
        <w:pStyle w:val="BodyText"/>
        <w:rPr>
          <w:rFonts w:asciiTheme="majorHAnsi" w:hAnsiTheme="majorHAnsi"/>
          <w:b/>
          <w:sz w:val="22"/>
          <w:lang w:val="lv-LV"/>
        </w:rPr>
      </w:pPr>
      <w:r w:rsidRPr="0019406C">
        <w:rPr>
          <w:rFonts w:asciiTheme="majorHAnsi" w:hAnsiTheme="majorHAnsi"/>
          <w:b/>
          <w:sz w:val="22"/>
          <w:lang w:val="lv-LV"/>
        </w:rPr>
        <w:t>Uzņēmēju aptauja</w:t>
      </w:r>
    </w:p>
    <w:p w:rsidR="00C60846" w:rsidRPr="0019406C" w:rsidRDefault="00C60846" w:rsidP="00C60846">
      <w:pPr>
        <w:pStyle w:val="BodyText"/>
        <w:spacing w:line="276" w:lineRule="auto"/>
        <w:rPr>
          <w:rFonts w:asciiTheme="majorHAnsi" w:hAnsiTheme="majorHAnsi"/>
          <w:lang w:val="lv-LV"/>
        </w:rPr>
      </w:pPr>
      <w:r w:rsidRPr="0019406C">
        <w:rPr>
          <w:rFonts w:asciiTheme="majorHAnsi" w:hAnsiTheme="majorHAnsi"/>
          <w:lang w:val="lv-LV"/>
        </w:rPr>
        <w:t>Galvenie secinājumi par aptaujas rezultātiem:</w:t>
      </w:r>
    </w:p>
    <w:p w:rsidR="00315834" w:rsidRPr="0019406C" w:rsidRDefault="00315834" w:rsidP="00444A73">
      <w:pPr>
        <w:pStyle w:val="BodyText"/>
        <w:numPr>
          <w:ilvl w:val="0"/>
          <w:numId w:val="68"/>
        </w:numPr>
        <w:spacing w:line="276" w:lineRule="auto"/>
        <w:jc w:val="both"/>
        <w:rPr>
          <w:lang w:val="lv-LV"/>
        </w:rPr>
      </w:pPr>
      <w:r w:rsidRPr="0019406C">
        <w:rPr>
          <w:lang w:val="lv-LV"/>
        </w:rPr>
        <w:lastRenderedPageBreak/>
        <w:t>Pēdējo 2 gadu laikā nepieciešamība pēc dažādiem infrastruktūras uzlabojumu pakalpojumiem bijusi salīdzinoši nelielam aptaujāto uzņēmumu skaitam. Jauns elektrības pieslēgums bija nepieciešams 4,7% aptaujāto uzņēmumu</w:t>
      </w:r>
      <w:r w:rsidR="00C600F8" w:rsidRPr="0019406C">
        <w:rPr>
          <w:lang w:val="lv-LV"/>
        </w:rPr>
        <w:t xml:space="preserve">, </w:t>
      </w:r>
      <w:r w:rsidR="0048052E" w:rsidRPr="0019406C">
        <w:rPr>
          <w:lang w:val="lv-LV"/>
        </w:rPr>
        <w:t>tomēr</w:t>
      </w:r>
      <w:r w:rsidR="00C600F8" w:rsidRPr="0019406C">
        <w:rPr>
          <w:lang w:val="lv-LV"/>
        </w:rPr>
        <w:t xml:space="preserve"> tikai 3,7% aptaujāto bija izveidojuši jaunu pieslēgumu vai palielinājuši tā jaudu</w:t>
      </w:r>
      <w:r w:rsidRPr="0019406C">
        <w:rPr>
          <w:lang w:val="lv-LV"/>
        </w:rPr>
        <w:t>;</w:t>
      </w:r>
    </w:p>
    <w:p w:rsidR="00C600F8" w:rsidRPr="0019406C" w:rsidRDefault="00C600F8" w:rsidP="00444A73">
      <w:pPr>
        <w:pStyle w:val="BodyText"/>
        <w:numPr>
          <w:ilvl w:val="0"/>
          <w:numId w:val="68"/>
        </w:numPr>
        <w:spacing w:line="276" w:lineRule="auto"/>
        <w:jc w:val="both"/>
        <w:rPr>
          <w:rFonts w:asciiTheme="majorHAnsi" w:hAnsiTheme="majorHAnsi"/>
          <w:lang w:val="lv-LV"/>
        </w:rPr>
      </w:pPr>
      <w:r w:rsidRPr="0019406C">
        <w:rPr>
          <w:rFonts w:asciiTheme="majorHAnsi" w:hAnsiTheme="majorHAnsi"/>
          <w:lang w:val="lv-LV"/>
        </w:rPr>
        <w:t>Visvairāk elektroenerģijas pieslēgums ir svarīgs lielajiem uzņēmumiem- pēdējo 2 gadu laikā jaunu pieslēgumu izveidojuši vai arī palielinājuši esošo elektrības jaudu ir aptuveni 24% respondentu;</w:t>
      </w:r>
    </w:p>
    <w:p w:rsidR="00315834" w:rsidRPr="0019406C" w:rsidRDefault="00315834" w:rsidP="00444A73">
      <w:pPr>
        <w:pStyle w:val="BodyText"/>
        <w:numPr>
          <w:ilvl w:val="0"/>
          <w:numId w:val="68"/>
        </w:numPr>
        <w:spacing w:line="276" w:lineRule="auto"/>
        <w:jc w:val="both"/>
        <w:rPr>
          <w:lang w:val="lv-LV"/>
        </w:rPr>
      </w:pPr>
      <w:r w:rsidRPr="0019406C">
        <w:rPr>
          <w:lang w:val="lv-LV"/>
        </w:rPr>
        <w:t>Uzņēmēju aptaujas dati liecina par to, ka vidēji uzņēmējiem jāpatērē samērā ilgs laiks, lai iegūtu saskaņojumu elektrības pieslēguma veidam, kā arī izveidotu pieslēgumu.</w:t>
      </w:r>
      <w:r w:rsidR="00C600F8" w:rsidRPr="0019406C">
        <w:rPr>
          <w:lang w:val="lv-LV"/>
        </w:rPr>
        <w:t xml:space="preserve"> Saskaņā ar pētījuma rezultātiem, laiks, kas nepieciešams, lai iegūtu saskaņojumu kādam jaunam infrastruktūras pieslēgumam, parasti ir lielāks par kalendāro mēnesi. Jauna elektrības pieslēguma saskaņojumam vidēji bija nepieciešams 54 dienas (attiecīgais respondentu skaits – 33 uzņēmumi);</w:t>
      </w:r>
    </w:p>
    <w:p w:rsidR="00C600F8" w:rsidRPr="0019406C" w:rsidRDefault="00C600F8" w:rsidP="00444A73">
      <w:pPr>
        <w:pStyle w:val="BodyText"/>
        <w:numPr>
          <w:ilvl w:val="0"/>
          <w:numId w:val="68"/>
        </w:numPr>
        <w:spacing w:line="276" w:lineRule="auto"/>
        <w:rPr>
          <w:rFonts w:asciiTheme="majorHAnsi" w:hAnsiTheme="majorHAnsi"/>
          <w:lang w:val="lv-LV"/>
        </w:rPr>
      </w:pPr>
      <w:r w:rsidRPr="0019406C">
        <w:rPr>
          <w:rFonts w:asciiTheme="majorHAnsi" w:hAnsiTheme="majorHAnsi"/>
          <w:lang w:val="lv-LV"/>
        </w:rPr>
        <w:t xml:space="preserve">Vidējais elektroenerģijas pieslēguma ierīkošanai patērētais laiks (ieskaitot brīvdienas) atsevišķām procedūrām ir šāds (respondentu skaits visās pozīcijās bija zemāks par 30): </w:t>
      </w:r>
    </w:p>
    <w:p w:rsidR="00C600F8" w:rsidRPr="0019406C" w:rsidRDefault="00C600F8" w:rsidP="00444A73">
      <w:pPr>
        <w:pStyle w:val="BodyText"/>
        <w:numPr>
          <w:ilvl w:val="1"/>
          <w:numId w:val="68"/>
        </w:numPr>
        <w:spacing w:after="0" w:line="276" w:lineRule="auto"/>
        <w:rPr>
          <w:rFonts w:asciiTheme="majorHAnsi" w:hAnsiTheme="majorHAnsi"/>
          <w:lang w:val="lv-LV"/>
        </w:rPr>
      </w:pPr>
      <w:r w:rsidRPr="0019406C">
        <w:rPr>
          <w:rFonts w:asciiTheme="majorHAnsi" w:hAnsiTheme="majorHAnsi"/>
          <w:lang w:val="lv-LV"/>
        </w:rPr>
        <w:t>Topogrāfiskā plāna saņemšana, projekta saskaņošana – 76 dienas;</w:t>
      </w:r>
    </w:p>
    <w:p w:rsidR="00C600F8" w:rsidRPr="0019406C" w:rsidRDefault="00C600F8" w:rsidP="00444A73">
      <w:pPr>
        <w:pStyle w:val="BodyText"/>
        <w:numPr>
          <w:ilvl w:val="1"/>
          <w:numId w:val="68"/>
        </w:numPr>
        <w:spacing w:after="0" w:line="276" w:lineRule="auto"/>
        <w:rPr>
          <w:rFonts w:asciiTheme="majorHAnsi" w:hAnsiTheme="majorHAnsi"/>
          <w:lang w:val="lv-LV"/>
        </w:rPr>
      </w:pPr>
      <w:r w:rsidRPr="0019406C">
        <w:rPr>
          <w:rFonts w:asciiTheme="majorHAnsi" w:hAnsiTheme="majorHAnsi"/>
          <w:lang w:val="lv-LV"/>
        </w:rPr>
        <w:t>Būvdarbi un instalācija, kas saistīta ar Sadales tīkla apakšuzņēmēja darbību – 65 dienas;</w:t>
      </w:r>
    </w:p>
    <w:p w:rsidR="00C600F8" w:rsidRPr="0019406C" w:rsidRDefault="00C600F8" w:rsidP="00444A73">
      <w:pPr>
        <w:pStyle w:val="BodyText"/>
        <w:numPr>
          <w:ilvl w:val="1"/>
          <w:numId w:val="68"/>
        </w:numPr>
        <w:spacing w:after="0" w:line="276" w:lineRule="auto"/>
        <w:rPr>
          <w:rFonts w:asciiTheme="majorHAnsi" w:hAnsiTheme="majorHAnsi"/>
          <w:lang w:val="lv-LV"/>
        </w:rPr>
      </w:pPr>
      <w:r w:rsidRPr="0019406C">
        <w:rPr>
          <w:rFonts w:asciiTheme="majorHAnsi" w:hAnsiTheme="majorHAnsi"/>
          <w:lang w:val="lv-LV"/>
        </w:rPr>
        <w:t>Pieteikuma iesniegšana un tehnisko noteikumu saņemšana – 38 dienas;</w:t>
      </w:r>
    </w:p>
    <w:p w:rsidR="00C600F8" w:rsidRPr="0019406C" w:rsidRDefault="00C600F8" w:rsidP="00444A73">
      <w:pPr>
        <w:pStyle w:val="BodyText"/>
        <w:numPr>
          <w:ilvl w:val="1"/>
          <w:numId w:val="68"/>
        </w:numPr>
        <w:spacing w:after="0" w:line="276" w:lineRule="auto"/>
        <w:rPr>
          <w:rFonts w:asciiTheme="majorHAnsi" w:hAnsiTheme="majorHAnsi"/>
          <w:lang w:val="lv-LV"/>
        </w:rPr>
      </w:pPr>
      <w:r w:rsidRPr="0019406C">
        <w:rPr>
          <w:rFonts w:asciiTheme="majorHAnsi" w:hAnsiTheme="majorHAnsi"/>
          <w:lang w:val="lv-LV"/>
        </w:rPr>
        <w:t>Līguma noslēgšana ar Sadales tīklu – 27 dienas;</w:t>
      </w:r>
    </w:p>
    <w:p w:rsidR="00C600F8" w:rsidRPr="0019406C" w:rsidRDefault="00C600F8" w:rsidP="00444A73">
      <w:pPr>
        <w:pStyle w:val="BodyText"/>
        <w:numPr>
          <w:ilvl w:val="1"/>
          <w:numId w:val="68"/>
        </w:numPr>
        <w:spacing w:line="276" w:lineRule="auto"/>
        <w:rPr>
          <w:rFonts w:asciiTheme="majorHAnsi" w:hAnsiTheme="majorHAnsi"/>
          <w:lang w:val="lv-LV"/>
        </w:rPr>
      </w:pPr>
      <w:r w:rsidRPr="0019406C">
        <w:rPr>
          <w:rFonts w:asciiTheme="majorHAnsi" w:hAnsiTheme="majorHAnsi"/>
          <w:lang w:val="lv-LV"/>
        </w:rPr>
        <w:t>Pieslēguma inspekcija – 26 dienas;</w:t>
      </w:r>
    </w:p>
    <w:p w:rsidR="00C600F8" w:rsidRPr="0019406C" w:rsidRDefault="00C600F8" w:rsidP="00444A73">
      <w:pPr>
        <w:pStyle w:val="BodyText"/>
        <w:numPr>
          <w:ilvl w:val="0"/>
          <w:numId w:val="68"/>
        </w:numPr>
        <w:spacing w:line="276" w:lineRule="auto"/>
        <w:rPr>
          <w:rFonts w:asciiTheme="majorHAnsi" w:hAnsiTheme="majorHAnsi"/>
          <w:lang w:val="lv-LV"/>
        </w:rPr>
      </w:pPr>
      <w:r w:rsidRPr="0019406C">
        <w:rPr>
          <w:rFonts w:asciiTheme="majorHAnsi" w:hAnsiTheme="majorHAnsi"/>
          <w:lang w:val="lv-LV"/>
        </w:rPr>
        <w:t>Kopējās izmaksas saistībā ar jauna elektrības pieslēguma izveidošanu vai jaudas palielināšanu ir samazinājušās: 2011. gadā vidējā summa bija ap EUR 4</w:t>
      </w:r>
      <w:r w:rsidR="00036416" w:rsidRPr="0019406C">
        <w:rPr>
          <w:rFonts w:asciiTheme="majorHAnsi" w:hAnsiTheme="majorHAnsi"/>
          <w:lang w:val="lv-LV"/>
        </w:rPr>
        <w:t xml:space="preserve"> </w:t>
      </w:r>
      <w:r w:rsidRPr="0019406C">
        <w:rPr>
          <w:rFonts w:asciiTheme="majorHAnsi" w:hAnsiTheme="majorHAnsi"/>
          <w:lang w:val="lv-LV"/>
        </w:rPr>
        <w:t>619 (Ls3</w:t>
      </w:r>
      <w:r w:rsidR="00036416" w:rsidRPr="0019406C">
        <w:rPr>
          <w:rFonts w:asciiTheme="majorHAnsi" w:hAnsiTheme="majorHAnsi"/>
          <w:lang w:val="lv-LV"/>
        </w:rPr>
        <w:t xml:space="preserve"> </w:t>
      </w:r>
      <w:r w:rsidRPr="0019406C">
        <w:rPr>
          <w:rFonts w:asciiTheme="majorHAnsi" w:hAnsiTheme="majorHAnsi"/>
          <w:lang w:val="lv-LV"/>
        </w:rPr>
        <w:t>227), bet 2014. gadā tā sasniedza EUR 2</w:t>
      </w:r>
      <w:r w:rsidR="00036416" w:rsidRPr="0019406C">
        <w:rPr>
          <w:rFonts w:asciiTheme="majorHAnsi" w:hAnsiTheme="majorHAnsi"/>
          <w:lang w:val="lv-LV"/>
        </w:rPr>
        <w:t xml:space="preserve"> </w:t>
      </w:r>
      <w:r w:rsidRPr="0019406C">
        <w:rPr>
          <w:rFonts w:asciiTheme="majorHAnsi" w:hAnsiTheme="majorHAnsi"/>
          <w:lang w:val="lv-LV"/>
        </w:rPr>
        <w:t>320 (Ls1</w:t>
      </w:r>
      <w:r w:rsidR="00036416" w:rsidRPr="0019406C">
        <w:rPr>
          <w:rFonts w:asciiTheme="majorHAnsi" w:hAnsiTheme="majorHAnsi"/>
          <w:lang w:val="lv-LV"/>
        </w:rPr>
        <w:t xml:space="preserve"> </w:t>
      </w:r>
      <w:r w:rsidRPr="0019406C">
        <w:rPr>
          <w:rFonts w:asciiTheme="majorHAnsi" w:hAnsiTheme="majorHAnsi"/>
          <w:lang w:val="lv-LV"/>
        </w:rPr>
        <w:t>621);</w:t>
      </w:r>
    </w:p>
    <w:p w:rsidR="00315834" w:rsidRPr="0019406C" w:rsidRDefault="00315834" w:rsidP="000857A7">
      <w:pPr>
        <w:pStyle w:val="BodyText"/>
        <w:spacing w:line="276" w:lineRule="auto"/>
        <w:ind w:left="360"/>
        <w:jc w:val="center"/>
        <w:rPr>
          <w:rFonts w:asciiTheme="majorHAnsi" w:hAnsiTheme="majorHAnsi"/>
          <w:lang w:val="lv-LV"/>
        </w:rPr>
      </w:pPr>
      <w:r w:rsidRPr="0019406C">
        <w:rPr>
          <w:noProof/>
          <w:lang w:eastAsia="en-GB"/>
        </w:rPr>
        <w:drawing>
          <wp:inline distT="0" distB="0" distL="0" distR="0" wp14:anchorId="23B2FE35" wp14:editId="24CF0209">
            <wp:extent cx="5486400" cy="2358390"/>
            <wp:effectExtent l="0" t="0" r="0" b="3810"/>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315834" w:rsidRPr="0019406C" w:rsidRDefault="00315834" w:rsidP="000857A7">
      <w:pPr>
        <w:pStyle w:val="Caption"/>
        <w:ind w:left="360"/>
        <w:jc w:val="both"/>
        <w:rPr>
          <w:rFonts w:asciiTheme="majorHAnsi" w:hAnsiTheme="majorHAnsi"/>
          <w:sz w:val="16"/>
          <w:lang w:val="lv-LV"/>
        </w:rPr>
      </w:pPr>
      <w:r w:rsidRPr="0019406C">
        <w:rPr>
          <w:sz w:val="16"/>
          <w:lang w:val="lv-LV"/>
        </w:rPr>
        <w:t xml:space="preserve">Ilustrācija </w:t>
      </w:r>
      <w:r w:rsidRPr="0019406C">
        <w:rPr>
          <w:sz w:val="16"/>
          <w:lang w:val="lv-LV"/>
        </w:rPr>
        <w:fldChar w:fldCharType="begin"/>
      </w:r>
      <w:r w:rsidRPr="0019406C">
        <w:rPr>
          <w:sz w:val="16"/>
          <w:lang w:val="lv-LV"/>
        </w:rPr>
        <w:instrText xml:space="preserve"> SEQ Ilustrācija \* ARABIC </w:instrText>
      </w:r>
      <w:r w:rsidRPr="0019406C">
        <w:rPr>
          <w:sz w:val="16"/>
          <w:lang w:val="lv-LV"/>
        </w:rPr>
        <w:fldChar w:fldCharType="separate"/>
      </w:r>
      <w:r w:rsidR="00410806" w:rsidRPr="0019406C">
        <w:rPr>
          <w:noProof/>
          <w:sz w:val="16"/>
          <w:lang w:val="lv-LV"/>
        </w:rPr>
        <w:t>11</w:t>
      </w:r>
      <w:r w:rsidRPr="0019406C">
        <w:rPr>
          <w:sz w:val="16"/>
          <w:lang w:val="lv-LV"/>
        </w:rPr>
        <w:fldChar w:fldCharType="end"/>
      </w:r>
      <w:r w:rsidRPr="0019406C">
        <w:rPr>
          <w:sz w:val="16"/>
          <w:lang w:val="lv-LV"/>
        </w:rPr>
        <w:t xml:space="preserve"> Kopējās izmaksas saistībā ar jauna elektrības pieslēguma izveidošanu vai jaudas palielināšanu (vidējā summa latos)</w:t>
      </w:r>
    </w:p>
    <w:p w:rsidR="00315834" w:rsidRPr="0019406C" w:rsidRDefault="00315834" w:rsidP="00444A73">
      <w:pPr>
        <w:pStyle w:val="BodyText"/>
        <w:numPr>
          <w:ilvl w:val="0"/>
          <w:numId w:val="41"/>
        </w:numPr>
        <w:spacing w:line="276" w:lineRule="auto"/>
        <w:jc w:val="both"/>
        <w:rPr>
          <w:rFonts w:asciiTheme="majorHAnsi" w:hAnsiTheme="majorHAnsi"/>
          <w:lang w:val="lv-LV"/>
        </w:rPr>
      </w:pPr>
      <w:r w:rsidRPr="0019406C">
        <w:rPr>
          <w:rFonts w:asciiTheme="majorHAnsi" w:hAnsiTheme="majorHAnsi"/>
          <w:lang w:val="lv-LV"/>
        </w:rPr>
        <w:t>Lai gan procedūru/ saskaņojumu veikšanai uzņēmuma vadītāji arvien vairāk izvēlas izmantot ārējo konsultantu palīdzību, vēl aizvien lielākā daļa u</w:t>
      </w:r>
      <w:r w:rsidR="00C600F8" w:rsidRPr="0019406C">
        <w:rPr>
          <w:rFonts w:asciiTheme="majorHAnsi" w:hAnsiTheme="majorHAnsi"/>
          <w:lang w:val="lv-LV"/>
        </w:rPr>
        <w:t>zņēmumu to izvēlas darīt paši;</w:t>
      </w:r>
    </w:p>
    <w:p w:rsidR="00C60846" w:rsidRPr="0019406C" w:rsidRDefault="00C60846" w:rsidP="00444A73">
      <w:pPr>
        <w:pStyle w:val="BodyText"/>
        <w:numPr>
          <w:ilvl w:val="0"/>
          <w:numId w:val="40"/>
        </w:numPr>
        <w:spacing w:line="276" w:lineRule="auto"/>
        <w:rPr>
          <w:rFonts w:asciiTheme="majorHAnsi" w:hAnsiTheme="majorHAnsi"/>
          <w:lang w:val="lv-LV"/>
        </w:rPr>
      </w:pPr>
      <w:r w:rsidRPr="0019406C">
        <w:rPr>
          <w:rFonts w:asciiTheme="majorHAnsi" w:hAnsiTheme="majorHAnsi"/>
          <w:lang w:val="lv-LV"/>
        </w:rPr>
        <w:t>Iespēja izvēlēties elektrības piegādātāju tiek vērtēta drīzāk pozitīvi (44</w:t>
      </w:r>
      <w:r w:rsidR="00036416" w:rsidRPr="0019406C">
        <w:rPr>
          <w:rFonts w:asciiTheme="majorHAnsi" w:hAnsiTheme="majorHAnsi"/>
          <w:lang w:val="lv-LV"/>
        </w:rPr>
        <w:t>,</w:t>
      </w:r>
      <w:r w:rsidRPr="0019406C">
        <w:rPr>
          <w:rFonts w:asciiTheme="majorHAnsi" w:hAnsiTheme="majorHAnsi"/>
          <w:lang w:val="lv-LV"/>
        </w:rPr>
        <w:t>5%), 39</w:t>
      </w:r>
      <w:r w:rsidR="00036416" w:rsidRPr="0019406C">
        <w:rPr>
          <w:rFonts w:asciiTheme="majorHAnsi" w:hAnsiTheme="majorHAnsi"/>
          <w:lang w:val="lv-LV"/>
        </w:rPr>
        <w:t>,</w:t>
      </w:r>
      <w:r w:rsidRPr="0019406C">
        <w:rPr>
          <w:rFonts w:asciiTheme="majorHAnsi" w:hAnsiTheme="majorHAnsi"/>
          <w:lang w:val="lv-LV"/>
        </w:rPr>
        <w:t xml:space="preserve">4% uzskata, ka tam nav ietekmes; </w:t>
      </w:r>
    </w:p>
    <w:p w:rsidR="00C60846" w:rsidRPr="0019406C" w:rsidRDefault="00C600F8" w:rsidP="00444A73">
      <w:pPr>
        <w:pStyle w:val="BodyText"/>
        <w:numPr>
          <w:ilvl w:val="0"/>
          <w:numId w:val="40"/>
        </w:numPr>
        <w:spacing w:line="276" w:lineRule="auto"/>
        <w:rPr>
          <w:rFonts w:asciiTheme="majorHAnsi" w:hAnsiTheme="majorHAnsi"/>
          <w:lang w:val="lv-LV"/>
        </w:rPr>
      </w:pPr>
      <w:r w:rsidRPr="0019406C">
        <w:rPr>
          <w:rFonts w:asciiTheme="majorHAnsi" w:hAnsiTheme="majorHAnsi"/>
          <w:lang w:val="lv-LV"/>
        </w:rPr>
        <w:t xml:space="preserve">Lielākā daļa respondentu elektrības saskaņojuma kvalitāti vērtē pozitīvi: 1% vērtē kā ļoti labu, 24% - kā labu, </w:t>
      </w:r>
      <w:r w:rsidR="00C60846" w:rsidRPr="0019406C">
        <w:rPr>
          <w:rFonts w:asciiTheme="majorHAnsi" w:hAnsiTheme="majorHAnsi"/>
          <w:lang w:val="lv-LV"/>
        </w:rPr>
        <w:t>31% respondentu elektrības saskaņojuma kvalitāti vērtē kā diezgan labu</w:t>
      </w:r>
      <w:r w:rsidRPr="0019406C">
        <w:rPr>
          <w:rFonts w:asciiTheme="majorHAnsi" w:hAnsiTheme="majorHAnsi"/>
          <w:lang w:val="lv-LV"/>
        </w:rPr>
        <w:t>;</w:t>
      </w:r>
      <w:r w:rsidR="00C60846" w:rsidRPr="0019406C">
        <w:rPr>
          <w:rFonts w:asciiTheme="majorHAnsi" w:hAnsiTheme="majorHAnsi"/>
          <w:lang w:val="lv-LV"/>
        </w:rPr>
        <w:t xml:space="preserve"> </w:t>
      </w:r>
    </w:p>
    <w:p w:rsidR="0048052E" w:rsidRPr="0019406C" w:rsidRDefault="0048052E" w:rsidP="00444A73">
      <w:pPr>
        <w:pStyle w:val="BodyText"/>
        <w:numPr>
          <w:ilvl w:val="0"/>
          <w:numId w:val="40"/>
        </w:numPr>
        <w:spacing w:line="276" w:lineRule="auto"/>
        <w:rPr>
          <w:rFonts w:asciiTheme="majorHAnsi" w:hAnsiTheme="majorHAnsi"/>
          <w:lang w:val="lv-LV"/>
        </w:rPr>
      </w:pPr>
      <w:r w:rsidRPr="0019406C">
        <w:rPr>
          <w:rFonts w:asciiTheme="majorHAnsi" w:hAnsiTheme="majorHAnsi"/>
          <w:lang w:val="lv-LV"/>
        </w:rPr>
        <w:lastRenderedPageBreak/>
        <w:t>Ņemot vērā nelielo uzņēmumu skaitu, kas bija saskārušies ar elektroenerģijas pieslēguma ierīkošanu, daudzos jautājumos respondentu skaits bija nepietiekams, lai rezultātus varētu vispārināt.</w:t>
      </w:r>
    </w:p>
    <w:p w:rsidR="0048052E" w:rsidRPr="0019406C" w:rsidRDefault="003C5BA2" w:rsidP="00444A73">
      <w:pPr>
        <w:pStyle w:val="BodyText"/>
        <w:spacing w:line="276" w:lineRule="auto"/>
        <w:rPr>
          <w:rFonts w:asciiTheme="majorHAnsi" w:hAnsiTheme="majorHAnsi"/>
          <w:b/>
          <w:sz w:val="22"/>
          <w:lang w:val="lv-LV"/>
        </w:rPr>
      </w:pPr>
      <w:r w:rsidRPr="0019406C">
        <w:rPr>
          <w:rFonts w:asciiTheme="majorHAnsi" w:hAnsiTheme="majorHAnsi"/>
          <w:b/>
          <w:sz w:val="22"/>
          <w:lang w:val="lv-LV"/>
        </w:rPr>
        <w:t>Doing Business pētījums</w:t>
      </w:r>
    </w:p>
    <w:p w:rsidR="00534CB9" w:rsidRPr="0019406C" w:rsidRDefault="00B1457B" w:rsidP="00B1457B">
      <w:pPr>
        <w:pStyle w:val="BodyText"/>
        <w:spacing w:line="276" w:lineRule="auto"/>
        <w:jc w:val="both"/>
        <w:rPr>
          <w:rFonts w:asciiTheme="majorHAnsi" w:hAnsiTheme="majorHAnsi"/>
          <w:lang w:val="lv-LV"/>
        </w:rPr>
      </w:pPr>
      <w:r w:rsidRPr="0019406C">
        <w:rPr>
          <w:rFonts w:asciiTheme="majorHAnsi" w:hAnsiTheme="majorHAnsi"/>
          <w:lang w:val="lv-LV"/>
        </w:rPr>
        <w:t>Analizējot DB2014 pētījumu par laika un finansiālajiem resursiem, kas jāpatērē, lai iegūtu elektroenerģijas pieslēgumu, Latvija starp citām valstīm ierindojas 83. vietā, tādējādi, salīdzinot ar 2013. gadu, pakāpjoties par 6 vietām. Tomēr, neskatoties uz kāpumu vērtējumā, Latvija vēl aizvien ieņem pēdējo vietu starp Baltijas valstīm - 2014. gadā Lietuva atrodas 75. vietā, bet Igaunija</w:t>
      </w:r>
      <w:r w:rsidR="00036416" w:rsidRPr="0019406C">
        <w:rPr>
          <w:rFonts w:asciiTheme="majorHAnsi" w:hAnsiTheme="majorHAnsi"/>
          <w:lang w:val="lv-LV"/>
        </w:rPr>
        <w:t xml:space="preserve"> –</w:t>
      </w:r>
      <w:r w:rsidRPr="0019406C">
        <w:rPr>
          <w:rFonts w:asciiTheme="majorHAnsi" w:hAnsiTheme="majorHAnsi"/>
          <w:lang w:val="lv-LV"/>
        </w:rPr>
        <w:t xml:space="preserve"> 56. vietā. Pozitīvas tendences novērojamas Turcijā un Apvienotajos Arābu Emirātos, abās šajās valstīs tika samazinātas prasības uz pārbaudēm, kā arī samazināts laiks vai izmaksas e</w:t>
      </w:r>
      <w:r w:rsidR="00444A73">
        <w:rPr>
          <w:rFonts w:asciiTheme="majorHAnsi" w:hAnsiTheme="majorHAnsi"/>
          <w:lang w:val="lv-LV"/>
        </w:rPr>
        <w:t>lektrības pieslēguma iegūšanai.</w:t>
      </w:r>
    </w:p>
    <w:p w:rsidR="00B1457B" w:rsidRPr="0019406C" w:rsidRDefault="00B1457B" w:rsidP="00B1457B">
      <w:pPr>
        <w:pStyle w:val="Caption"/>
        <w:keepNext/>
        <w:rPr>
          <w:rFonts w:asciiTheme="majorHAnsi" w:hAnsiTheme="majorHAnsi"/>
          <w:sz w:val="16"/>
          <w:lang w:val="lv-LV"/>
        </w:rPr>
      </w:pPr>
      <w:bookmarkStart w:id="124" w:name="_Toc389225100"/>
      <w:r w:rsidRPr="0019406C">
        <w:rPr>
          <w:rFonts w:asciiTheme="majorHAnsi" w:hAnsiTheme="majorHAnsi"/>
          <w:sz w:val="16"/>
          <w:lang w:val="lv-LV"/>
        </w:rPr>
        <w:t xml:space="preserve">Tabula </w:t>
      </w:r>
      <w:r w:rsidRPr="0019406C">
        <w:rPr>
          <w:rFonts w:asciiTheme="majorHAnsi" w:hAnsiTheme="majorHAnsi"/>
          <w:sz w:val="16"/>
          <w:lang w:val="lv-LV"/>
        </w:rPr>
        <w:fldChar w:fldCharType="begin"/>
      </w:r>
      <w:r w:rsidRPr="0019406C">
        <w:rPr>
          <w:rFonts w:asciiTheme="majorHAnsi" w:hAnsiTheme="majorHAnsi"/>
          <w:sz w:val="16"/>
          <w:lang w:val="lv-LV"/>
        </w:rPr>
        <w:instrText xml:space="preserve"> SEQ Tabula \* ARABIC </w:instrText>
      </w:r>
      <w:r w:rsidRPr="0019406C">
        <w:rPr>
          <w:rFonts w:asciiTheme="majorHAnsi" w:hAnsiTheme="majorHAnsi"/>
          <w:sz w:val="16"/>
          <w:lang w:val="lv-LV"/>
        </w:rPr>
        <w:fldChar w:fldCharType="separate"/>
      </w:r>
      <w:r w:rsidR="00410806" w:rsidRPr="0019406C">
        <w:rPr>
          <w:rFonts w:asciiTheme="majorHAnsi" w:hAnsiTheme="majorHAnsi"/>
          <w:noProof/>
          <w:sz w:val="16"/>
          <w:lang w:val="lv-LV"/>
        </w:rPr>
        <w:t>26</w:t>
      </w:r>
      <w:r w:rsidRPr="0019406C">
        <w:rPr>
          <w:rFonts w:asciiTheme="majorHAnsi" w:hAnsiTheme="majorHAnsi"/>
          <w:noProof/>
          <w:sz w:val="16"/>
          <w:lang w:val="lv-LV"/>
        </w:rPr>
        <w:fldChar w:fldCharType="end"/>
      </w:r>
      <w:r w:rsidRPr="0019406C">
        <w:rPr>
          <w:rFonts w:asciiTheme="majorHAnsi" w:hAnsiTheme="majorHAnsi"/>
          <w:sz w:val="16"/>
          <w:lang w:val="lv-LV"/>
        </w:rPr>
        <w:t xml:space="preserve"> "</w:t>
      </w:r>
      <w:proofErr w:type="spellStart"/>
      <w:r w:rsidRPr="0019406C">
        <w:rPr>
          <w:rFonts w:asciiTheme="majorHAnsi" w:hAnsiTheme="majorHAnsi"/>
          <w:sz w:val="16"/>
          <w:lang w:val="lv-LV"/>
        </w:rPr>
        <w:t>Getting</w:t>
      </w:r>
      <w:proofErr w:type="spellEnd"/>
      <w:r w:rsidRPr="0019406C">
        <w:rPr>
          <w:rFonts w:asciiTheme="majorHAnsi" w:hAnsiTheme="majorHAnsi"/>
          <w:sz w:val="16"/>
          <w:lang w:val="lv-LV"/>
        </w:rPr>
        <w:t xml:space="preserve"> </w:t>
      </w:r>
      <w:proofErr w:type="spellStart"/>
      <w:r w:rsidRPr="0019406C">
        <w:rPr>
          <w:rFonts w:asciiTheme="majorHAnsi" w:hAnsiTheme="majorHAnsi"/>
          <w:sz w:val="16"/>
          <w:lang w:val="lv-LV"/>
        </w:rPr>
        <w:t>electricity</w:t>
      </w:r>
      <w:proofErr w:type="spellEnd"/>
      <w:r w:rsidRPr="0019406C">
        <w:rPr>
          <w:rFonts w:asciiTheme="majorHAnsi" w:hAnsiTheme="majorHAnsi"/>
          <w:sz w:val="16"/>
          <w:lang w:val="lv-LV"/>
        </w:rPr>
        <w:t>", elektrības pieslēguma iegūšanas indekss</w:t>
      </w:r>
      <w:bookmarkEnd w:id="124"/>
    </w:p>
    <w:tbl>
      <w:tblPr>
        <w:tblStyle w:val="LightList-Accent11"/>
        <w:tblW w:w="5000" w:type="pct"/>
        <w:tblLook w:val="00A0" w:firstRow="1" w:lastRow="0" w:firstColumn="1" w:lastColumn="0" w:noHBand="0" w:noVBand="0"/>
      </w:tblPr>
      <w:tblGrid>
        <w:gridCol w:w="1362"/>
        <w:gridCol w:w="1311"/>
        <w:gridCol w:w="1273"/>
        <w:gridCol w:w="1413"/>
        <w:gridCol w:w="4721"/>
      </w:tblGrid>
      <w:tr w:rsidR="00B1457B" w:rsidRPr="0019406C" w:rsidTr="00E061A2">
        <w:trPr>
          <w:cnfStyle w:val="100000000000" w:firstRow="1" w:lastRow="0" w:firstColumn="0" w:lastColumn="0" w:oddVBand="0" w:evenVBand="0" w:oddHBand="0" w:evenHBand="0" w:firstRowFirstColumn="0" w:firstRowLastColumn="0" w:lastRowFirstColumn="0" w:lastRowLastColumn="0"/>
          <w:trHeight w:val="190"/>
        </w:trPr>
        <w:tc>
          <w:tcPr>
            <w:cnfStyle w:val="001000000000" w:firstRow="0" w:lastRow="0" w:firstColumn="1" w:lastColumn="0" w:oddVBand="0" w:evenVBand="0" w:oddHBand="0" w:evenHBand="0" w:firstRowFirstColumn="0" w:firstRowLastColumn="0" w:lastRowFirstColumn="0" w:lastRowLastColumn="0"/>
            <w:tcW w:w="675" w:type="pct"/>
            <w:vAlign w:val="center"/>
          </w:tcPr>
          <w:p w:rsidR="00B1457B" w:rsidRPr="0019406C" w:rsidRDefault="00B1457B" w:rsidP="00E061A2">
            <w:pPr>
              <w:rPr>
                <w:rFonts w:asciiTheme="majorHAnsi" w:eastAsia="Cambria" w:hAnsiTheme="majorHAnsi" w:cs="Times New Roman"/>
                <w:lang w:val="lv-LV"/>
              </w:rPr>
            </w:pPr>
            <w:r w:rsidRPr="0019406C">
              <w:rPr>
                <w:rFonts w:asciiTheme="majorHAnsi" w:eastAsia="Cambria" w:hAnsiTheme="majorHAnsi" w:cs="Times New Roman"/>
                <w:lang w:val="lv-LV"/>
              </w:rPr>
              <w:t>Valsts</w:t>
            </w:r>
          </w:p>
        </w:tc>
        <w:tc>
          <w:tcPr>
            <w:cnfStyle w:val="000010000000" w:firstRow="0" w:lastRow="0" w:firstColumn="0" w:lastColumn="0" w:oddVBand="1" w:evenVBand="0" w:oddHBand="0" w:evenHBand="0" w:firstRowFirstColumn="0" w:firstRowLastColumn="0" w:lastRowFirstColumn="0" w:lastRowLastColumn="0"/>
            <w:tcW w:w="650" w:type="pct"/>
            <w:vAlign w:val="center"/>
          </w:tcPr>
          <w:p w:rsidR="00B1457B" w:rsidRPr="0019406C" w:rsidRDefault="00B1457B" w:rsidP="00E061A2">
            <w:pPr>
              <w:jc w:val="center"/>
              <w:rPr>
                <w:rFonts w:asciiTheme="majorHAnsi" w:eastAsia="Cambria" w:hAnsiTheme="majorHAnsi" w:cs="Times New Roman"/>
                <w:lang w:val="lv-LV"/>
              </w:rPr>
            </w:pPr>
            <w:r w:rsidRPr="0019406C">
              <w:rPr>
                <w:rFonts w:asciiTheme="majorHAnsi" w:eastAsia="Cambria" w:hAnsiTheme="majorHAnsi" w:cs="Times New Roman"/>
                <w:lang w:val="lv-LV"/>
              </w:rPr>
              <w:t>2013</w:t>
            </w:r>
          </w:p>
        </w:tc>
        <w:tc>
          <w:tcPr>
            <w:tcW w:w="631" w:type="pct"/>
            <w:vAlign w:val="center"/>
          </w:tcPr>
          <w:p w:rsidR="00B1457B" w:rsidRPr="0019406C" w:rsidRDefault="00B1457B" w:rsidP="00E061A2">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2014</w:t>
            </w:r>
          </w:p>
        </w:tc>
        <w:tc>
          <w:tcPr>
            <w:cnfStyle w:val="000010000000" w:firstRow="0" w:lastRow="0" w:firstColumn="0" w:lastColumn="0" w:oddVBand="1" w:evenVBand="0" w:oddHBand="0" w:evenHBand="0" w:firstRowFirstColumn="0" w:firstRowLastColumn="0" w:lastRowFirstColumn="0" w:lastRowLastColumn="0"/>
            <w:tcW w:w="701" w:type="pct"/>
            <w:vAlign w:val="center"/>
          </w:tcPr>
          <w:p w:rsidR="00B1457B" w:rsidRPr="0019406C" w:rsidRDefault="00B1457B" w:rsidP="00E061A2">
            <w:pPr>
              <w:jc w:val="center"/>
              <w:rPr>
                <w:rFonts w:asciiTheme="majorHAnsi" w:eastAsia="Cambria" w:hAnsiTheme="majorHAnsi" w:cs="Times New Roman"/>
                <w:lang w:val="lv-LV"/>
              </w:rPr>
            </w:pPr>
            <w:r w:rsidRPr="0019406C">
              <w:rPr>
                <w:rFonts w:asciiTheme="majorHAnsi" w:eastAsia="Cambria" w:hAnsiTheme="majorHAnsi" w:cs="Times New Roman"/>
                <w:lang w:val="lv-LV"/>
              </w:rPr>
              <w:t>Izmaiņas</w:t>
            </w:r>
          </w:p>
        </w:tc>
        <w:tc>
          <w:tcPr>
            <w:tcW w:w="2342" w:type="pct"/>
          </w:tcPr>
          <w:p w:rsidR="00B1457B" w:rsidRPr="0019406C" w:rsidRDefault="00B1457B" w:rsidP="00E061A2">
            <w:pP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Veiktās reformas</w:t>
            </w:r>
          </w:p>
        </w:tc>
      </w:tr>
      <w:tr w:rsidR="00B1457B" w:rsidRPr="00BB0049" w:rsidTr="00E061A2">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5" w:type="pct"/>
            <w:vAlign w:val="center"/>
          </w:tcPr>
          <w:p w:rsidR="00B1457B" w:rsidRPr="0019406C" w:rsidRDefault="00B1457B" w:rsidP="00E061A2">
            <w:pPr>
              <w:rPr>
                <w:rFonts w:asciiTheme="majorHAnsi" w:eastAsia="Cambria" w:hAnsiTheme="majorHAnsi" w:cs="Times New Roman"/>
                <w:b w:val="0"/>
                <w:lang w:val="lv-LV"/>
              </w:rPr>
            </w:pPr>
            <w:r w:rsidRPr="0019406C">
              <w:rPr>
                <w:rFonts w:asciiTheme="majorHAnsi" w:hAnsiTheme="majorHAnsi"/>
                <w:b w:val="0"/>
                <w:lang w:val="lv-LV"/>
              </w:rPr>
              <w:t>Apvienotie Arābu Emirāti</w:t>
            </w:r>
          </w:p>
        </w:tc>
        <w:tc>
          <w:tcPr>
            <w:cnfStyle w:val="000010000000" w:firstRow="0" w:lastRow="0" w:firstColumn="0" w:lastColumn="0" w:oddVBand="1" w:evenVBand="0" w:oddHBand="0" w:evenHBand="0" w:firstRowFirstColumn="0" w:firstRowLastColumn="0" w:lastRowFirstColumn="0" w:lastRowLastColumn="0"/>
            <w:tcW w:w="650" w:type="pct"/>
            <w:vAlign w:val="center"/>
          </w:tcPr>
          <w:p w:rsidR="00B1457B" w:rsidRPr="0019406C" w:rsidRDefault="00B1457B" w:rsidP="00E061A2">
            <w:pPr>
              <w:jc w:val="center"/>
              <w:rPr>
                <w:rFonts w:asciiTheme="majorHAnsi" w:eastAsia="Cambria" w:hAnsiTheme="majorHAnsi" w:cs="Times New Roman"/>
                <w:lang w:val="lv-LV"/>
              </w:rPr>
            </w:pPr>
            <w:r w:rsidRPr="0019406C">
              <w:rPr>
                <w:rFonts w:asciiTheme="majorHAnsi" w:eastAsia="Cambria" w:hAnsiTheme="majorHAnsi" w:cs="Times New Roman"/>
                <w:lang w:val="lv-LV"/>
              </w:rPr>
              <w:t>7</w:t>
            </w:r>
          </w:p>
        </w:tc>
        <w:tc>
          <w:tcPr>
            <w:tcW w:w="631" w:type="pct"/>
            <w:vAlign w:val="center"/>
          </w:tcPr>
          <w:p w:rsidR="00B1457B" w:rsidRPr="0019406C" w:rsidRDefault="00B1457B" w:rsidP="00E061A2">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4</w:t>
            </w:r>
          </w:p>
        </w:tc>
        <w:tc>
          <w:tcPr>
            <w:cnfStyle w:val="000010000000" w:firstRow="0" w:lastRow="0" w:firstColumn="0" w:lastColumn="0" w:oddVBand="1" w:evenVBand="0" w:oddHBand="0" w:evenHBand="0" w:firstRowFirstColumn="0" w:firstRowLastColumn="0" w:lastRowFirstColumn="0" w:lastRowLastColumn="0"/>
            <w:tcW w:w="701" w:type="pct"/>
            <w:vAlign w:val="center"/>
          </w:tcPr>
          <w:p w:rsidR="00B1457B" w:rsidRPr="0019406C" w:rsidRDefault="00B1457B" w:rsidP="00E061A2">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3</w:t>
            </w:r>
          </w:p>
        </w:tc>
        <w:tc>
          <w:tcPr>
            <w:tcW w:w="2342" w:type="pct"/>
          </w:tcPr>
          <w:p w:rsidR="00B1457B" w:rsidRPr="0019406C" w:rsidRDefault="00B1457B" w:rsidP="00E061A2">
            <w:pP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Atcēla prasību par pārbaudēm uz vietas un samazināja laiku, kas nepieciešams, lai veiktu jaunus savienojumus.</w:t>
            </w:r>
          </w:p>
        </w:tc>
      </w:tr>
      <w:tr w:rsidR="00B1457B" w:rsidRPr="0019406C" w:rsidTr="00E061A2">
        <w:trPr>
          <w:trHeight w:val="264"/>
        </w:trPr>
        <w:tc>
          <w:tcPr>
            <w:cnfStyle w:val="001000000000" w:firstRow="0" w:lastRow="0" w:firstColumn="1" w:lastColumn="0" w:oddVBand="0" w:evenVBand="0" w:oddHBand="0" w:evenHBand="0" w:firstRowFirstColumn="0" w:firstRowLastColumn="0" w:lastRowFirstColumn="0" w:lastRowLastColumn="0"/>
            <w:tcW w:w="675" w:type="pct"/>
            <w:vAlign w:val="center"/>
          </w:tcPr>
          <w:p w:rsidR="00B1457B" w:rsidRPr="0019406C" w:rsidRDefault="00B1457B" w:rsidP="00E061A2">
            <w:pPr>
              <w:rPr>
                <w:rFonts w:asciiTheme="majorHAnsi" w:hAnsiTheme="majorHAnsi"/>
                <w:b w:val="0"/>
                <w:lang w:val="lv-LV"/>
              </w:rPr>
            </w:pPr>
            <w:r w:rsidRPr="0019406C">
              <w:rPr>
                <w:rFonts w:asciiTheme="majorHAnsi" w:hAnsiTheme="majorHAnsi"/>
                <w:b w:val="0"/>
                <w:lang w:val="lv-LV"/>
              </w:rPr>
              <w:t>Zviedrija</w:t>
            </w:r>
          </w:p>
        </w:tc>
        <w:tc>
          <w:tcPr>
            <w:cnfStyle w:val="000010000000" w:firstRow="0" w:lastRow="0" w:firstColumn="0" w:lastColumn="0" w:oddVBand="1" w:evenVBand="0" w:oddHBand="0" w:evenHBand="0" w:firstRowFirstColumn="0" w:firstRowLastColumn="0" w:lastRowFirstColumn="0" w:lastRowLastColumn="0"/>
            <w:tcW w:w="650" w:type="pct"/>
            <w:vAlign w:val="center"/>
          </w:tcPr>
          <w:p w:rsidR="00B1457B" w:rsidRPr="0019406C" w:rsidRDefault="00B1457B" w:rsidP="00E061A2">
            <w:pPr>
              <w:jc w:val="center"/>
              <w:rPr>
                <w:rFonts w:asciiTheme="majorHAnsi" w:eastAsia="Cambria" w:hAnsiTheme="majorHAnsi" w:cs="Times New Roman"/>
                <w:lang w:val="lv-LV"/>
              </w:rPr>
            </w:pPr>
            <w:r w:rsidRPr="0019406C">
              <w:rPr>
                <w:rFonts w:asciiTheme="majorHAnsi" w:eastAsia="Cambria" w:hAnsiTheme="majorHAnsi" w:cs="Times New Roman"/>
                <w:lang w:val="lv-LV"/>
              </w:rPr>
              <w:t>9</w:t>
            </w:r>
          </w:p>
        </w:tc>
        <w:tc>
          <w:tcPr>
            <w:tcW w:w="631" w:type="pct"/>
            <w:vAlign w:val="center"/>
          </w:tcPr>
          <w:p w:rsidR="00B1457B" w:rsidRPr="0019406C" w:rsidRDefault="00B1457B" w:rsidP="00E061A2">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9</w:t>
            </w:r>
          </w:p>
        </w:tc>
        <w:tc>
          <w:tcPr>
            <w:cnfStyle w:val="000010000000" w:firstRow="0" w:lastRow="0" w:firstColumn="0" w:lastColumn="0" w:oddVBand="1" w:evenVBand="0" w:oddHBand="0" w:evenHBand="0" w:firstRowFirstColumn="0" w:firstRowLastColumn="0" w:lastRowFirstColumn="0" w:lastRowLastColumn="0"/>
            <w:tcW w:w="701" w:type="pct"/>
            <w:vAlign w:val="center"/>
          </w:tcPr>
          <w:p w:rsidR="00B1457B" w:rsidRPr="0019406C" w:rsidRDefault="00B1457B" w:rsidP="00E061A2">
            <w:pPr>
              <w:jc w:val="center"/>
              <w:rPr>
                <w:rFonts w:asciiTheme="majorHAnsi" w:eastAsia="Cambria" w:hAnsiTheme="majorHAnsi" w:cs="Times New Roman"/>
                <w:b/>
                <w:lang w:val="lv-LV"/>
              </w:rPr>
            </w:pPr>
            <w:r w:rsidRPr="0019406C">
              <w:rPr>
                <w:rFonts w:asciiTheme="majorHAnsi" w:eastAsia="Cambria" w:hAnsiTheme="majorHAnsi" w:cs="Times New Roman"/>
                <w:b/>
                <w:lang w:val="lv-LV"/>
              </w:rPr>
              <w:t>-</w:t>
            </w:r>
          </w:p>
        </w:tc>
        <w:tc>
          <w:tcPr>
            <w:tcW w:w="2342" w:type="pct"/>
          </w:tcPr>
          <w:p w:rsidR="00B1457B" w:rsidRPr="0019406C" w:rsidRDefault="00B1457B" w:rsidP="00E061A2">
            <w:pP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w:t>
            </w:r>
          </w:p>
        </w:tc>
      </w:tr>
      <w:tr w:rsidR="00B1457B" w:rsidRPr="0019406C" w:rsidTr="00E061A2">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5" w:type="pct"/>
            <w:vAlign w:val="center"/>
          </w:tcPr>
          <w:p w:rsidR="00B1457B" w:rsidRPr="0019406C" w:rsidRDefault="00B1457B" w:rsidP="00E061A2">
            <w:pPr>
              <w:rPr>
                <w:rFonts w:asciiTheme="majorHAnsi" w:hAnsiTheme="majorHAnsi"/>
                <w:b w:val="0"/>
                <w:lang w:val="lv-LV"/>
              </w:rPr>
            </w:pPr>
            <w:r w:rsidRPr="0019406C">
              <w:rPr>
                <w:rFonts w:asciiTheme="majorHAnsi" w:hAnsiTheme="majorHAnsi"/>
                <w:b w:val="0"/>
                <w:lang w:val="lv-LV"/>
              </w:rPr>
              <w:t>Dānija</w:t>
            </w:r>
          </w:p>
        </w:tc>
        <w:tc>
          <w:tcPr>
            <w:cnfStyle w:val="000010000000" w:firstRow="0" w:lastRow="0" w:firstColumn="0" w:lastColumn="0" w:oddVBand="1" w:evenVBand="0" w:oddHBand="0" w:evenHBand="0" w:firstRowFirstColumn="0" w:firstRowLastColumn="0" w:lastRowFirstColumn="0" w:lastRowLastColumn="0"/>
            <w:tcW w:w="650" w:type="pct"/>
            <w:vAlign w:val="center"/>
          </w:tcPr>
          <w:p w:rsidR="00B1457B" w:rsidRPr="0019406C" w:rsidRDefault="00B1457B" w:rsidP="00E061A2">
            <w:pPr>
              <w:jc w:val="center"/>
              <w:rPr>
                <w:rFonts w:asciiTheme="majorHAnsi" w:eastAsia="Cambria" w:hAnsiTheme="majorHAnsi" w:cs="Times New Roman"/>
                <w:lang w:val="lv-LV"/>
              </w:rPr>
            </w:pPr>
            <w:r w:rsidRPr="0019406C">
              <w:rPr>
                <w:rFonts w:asciiTheme="majorHAnsi" w:eastAsia="Cambria" w:hAnsiTheme="majorHAnsi" w:cs="Times New Roman"/>
                <w:lang w:val="lv-LV"/>
              </w:rPr>
              <w:t>18</w:t>
            </w:r>
          </w:p>
        </w:tc>
        <w:tc>
          <w:tcPr>
            <w:tcW w:w="631" w:type="pct"/>
            <w:vAlign w:val="center"/>
          </w:tcPr>
          <w:p w:rsidR="00B1457B" w:rsidRPr="0019406C" w:rsidRDefault="00B1457B" w:rsidP="00E061A2">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18</w:t>
            </w:r>
          </w:p>
        </w:tc>
        <w:tc>
          <w:tcPr>
            <w:cnfStyle w:val="000010000000" w:firstRow="0" w:lastRow="0" w:firstColumn="0" w:lastColumn="0" w:oddVBand="1" w:evenVBand="0" w:oddHBand="0" w:evenHBand="0" w:firstRowFirstColumn="0" w:firstRowLastColumn="0" w:lastRowFirstColumn="0" w:lastRowLastColumn="0"/>
            <w:tcW w:w="701" w:type="pct"/>
            <w:vAlign w:val="center"/>
          </w:tcPr>
          <w:p w:rsidR="00B1457B" w:rsidRPr="0019406C" w:rsidRDefault="00B1457B" w:rsidP="00E061A2">
            <w:pPr>
              <w:jc w:val="center"/>
              <w:rPr>
                <w:rFonts w:asciiTheme="majorHAnsi" w:eastAsia="Cambria" w:hAnsiTheme="majorHAnsi" w:cs="Times New Roman"/>
                <w:b/>
                <w:lang w:val="lv-LV"/>
              </w:rPr>
            </w:pPr>
            <w:r w:rsidRPr="0019406C">
              <w:rPr>
                <w:rFonts w:asciiTheme="majorHAnsi" w:eastAsia="Cambria" w:hAnsiTheme="majorHAnsi" w:cs="Times New Roman"/>
                <w:b/>
                <w:lang w:val="lv-LV"/>
              </w:rPr>
              <w:t>-</w:t>
            </w:r>
          </w:p>
        </w:tc>
        <w:tc>
          <w:tcPr>
            <w:tcW w:w="2342" w:type="pct"/>
          </w:tcPr>
          <w:p w:rsidR="00B1457B" w:rsidRPr="0019406C" w:rsidRDefault="00B1457B" w:rsidP="00E061A2">
            <w:pP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w:t>
            </w:r>
          </w:p>
        </w:tc>
      </w:tr>
      <w:tr w:rsidR="00B1457B" w:rsidRPr="0019406C" w:rsidTr="00E061A2">
        <w:trPr>
          <w:trHeight w:val="264"/>
        </w:trPr>
        <w:tc>
          <w:tcPr>
            <w:cnfStyle w:val="001000000000" w:firstRow="0" w:lastRow="0" w:firstColumn="1" w:lastColumn="0" w:oddVBand="0" w:evenVBand="0" w:oddHBand="0" w:evenHBand="0" w:firstRowFirstColumn="0" w:firstRowLastColumn="0" w:lastRowFirstColumn="0" w:lastRowLastColumn="0"/>
            <w:tcW w:w="675" w:type="pct"/>
            <w:vAlign w:val="center"/>
          </w:tcPr>
          <w:p w:rsidR="00B1457B" w:rsidRPr="0019406C" w:rsidRDefault="00B1457B" w:rsidP="00E061A2">
            <w:pPr>
              <w:rPr>
                <w:rFonts w:asciiTheme="majorHAnsi" w:hAnsiTheme="majorHAnsi"/>
                <w:b w:val="0"/>
                <w:lang w:val="lv-LV"/>
              </w:rPr>
            </w:pPr>
            <w:r w:rsidRPr="0019406C">
              <w:rPr>
                <w:rFonts w:asciiTheme="majorHAnsi" w:hAnsiTheme="majorHAnsi"/>
                <w:b w:val="0"/>
                <w:lang w:val="lv-LV"/>
              </w:rPr>
              <w:t>Somija</w:t>
            </w:r>
          </w:p>
        </w:tc>
        <w:tc>
          <w:tcPr>
            <w:cnfStyle w:val="000010000000" w:firstRow="0" w:lastRow="0" w:firstColumn="0" w:lastColumn="0" w:oddVBand="1" w:evenVBand="0" w:oddHBand="0" w:evenHBand="0" w:firstRowFirstColumn="0" w:firstRowLastColumn="0" w:lastRowFirstColumn="0" w:lastRowLastColumn="0"/>
            <w:tcW w:w="650" w:type="pct"/>
            <w:vAlign w:val="center"/>
          </w:tcPr>
          <w:p w:rsidR="00B1457B" w:rsidRPr="0019406C" w:rsidRDefault="00B1457B" w:rsidP="00E061A2">
            <w:pPr>
              <w:jc w:val="center"/>
              <w:rPr>
                <w:rFonts w:asciiTheme="majorHAnsi" w:eastAsia="Cambria" w:hAnsiTheme="majorHAnsi" w:cs="Times New Roman"/>
                <w:lang w:val="lv-LV"/>
              </w:rPr>
            </w:pPr>
            <w:r w:rsidRPr="0019406C">
              <w:rPr>
                <w:rFonts w:asciiTheme="majorHAnsi" w:eastAsia="Cambria" w:hAnsiTheme="majorHAnsi" w:cs="Times New Roman"/>
                <w:lang w:val="lv-LV"/>
              </w:rPr>
              <w:t>21</w:t>
            </w:r>
          </w:p>
        </w:tc>
        <w:tc>
          <w:tcPr>
            <w:tcW w:w="631" w:type="pct"/>
            <w:vAlign w:val="center"/>
          </w:tcPr>
          <w:p w:rsidR="00B1457B" w:rsidRPr="0019406C" w:rsidRDefault="00B1457B" w:rsidP="00E061A2">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22</w:t>
            </w:r>
          </w:p>
        </w:tc>
        <w:tc>
          <w:tcPr>
            <w:cnfStyle w:val="000010000000" w:firstRow="0" w:lastRow="0" w:firstColumn="0" w:lastColumn="0" w:oddVBand="1" w:evenVBand="0" w:oddHBand="0" w:evenHBand="0" w:firstRowFirstColumn="0" w:firstRowLastColumn="0" w:lastRowFirstColumn="0" w:lastRowLastColumn="0"/>
            <w:tcW w:w="701" w:type="pct"/>
            <w:vAlign w:val="center"/>
          </w:tcPr>
          <w:p w:rsidR="00B1457B" w:rsidRPr="0019406C" w:rsidRDefault="00B1457B" w:rsidP="00E061A2">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w:t>
            </w:r>
          </w:p>
        </w:tc>
        <w:tc>
          <w:tcPr>
            <w:tcW w:w="2342" w:type="pct"/>
          </w:tcPr>
          <w:p w:rsidR="00B1457B" w:rsidRPr="0019406C" w:rsidRDefault="00B1457B" w:rsidP="00E061A2">
            <w:pP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w:t>
            </w:r>
          </w:p>
        </w:tc>
      </w:tr>
      <w:tr w:rsidR="00B1457B" w:rsidRPr="00BB0049" w:rsidTr="00E061A2">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5" w:type="pct"/>
            <w:vAlign w:val="center"/>
          </w:tcPr>
          <w:p w:rsidR="00B1457B" w:rsidRPr="0019406C" w:rsidRDefault="00B1457B" w:rsidP="00E061A2">
            <w:pPr>
              <w:rPr>
                <w:rFonts w:asciiTheme="majorHAnsi" w:hAnsiTheme="majorHAnsi"/>
                <w:b w:val="0"/>
                <w:lang w:val="lv-LV"/>
              </w:rPr>
            </w:pPr>
            <w:r w:rsidRPr="0019406C">
              <w:rPr>
                <w:rFonts w:asciiTheme="majorHAnsi" w:hAnsiTheme="majorHAnsi"/>
                <w:b w:val="0"/>
                <w:lang w:val="lv-LV"/>
              </w:rPr>
              <w:t>Turcija</w:t>
            </w:r>
          </w:p>
        </w:tc>
        <w:tc>
          <w:tcPr>
            <w:cnfStyle w:val="000010000000" w:firstRow="0" w:lastRow="0" w:firstColumn="0" w:lastColumn="0" w:oddVBand="1" w:evenVBand="0" w:oddHBand="0" w:evenHBand="0" w:firstRowFirstColumn="0" w:firstRowLastColumn="0" w:lastRowFirstColumn="0" w:lastRowLastColumn="0"/>
            <w:tcW w:w="650" w:type="pct"/>
            <w:vAlign w:val="center"/>
          </w:tcPr>
          <w:p w:rsidR="00B1457B" w:rsidRPr="0019406C" w:rsidRDefault="00B1457B" w:rsidP="00E061A2">
            <w:pPr>
              <w:jc w:val="center"/>
              <w:rPr>
                <w:rFonts w:asciiTheme="majorHAnsi" w:eastAsia="Cambria" w:hAnsiTheme="majorHAnsi" w:cs="Times New Roman"/>
                <w:lang w:val="lv-LV"/>
              </w:rPr>
            </w:pPr>
            <w:r w:rsidRPr="0019406C">
              <w:rPr>
                <w:rFonts w:asciiTheme="majorHAnsi" w:eastAsia="Cambria" w:hAnsiTheme="majorHAnsi" w:cs="Times New Roman"/>
                <w:lang w:val="lv-LV"/>
              </w:rPr>
              <w:t>67</w:t>
            </w:r>
          </w:p>
        </w:tc>
        <w:tc>
          <w:tcPr>
            <w:tcW w:w="631" w:type="pct"/>
            <w:vAlign w:val="center"/>
          </w:tcPr>
          <w:p w:rsidR="00B1457B" w:rsidRPr="0019406C" w:rsidRDefault="00B1457B" w:rsidP="00E061A2">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49</w:t>
            </w:r>
          </w:p>
        </w:tc>
        <w:tc>
          <w:tcPr>
            <w:cnfStyle w:val="000010000000" w:firstRow="0" w:lastRow="0" w:firstColumn="0" w:lastColumn="0" w:oddVBand="1" w:evenVBand="0" w:oddHBand="0" w:evenHBand="0" w:firstRowFirstColumn="0" w:firstRowLastColumn="0" w:lastRowFirstColumn="0" w:lastRowLastColumn="0"/>
            <w:tcW w:w="701" w:type="pct"/>
            <w:vAlign w:val="center"/>
          </w:tcPr>
          <w:p w:rsidR="00B1457B" w:rsidRPr="0019406C" w:rsidRDefault="00B1457B" w:rsidP="00E061A2">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18</w:t>
            </w:r>
          </w:p>
        </w:tc>
        <w:tc>
          <w:tcPr>
            <w:tcW w:w="2342" w:type="pct"/>
          </w:tcPr>
          <w:p w:rsidR="00B1457B" w:rsidRPr="0019406C" w:rsidRDefault="00B1457B" w:rsidP="00E061A2">
            <w:pP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Atcēla prasību par ārēju ekspertu piesaisti un samazināja pieslēguma izmaksas.</w:t>
            </w:r>
          </w:p>
        </w:tc>
      </w:tr>
      <w:tr w:rsidR="00B1457B" w:rsidRPr="0019406C" w:rsidTr="00E061A2">
        <w:trPr>
          <w:trHeight w:val="274"/>
        </w:trPr>
        <w:tc>
          <w:tcPr>
            <w:cnfStyle w:val="001000000000" w:firstRow="0" w:lastRow="0" w:firstColumn="1" w:lastColumn="0" w:oddVBand="0" w:evenVBand="0" w:oddHBand="0" w:evenHBand="0" w:firstRowFirstColumn="0" w:firstRowLastColumn="0" w:lastRowFirstColumn="0" w:lastRowLastColumn="0"/>
            <w:tcW w:w="675" w:type="pct"/>
            <w:vAlign w:val="center"/>
          </w:tcPr>
          <w:p w:rsidR="00B1457B" w:rsidRPr="0019406C" w:rsidRDefault="00B1457B" w:rsidP="00E061A2">
            <w:pPr>
              <w:rPr>
                <w:rFonts w:asciiTheme="majorHAnsi" w:eastAsia="Cambria" w:hAnsiTheme="majorHAnsi" w:cs="Times New Roman"/>
                <w:b w:val="0"/>
                <w:lang w:val="lv-LV"/>
              </w:rPr>
            </w:pPr>
            <w:r w:rsidRPr="0019406C">
              <w:rPr>
                <w:rFonts w:asciiTheme="majorHAnsi" w:hAnsiTheme="majorHAnsi"/>
                <w:b w:val="0"/>
                <w:lang w:val="lv-LV"/>
              </w:rPr>
              <w:t>Igaunija</w:t>
            </w:r>
          </w:p>
        </w:tc>
        <w:tc>
          <w:tcPr>
            <w:cnfStyle w:val="000010000000" w:firstRow="0" w:lastRow="0" w:firstColumn="0" w:lastColumn="0" w:oddVBand="1" w:evenVBand="0" w:oddHBand="0" w:evenHBand="0" w:firstRowFirstColumn="0" w:firstRowLastColumn="0" w:lastRowFirstColumn="0" w:lastRowLastColumn="0"/>
            <w:tcW w:w="650" w:type="pct"/>
            <w:vAlign w:val="center"/>
          </w:tcPr>
          <w:p w:rsidR="00B1457B" w:rsidRPr="0019406C" w:rsidRDefault="00B1457B" w:rsidP="00E061A2">
            <w:pPr>
              <w:jc w:val="center"/>
              <w:rPr>
                <w:rFonts w:asciiTheme="majorHAnsi" w:eastAsia="Cambria" w:hAnsiTheme="majorHAnsi" w:cs="Times New Roman"/>
                <w:lang w:val="lv-LV"/>
              </w:rPr>
            </w:pPr>
            <w:r w:rsidRPr="0019406C">
              <w:rPr>
                <w:rFonts w:asciiTheme="majorHAnsi" w:eastAsia="Cambria" w:hAnsiTheme="majorHAnsi" w:cs="Times New Roman"/>
                <w:lang w:val="lv-LV"/>
              </w:rPr>
              <w:t>55</w:t>
            </w:r>
          </w:p>
        </w:tc>
        <w:tc>
          <w:tcPr>
            <w:tcW w:w="631" w:type="pct"/>
            <w:vAlign w:val="center"/>
          </w:tcPr>
          <w:p w:rsidR="00B1457B" w:rsidRPr="0019406C" w:rsidRDefault="00B1457B" w:rsidP="00E061A2">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56</w:t>
            </w:r>
          </w:p>
        </w:tc>
        <w:tc>
          <w:tcPr>
            <w:cnfStyle w:val="000010000000" w:firstRow="0" w:lastRow="0" w:firstColumn="0" w:lastColumn="0" w:oddVBand="1" w:evenVBand="0" w:oddHBand="0" w:evenHBand="0" w:firstRowFirstColumn="0" w:firstRowLastColumn="0" w:lastRowFirstColumn="0" w:lastRowLastColumn="0"/>
            <w:tcW w:w="701" w:type="pct"/>
            <w:vAlign w:val="center"/>
          </w:tcPr>
          <w:p w:rsidR="00B1457B" w:rsidRPr="0019406C" w:rsidRDefault="00B1457B" w:rsidP="00E061A2">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w:t>
            </w:r>
          </w:p>
        </w:tc>
        <w:tc>
          <w:tcPr>
            <w:tcW w:w="2342" w:type="pct"/>
          </w:tcPr>
          <w:p w:rsidR="00B1457B" w:rsidRPr="0019406C" w:rsidRDefault="00B1457B" w:rsidP="00E061A2">
            <w:pP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w:t>
            </w:r>
          </w:p>
        </w:tc>
      </w:tr>
      <w:tr w:rsidR="00B1457B" w:rsidRPr="0019406C" w:rsidTr="00E061A2">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5" w:type="pct"/>
            <w:vAlign w:val="center"/>
          </w:tcPr>
          <w:p w:rsidR="00B1457B" w:rsidRPr="0019406C" w:rsidRDefault="00B1457B" w:rsidP="00E061A2">
            <w:pPr>
              <w:rPr>
                <w:rFonts w:asciiTheme="majorHAnsi" w:hAnsiTheme="majorHAnsi"/>
                <w:b w:val="0"/>
                <w:lang w:val="lv-LV"/>
              </w:rPr>
            </w:pPr>
            <w:r w:rsidRPr="0019406C">
              <w:rPr>
                <w:rFonts w:asciiTheme="majorHAnsi" w:hAnsiTheme="majorHAnsi"/>
                <w:b w:val="0"/>
                <w:lang w:val="lv-LV"/>
              </w:rPr>
              <w:t>Lielbritānija</w:t>
            </w:r>
          </w:p>
        </w:tc>
        <w:tc>
          <w:tcPr>
            <w:cnfStyle w:val="000010000000" w:firstRow="0" w:lastRow="0" w:firstColumn="0" w:lastColumn="0" w:oddVBand="1" w:evenVBand="0" w:oddHBand="0" w:evenHBand="0" w:firstRowFirstColumn="0" w:firstRowLastColumn="0" w:lastRowFirstColumn="0" w:lastRowLastColumn="0"/>
            <w:tcW w:w="650" w:type="pct"/>
            <w:vAlign w:val="center"/>
          </w:tcPr>
          <w:p w:rsidR="00B1457B" w:rsidRPr="0019406C" w:rsidRDefault="00B1457B" w:rsidP="00E061A2">
            <w:pPr>
              <w:jc w:val="center"/>
              <w:rPr>
                <w:rFonts w:asciiTheme="majorHAnsi" w:eastAsia="Cambria" w:hAnsiTheme="majorHAnsi" w:cs="Times New Roman"/>
                <w:lang w:val="lv-LV"/>
              </w:rPr>
            </w:pPr>
            <w:r w:rsidRPr="0019406C">
              <w:rPr>
                <w:rFonts w:asciiTheme="majorHAnsi" w:eastAsia="Cambria" w:hAnsiTheme="majorHAnsi" w:cs="Times New Roman"/>
                <w:lang w:val="lv-LV"/>
              </w:rPr>
              <w:t>64</w:t>
            </w:r>
          </w:p>
        </w:tc>
        <w:tc>
          <w:tcPr>
            <w:tcW w:w="631" w:type="pct"/>
            <w:vAlign w:val="center"/>
          </w:tcPr>
          <w:p w:rsidR="00B1457B" w:rsidRPr="0019406C" w:rsidRDefault="00B1457B" w:rsidP="00E061A2">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74</w:t>
            </w:r>
          </w:p>
        </w:tc>
        <w:tc>
          <w:tcPr>
            <w:cnfStyle w:val="000010000000" w:firstRow="0" w:lastRow="0" w:firstColumn="0" w:lastColumn="0" w:oddVBand="1" w:evenVBand="0" w:oddHBand="0" w:evenHBand="0" w:firstRowFirstColumn="0" w:firstRowLastColumn="0" w:lastRowFirstColumn="0" w:lastRowLastColumn="0"/>
            <w:tcW w:w="701" w:type="pct"/>
            <w:vAlign w:val="center"/>
          </w:tcPr>
          <w:p w:rsidR="00B1457B" w:rsidRPr="0019406C" w:rsidRDefault="00B1457B" w:rsidP="00E061A2">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-10</w:t>
            </w:r>
          </w:p>
        </w:tc>
        <w:tc>
          <w:tcPr>
            <w:tcW w:w="2342" w:type="pct"/>
          </w:tcPr>
          <w:p w:rsidR="00B1457B" w:rsidRPr="0019406C" w:rsidRDefault="00B1457B" w:rsidP="00E061A2">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B1457B" w:rsidRPr="0019406C" w:rsidTr="00E061A2">
        <w:trPr>
          <w:trHeight w:val="270"/>
        </w:trPr>
        <w:tc>
          <w:tcPr>
            <w:cnfStyle w:val="001000000000" w:firstRow="0" w:lastRow="0" w:firstColumn="1" w:lastColumn="0" w:oddVBand="0" w:evenVBand="0" w:oddHBand="0" w:evenHBand="0" w:firstRowFirstColumn="0" w:firstRowLastColumn="0" w:lastRowFirstColumn="0" w:lastRowLastColumn="0"/>
            <w:tcW w:w="675" w:type="pct"/>
            <w:vAlign w:val="center"/>
          </w:tcPr>
          <w:p w:rsidR="00B1457B" w:rsidRPr="0019406C" w:rsidRDefault="00B1457B" w:rsidP="00E061A2">
            <w:pPr>
              <w:rPr>
                <w:rFonts w:asciiTheme="majorHAnsi" w:eastAsia="Cambria" w:hAnsiTheme="majorHAnsi" w:cs="Times New Roman"/>
                <w:b w:val="0"/>
                <w:lang w:val="lv-LV"/>
              </w:rPr>
            </w:pPr>
            <w:r w:rsidRPr="0019406C">
              <w:rPr>
                <w:rFonts w:asciiTheme="majorHAnsi" w:hAnsiTheme="majorHAnsi"/>
                <w:b w:val="0"/>
                <w:lang w:val="lv-LV"/>
              </w:rPr>
              <w:t xml:space="preserve">Lietuva </w:t>
            </w:r>
          </w:p>
        </w:tc>
        <w:tc>
          <w:tcPr>
            <w:cnfStyle w:val="000010000000" w:firstRow="0" w:lastRow="0" w:firstColumn="0" w:lastColumn="0" w:oddVBand="1" w:evenVBand="0" w:oddHBand="0" w:evenHBand="0" w:firstRowFirstColumn="0" w:firstRowLastColumn="0" w:lastRowFirstColumn="0" w:lastRowLastColumn="0"/>
            <w:tcW w:w="650" w:type="pct"/>
            <w:vAlign w:val="center"/>
          </w:tcPr>
          <w:p w:rsidR="00B1457B" w:rsidRPr="0019406C" w:rsidRDefault="00B1457B" w:rsidP="00E061A2">
            <w:pPr>
              <w:jc w:val="center"/>
              <w:rPr>
                <w:rFonts w:asciiTheme="majorHAnsi" w:eastAsia="Cambria" w:hAnsiTheme="majorHAnsi" w:cs="Times New Roman"/>
                <w:lang w:val="lv-LV"/>
              </w:rPr>
            </w:pPr>
            <w:r w:rsidRPr="0019406C">
              <w:rPr>
                <w:rFonts w:asciiTheme="majorHAnsi" w:eastAsia="Cambria" w:hAnsiTheme="majorHAnsi" w:cs="Times New Roman"/>
                <w:lang w:val="lv-LV"/>
              </w:rPr>
              <w:t>80</w:t>
            </w:r>
          </w:p>
        </w:tc>
        <w:tc>
          <w:tcPr>
            <w:tcW w:w="631" w:type="pct"/>
            <w:vAlign w:val="center"/>
          </w:tcPr>
          <w:p w:rsidR="00B1457B" w:rsidRPr="0019406C" w:rsidRDefault="00B1457B" w:rsidP="00E061A2">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75</w:t>
            </w:r>
          </w:p>
        </w:tc>
        <w:tc>
          <w:tcPr>
            <w:cnfStyle w:val="000010000000" w:firstRow="0" w:lastRow="0" w:firstColumn="0" w:lastColumn="0" w:oddVBand="1" w:evenVBand="0" w:oddHBand="0" w:evenHBand="0" w:firstRowFirstColumn="0" w:firstRowLastColumn="0" w:lastRowFirstColumn="0" w:lastRowLastColumn="0"/>
            <w:tcW w:w="701" w:type="pct"/>
            <w:vAlign w:val="center"/>
          </w:tcPr>
          <w:p w:rsidR="00B1457B" w:rsidRPr="0019406C" w:rsidRDefault="00B1457B" w:rsidP="00E061A2">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-15</w:t>
            </w:r>
          </w:p>
        </w:tc>
        <w:tc>
          <w:tcPr>
            <w:tcW w:w="2342" w:type="pct"/>
          </w:tcPr>
          <w:p w:rsidR="00B1457B" w:rsidRPr="0019406C" w:rsidRDefault="00B1457B" w:rsidP="00E061A2">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r w:rsidR="00B1457B" w:rsidRPr="0019406C" w:rsidTr="00E061A2">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675" w:type="pct"/>
            <w:shd w:val="clear" w:color="auto" w:fill="FFE199" w:themeFill="accent2" w:themeFillTint="66"/>
            <w:vAlign w:val="center"/>
          </w:tcPr>
          <w:p w:rsidR="00B1457B" w:rsidRPr="0019406C" w:rsidRDefault="00B1457B" w:rsidP="00E061A2">
            <w:pPr>
              <w:rPr>
                <w:rFonts w:asciiTheme="majorHAnsi" w:eastAsia="Cambria" w:hAnsiTheme="majorHAnsi" w:cs="Times New Roman"/>
                <w:b w:val="0"/>
                <w:lang w:val="lv-LV"/>
              </w:rPr>
            </w:pPr>
            <w:r w:rsidRPr="0019406C">
              <w:rPr>
                <w:rFonts w:asciiTheme="majorHAnsi" w:eastAsia="Cambria" w:hAnsiTheme="majorHAnsi" w:cs="Times New Roman"/>
                <w:b w:val="0"/>
                <w:lang w:val="lv-LV"/>
              </w:rPr>
              <w:t>Latvija</w:t>
            </w:r>
          </w:p>
        </w:tc>
        <w:tc>
          <w:tcPr>
            <w:cnfStyle w:val="000010000000" w:firstRow="0" w:lastRow="0" w:firstColumn="0" w:lastColumn="0" w:oddVBand="1" w:evenVBand="0" w:oddHBand="0" w:evenHBand="0" w:firstRowFirstColumn="0" w:firstRowLastColumn="0" w:lastRowFirstColumn="0" w:lastRowLastColumn="0"/>
            <w:tcW w:w="650" w:type="pct"/>
            <w:shd w:val="clear" w:color="auto" w:fill="FFE199" w:themeFill="accent2" w:themeFillTint="66"/>
            <w:vAlign w:val="center"/>
          </w:tcPr>
          <w:p w:rsidR="00B1457B" w:rsidRPr="0019406C" w:rsidRDefault="00B1457B" w:rsidP="00E061A2">
            <w:pPr>
              <w:jc w:val="center"/>
              <w:rPr>
                <w:rFonts w:asciiTheme="majorHAnsi" w:eastAsia="Cambria" w:hAnsiTheme="majorHAnsi" w:cs="Times New Roman"/>
                <w:lang w:val="lv-LV"/>
              </w:rPr>
            </w:pPr>
            <w:r w:rsidRPr="0019406C">
              <w:rPr>
                <w:rFonts w:asciiTheme="majorHAnsi" w:eastAsia="Cambria" w:hAnsiTheme="majorHAnsi" w:cs="Times New Roman"/>
                <w:lang w:val="lv-LV"/>
              </w:rPr>
              <w:t>89</w:t>
            </w:r>
          </w:p>
        </w:tc>
        <w:tc>
          <w:tcPr>
            <w:tcW w:w="631" w:type="pct"/>
            <w:shd w:val="clear" w:color="auto" w:fill="FFE199" w:themeFill="accent2" w:themeFillTint="66"/>
            <w:vAlign w:val="center"/>
          </w:tcPr>
          <w:p w:rsidR="00B1457B" w:rsidRPr="0019406C" w:rsidRDefault="00B1457B" w:rsidP="00E061A2">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83</w:t>
            </w:r>
          </w:p>
        </w:tc>
        <w:tc>
          <w:tcPr>
            <w:cnfStyle w:val="000010000000" w:firstRow="0" w:lastRow="0" w:firstColumn="0" w:lastColumn="0" w:oddVBand="1" w:evenVBand="0" w:oddHBand="0" w:evenHBand="0" w:firstRowFirstColumn="0" w:firstRowLastColumn="0" w:lastRowFirstColumn="0" w:lastRowLastColumn="0"/>
            <w:tcW w:w="701" w:type="pct"/>
            <w:shd w:val="clear" w:color="auto" w:fill="FFE199" w:themeFill="accent2" w:themeFillTint="66"/>
            <w:vAlign w:val="center"/>
          </w:tcPr>
          <w:p w:rsidR="00B1457B" w:rsidRPr="0019406C" w:rsidRDefault="00B1457B" w:rsidP="00E061A2">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6</w:t>
            </w:r>
          </w:p>
        </w:tc>
        <w:tc>
          <w:tcPr>
            <w:tcW w:w="2342" w:type="pct"/>
            <w:shd w:val="clear" w:color="auto" w:fill="FFE199" w:themeFill="accent2" w:themeFillTint="66"/>
          </w:tcPr>
          <w:p w:rsidR="00B1457B" w:rsidRPr="0019406C" w:rsidRDefault="00B1457B" w:rsidP="00E061A2">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w:t>
            </w:r>
          </w:p>
        </w:tc>
      </w:tr>
    </w:tbl>
    <w:p w:rsidR="00B1457B" w:rsidRPr="0019406C" w:rsidRDefault="00B1457B" w:rsidP="00B1457B">
      <w:pPr>
        <w:pStyle w:val="BodyText"/>
        <w:rPr>
          <w:rFonts w:asciiTheme="majorHAnsi" w:hAnsiTheme="majorHAnsi"/>
          <w:lang w:val="lv-LV"/>
        </w:rPr>
      </w:pPr>
    </w:p>
    <w:p w:rsidR="00B1457B" w:rsidRPr="0019406C" w:rsidRDefault="00B1457B" w:rsidP="00B1457B">
      <w:pPr>
        <w:pStyle w:val="BodyText"/>
        <w:spacing w:line="276" w:lineRule="auto"/>
        <w:jc w:val="both"/>
        <w:rPr>
          <w:rFonts w:asciiTheme="majorHAnsi" w:hAnsiTheme="majorHAnsi" w:cs="Arial"/>
          <w:bCs/>
          <w:i/>
          <w:lang w:val="lv-LV"/>
        </w:rPr>
      </w:pPr>
      <w:r w:rsidRPr="0019406C">
        <w:rPr>
          <w:rFonts w:asciiTheme="majorHAnsi" w:hAnsiTheme="majorHAnsi" w:cs="Arial"/>
          <w:bCs/>
          <w:lang w:val="lv-LV"/>
        </w:rPr>
        <w:t xml:space="preserve">Vadoties pēc DB2014 pētījumā sniegtās informācijas par citu valstu labo praksi, var secināt, ka, piemēram, Vācijā pieteikumu elektroenerģijas pieslēgumam jāiesniedz reģistrētam, sertificētam elektriķim, lai samazinātu laiku, kas tiek pavadīts, iesniedzot nepietiekamus vai kļūdainus dokumentus. Turklāt privāts elektriķis var veikt elektroinstalāciju, kā arī skaitītāja uzstādīšanu. Lielākoties elektriķis </w:t>
      </w:r>
      <w:r w:rsidRPr="0019406C">
        <w:rPr>
          <w:rFonts w:asciiTheme="majorHAnsi" w:hAnsiTheme="majorHAnsi" w:cs="Arial"/>
          <w:bCs/>
          <w:i/>
          <w:lang w:val="lv-LV"/>
        </w:rPr>
        <w:t>(‘</w:t>
      </w:r>
      <w:proofErr w:type="spellStart"/>
      <w:r w:rsidRPr="0019406C">
        <w:rPr>
          <w:rFonts w:asciiTheme="majorHAnsi" w:hAnsiTheme="majorHAnsi" w:cs="Arial"/>
          <w:bCs/>
          <w:i/>
          <w:lang w:val="lv-LV"/>
        </w:rPr>
        <w:t>Elektromeister</w:t>
      </w:r>
      <w:proofErr w:type="spellEnd"/>
      <w:r w:rsidRPr="0019406C">
        <w:rPr>
          <w:rFonts w:asciiTheme="majorHAnsi" w:hAnsiTheme="majorHAnsi" w:cs="Arial"/>
          <w:bCs/>
          <w:i/>
          <w:lang w:val="lv-LV"/>
        </w:rPr>
        <w:t>’)</w:t>
      </w:r>
      <w:r w:rsidRPr="0019406C">
        <w:rPr>
          <w:rFonts w:asciiTheme="majorHAnsi" w:hAnsiTheme="majorHAnsi" w:cs="Arial"/>
          <w:bCs/>
          <w:lang w:val="lv-LV"/>
        </w:rPr>
        <w:t xml:space="preserve">, kas ir atbildīgs par iekšējo elektroinstalāciju, uzstāda arī skaitītāju, paziņojot par to attiecīgajām iestādēm un apliecinot, ka iekšējā elektroinstalācija ir uzstādīta atbilstoši tehniskajiem un drošības standartiem. Sīkāk par elektroenerģijas pieslēguma procesu, kā arī elektriķu sertifikāciju un iedalījumu Vācijā ir iespējams uzzināt </w:t>
      </w:r>
      <w:proofErr w:type="spellStart"/>
      <w:r w:rsidRPr="0019406C">
        <w:rPr>
          <w:rFonts w:asciiTheme="majorHAnsi" w:hAnsiTheme="majorHAnsi" w:cs="Arial"/>
          <w:bCs/>
          <w:lang w:val="lv-LV"/>
        </w:rPr>
        <w:t>Vattenfall</w:t>
      </w:r>
      <w:proofErr w:type="spellEnd"/>
      <w:r w:rsidRPr="0019406C">
        <w:rPr>
          <w:rFonts w:asciiTheme="majorHAnsi" w:hAnsiTheme="majorHAnsi" w:cs="Arial"/>
          <w:bCs/>
          <w:lang w:val="lv-LV"/>
        </w:rPr>
        <w:t xml:space="preserve"> </w:t>
      </w:r>
      <w:proofErr w:type="spellStart"/>
      <w:r w:rsidRPr="0019406C">
        <w:rPr>
          <w:rFonts w:asciiTheme="majorHAnsi" w:hAnsiTheme="majorHAnsi" w:cs="Arial"/>
          <w:bCs/>
          <w:lang w:val="lv-LV"/>
        </w:rPr>
        <w:t>Europe</w:t>
      </w:r>
      <w:proofErr w:type="spellEnd"/>
      <w:r w:rsidRPr="0019406C">
        <w:rPr>
          <w:rFonts w:asciiTheme="majorHAnsi" w:hAnsiTheme="majorHAnsi" w:cs="Arial"/>
          <w:bCs/>
          <w:lang w:val="lv-LV"/>
        </w:rPr>
        <w:t xml:space="preserve"> </w:t>
      </w:r>
      <w:proofErr w:type="spellStart"/>
      <w:r w:rsidRPr="0019406C">
        <w:rPr>
          <w:rFonts w:asciiTheme="majorHAnsi" w:hAnsiTheme="majorHAnsi" w:cs="Arial"/>
          <w:bCs/>
          <w:lang w:val="lv-LV"/>
        </w:rPr>
        <w:t>Distribution</w:t>
      </w:r>
      <w:proofErr w:type="spellEnd"/>
      <w:r w:rsidRPr="0019406C">
        <w:rPr>
          <w:rFonts w:asciiTheme="majorHAnsi" w:hAnsiTheme="majorHAnsi" w:cs="Arial"/>
          <w:bCs/>
          <w:lang w:val="lv-LV"/>
        </w:rPr>
        <w:t xml:space="preserve"> </w:t>
      </w:r>
      <w:proofErr w:type="spellStart"/>
      <w:r w:rsidRPr="0019406C">
        <w:rPr>
          <w:rFonts w:asciiTheme="majorHAnsi" w:hAnsiTheme="majorHAnsi" w:cs="Arial"/>
          <w:bCs/>
          <w:lang w:val="lv-LV"/>
        </w:rPr>
        <w:t>Berlin</w:t>
      </w:r>
      <w:proofErr w:type="spellEnd"/>
      <w:r w:rsidRPr="0019406C">
        <w:rPr>
          <w:rFonts w:asciiTheme="majorHAnsi" w:hAnsiTheme="majorHAnsi" w:cs="Arial"/>
          <w:bCs/>
          <w:lang w:val="lv-LV"/>
        </w:rPr>
        <w:t xml:space="preserve"> </w:t>
      </w:r>
      <w:proofErr w:type="spellStart"/>
      <w:r w:rsidRPr="0019406C">
        <w:rPr>
          <w:rFonts w:asciiTheme="majorHAnsi" w:hAnsiTheme="majorHAnsi" w:cs="Arial"/>
          <w:bCs/>
          <w:lang w:val="lv-LV"/>
        </w:rPr>
        <w:t>GmbH</w:t>
      </w:r>
      <w:proofErr w:type="spellEnd"/>
      <w:r w:rsidRPr="0019406C">
        <w:rPr>
          <w:rFonts w:asciiTheme="majorHAnsi" w:hAnsiTheme="majorHAnsi" w:cs="Arial"/>
          <w:bCs/>
          <w:lang w:val="lv-LV"/>
        </w:rPr>
        <w:t>.</w:t>
      </w:r>
    </w:p>
    <w:p w:rsidR="00B1457B" w:rsidRDefault="00B1457B" w:rsidP="00B1457B">
      <w:pPr>
        <w:pStyle w:val="BodyText"/>
        <w:spacing w:line="276" w:lineRule="auto"/>
        <w:jc w:val="both"/>
        <w:rPr>
          <w:rFonts w:asciiTheme="majorHAnsi" w:hAnsiTheme="majorHAnsi"/>
          <w:lang w:val="lv-LV"/>
        </w:rPr>
      </w:pPr>
      <w:r w:rsidRPr="0019406C">
        <w:rPr>
          <w:rFonts w:asciiTheme="majorHAnsi" w:hAnsiTheme="majorHAnsi"/>
          <w:lang w:val="lv-LV"/>
        </w:rPr>
        <w:t>Turpretim Islandē (1. vieta kopvērtējumā) pēc DB informācijas, kur šim procesam vajadzīgas vien 22 dienas, iespējams iesniegt pieteikumu tiešsaistē, turklāt atsevišķa projekta izstrāde un saskaņošana, kā arī pretendenta atlase nav nepieciešama. Pēc DB2014 datiem klientam ir jāiesniedz jaunbūves plānojums, kā arī elektriskā drošinātāja atrašanās vieta. Šiem dokumentiem nav vajadzīgs notāra apstiprinājums, tomēr pirms lēmuma pieņemšanas tiek veikta ārējā inspekcija, lai apliecinātu, ka dokumenti atbilst reālajai situācijai.</w:t>
      </w:r>
    </w:p>
    <w:p w:rsidR="00444A73" w:rsidRPr="0019406C" w:rsidRDefault="00444A73" w:rsidP="00444A73">
      <w:pPr>
        <w:rPr>
          <w:rFonts w:asciiTheme="majorHAnsi" w:hAnsiTheme="majorHAnsi"/>
          <w:lang w:val="lv-LV"/>
        </w:rPr>
      </w:pPr>
      <w:r>
        <w:rPr>
          <w:rFonts w:asciiTheme="majorHAnsi" w:hAnsiTheme="majorHAnsi"/>
          <w:lang w:val="lv-LV"/>
        </w:rPr>
        <w:br w:type="page"/>
      </w:r>
    </w:p>
    <w:p w:rsidR="00B1457B" w:rsidRPr="0019406C" w:rsidRDefault="00B1457B" w:rsidP="00B1457B">
      <w:pPr>
        <w:pStyle w:val="Caption"/>
        <w:keepNext/>
        <w:rPr>
          <w:rFonts w:asciiTheme="majorHAnsi" w:hAnsiTheme="majorHAnsi"/>
          <w:sz w:val="16"/>
          <w:lang w:val="lv-LV"/>
        </w:rPr>
      </w:pPr>
      <w:bookmarkStart w:id="125" w:name="_Toc389225101"/>
      <w:r w:rsidRPr="0019406C">
        <w:rPr>
          <w:rFonts w:asciiTheme="majorHAnsi" w:hAnsiTheme="majorHAnsi"/>
          <w:sz w:val="16"/>
          <w:lang w:val="lv-LV"/>
        </w:rPr>
        <w:lastRenderedPageBreak/>
        <w:t xml:space="preserve">Tabula </w:t>
      </w:r>
      <w:r w:rsidRPr="0019406C">
        <w:rPr>
          <w:rFonts w:asciiTheme="majorHAnsi" w:hAnsiTheme="majorHAnsi"/>
          <w:sz w:val="16"/>
          <w:lang w:val="lv-LV"/>
        </w:rPr>
        <w:fldChar w:fldCharType="begin"/>
      </w:r>
      <w:r w:rsidRPr="0019406C">
        <w:rPr>
          <w:rFonts w:asciiTheme="majorHAnsi" w:hAnsiTheme="majorHAnsi"/>
          <w:sz w:val="16"/>
          <w:lang w:val="lv-LV"/>
        </w:rPr>
        <w:instrText xml:space="preserve"> SEQ Tabula \* ARABIC </w:instrText>
      </w:r>
      <w:r w:rsidRPr="0019406C">
        <w:rPr>
          <w:rFonts w:asciiTheme="majorHAnsi" w:hAnsiTheme="majorHAnsi"/>
          <w:sz w:val="16"/>
          <w:lang w:val="lv-LV"/>
        </w:rPr>
        <w:fldChar w:fldCharType="separate"/>
      </w:r>
      <w:r w:rsidR="00410806" w:rsidRPr="0019406C">
        <w:rPr>
          <w:rFonts w:asciiTheme="majorHAnsi" w:hAnsiTheme="majorHAnsi"/>
          <w:noProof/>
          <w:sz w:val="16"/>
          <w:lang w:val="lv-LV"/>
        </w:rPr>
        <w:t>27</w:t>
      </w:r>
      <w:r w:rsidRPr="0019406C">
        <w:rPr>
          <w:rFonts w:asciiTheme="majorHAnsi" w:hAnsiTheme="majorHAnsi"/>
          <w:sz w:val="16"/>
          <w:lang w:val="lv-LV"/>
        </w:rPr>
        <w:fldChar w:fldCharType="end"/>
      </w:r>
      <w:r w:rsidRPr="0019406C">
        <w:rPr>
          <w:rFonts w:asciiTheme="majorHAnsi" w:hAnsiTheme="majorHAnsi"/>
          <w:sz w:val="16"/>
          <w:lang w:val="lv-LV"/>
        </w:rPr>
        <w:t xml:space="preserve"> Elektrības pieslēguma efektivitātes salīdzinājums</w:t>
      </w:r>
      <w:bookmarkEnd w:id="125"/>
    </w:p>
    <w:tbl>
      <w:tblPr>
        <w:tblStyle w:val="LightList-Accent11"/>
        <w:tblW w:w="5000" w:type="pct"/>
        <w:tblBorders>
          <w:insideH w:val="single" w:sz="8" w:space="0" w:color="DC6900" w:themeColor="accent1"/>
          <w:insideV w:val="single" w:sz="8" w:space="0" w:color="DC6900" w:themeColor="accent1"/>
        </w:tblBorders>
        <w:tblLook w:val="04A0" w:firstRow="1" w:lastRow="0" w:firstColumn="1" w:lastColumn="0" w:noHBand="0" w:noVBand="1"/>
      </w:tblPr>
      <w:tblGrid>
        <w:gridCol w:w="1474"/>
        <w:gridCol w:w="1369"/>
        <w:gridCol w:w="1411"/>
        <w:gridCol w:w="1060"/>
        <w:gridCol w:w="1264"/>
        <w:gridCol w:w="1121"/>
        <w:gridCol w:w="1163"/>
        <w:gridCol w:w="1218"/>
      </w:tblGrid>
      <w:tr w:rsidR="00B1457B" w:rsidRPr="0019406C" w:rsidTr="00E061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1" w:type="pct"/>
          </w:tcPr>
          <w:p w:rsidR="00B1457B" w:rsidRPr="0019406C" w:rsidRDefault="00B1457B" w:rsidP="00E061A2">
            <w:pPr>
              <w:rPr>
                <w:rFonts w:asciiTheme="majorHAnsi" w:eastAsia="Cambria" w:hAnsiTheme="majorHAnsi" w:cs="Times New Roman"/>
                <w:lang w:val="lv-LV"/>
              </w:rPr>
            </w:pPr>
            <w:r w:rsidRPr="0019406C">
              <w:rPr>
                <w:rFonts w:asciiTheme="majorHAnsi" w:eastAsia="Cambria" w:hAnsiTheme="majorHAnsi" w:cs="Times New Roman"/>
                <w:lang w:val="lv-LV"/>
              </w:rPr>
              <w:t>Rādītājs</w:t>
            </w:r>
          </w:p>
        </w:tc>
        <w:tc>
          <w:tcPr>
            <w:tcW w:w="679" w:type="pct"/>
            <w:vAlign w:val="center"/>
          </w:tcPr>
          <w:p w:rsidR="00B1457B" w:rsidRPr="0019406C" w:rsidRDefault="00B1457B" w:rsidP="00E061A2">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Latvija DB2013</w:t>
            </w:r>
          </w:p>
        </w:tc>
        <w:tc>
          <w:tcPr>
            <w:tcW w:w="700" w:type="pct"/>
            <w:vAlign w:val="center"/>
          </w:tcPr>
          <w:p w:rsidR="00B1457B" w:rsidRPr="0019406C" w:rsidRDefault="00B1457B" w:rsidP="00E061A2">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Latvija DB2014</w:t>
            </w:r>
          </w:p>
        </w:tc>
        <w:tc>
          <w:tcPr>
            <w:tcW w:w="526" w:type="pct"/>
            <w:vAlign w:val="center"/>
          </w:tcPr>
          <w:p w:rsidR="00B1457B" w:rsidRPr="0019406C" w:rsidRDefault="00B1457B" w:rsidP="00E061A2">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Dānija</w:t>
            </w:r>
          </w:p>
        </w:tc>
        <w:tc>
          <w:tcPr>
            <w:tcW w:w="627" w:type="pct"/>
            <w:vAlign w:val="center"/>
          </w:tcPr>
          <w:p w:rsidR="00B1457B" w:rsidRPr="0019406C" w:rsidRDefault="00B1457B" w:rsidP="00E061A2">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Igaunija</w:t>
            </w:r>
          </w:p>
        </w:tc>
        <w:tc>
          <w:tcPr>
            <w:tcW w:w="556" w:type="pct"/>
            <w:vAlign w:val="center"/>
          </w:tcPr>
          <w:p w:rsidR="00B1457B" w:rsidRPr="0019406C" w:rsidRDefault="00B1457B" w:rsidP="00E061A2">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Somija</w:t>
            </w:r>
          </w:p>
        </w:tc>
        <w:tc>
          <w:tcPr>
            <w:tcW w:w="577" w:type="pct"/>
            <w:vAlign w:val="center"/>
          </w:tcPr>
          <w:p w:rsidR="00B1457B" w:rsidRPr="0019406C" w:rsidRDefault="00B1457B" w:rsidP="00E061A2">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Lietuva</w:t>
            </w:r>
          </w:p>
        </w:tc>
        <w:tc>
          <w:tcPr>
            <w:tcW w:w="605" w:type="pct"/>
            <w:vAlign w:val="center"/>
          </w:tcPr>
          <w:p w:rsidR="00B1457B" w:rsidRPr="0019406C" w:rsidRDefault="00B1457B" w:rsidP="00E061A2">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OECD</w:t>
            </w:r>
          </w:p>
        </w:tc>
      </w:tr>
      <w:tr w:rsidR="00B1457B" w:rsidRPr="0019406C" w:rsidTr="00E061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1" w:type="pct"/>
          </w:tcPr>
          <w:p w:rsidR="00B1457B" w:rsidRPr="0019406C" w:rsidRDefault="00B1457B" w:rsidP="00E061A2">
            <w:pPr>
              <w:pStyle w:val="BodyText"/>
              <w:rPr>
                <w:rFonts w:asciiTheme="majorHAnsi" w:hAnsiTheme="majorHAnsi"/>
                <w:b w:val="0"/>
                <w:lang w:val="lv-LV"/>
              </w:rPr>
            </w:pPr>
            <w:r w:rsidRPr="0019406C">
              <w:rPr>
                <w:rFonts w:asciiTheme="majorHAnsi" w:hAnsiTheme="majorHAnsi"/>
                <w:b w:val="0"/>
                <w:lang w:val="lv-LV"/>
              </w:rPr>
              <w:t>Procedūru skaits</w:t>
            </w:r>
          </w:p>
        </w:tc>
        <w:tc>
          <w:tcPr>
            <w:tcW w:w="679" w:type="pct"/>
            <w:vAlign w:val="center"/>
          </w:tcPr>
          <w:p w:rsidR="00B1457B" w:rsidRPr="0019406C" w:rsidRDefault="00B1457B" w:rsidP="00E061A2">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5</w:t>
            </w:r>
          </w:p>
        </w:tc>
        <w:tc>
          <w:tcPr>
            <w:tcW w:w="700" w:type="pct"/>
            <w:vAlign w:val="center"/>
          </w:tcPr>
          <w:p w:rsidR="00B1457B" w:rsidRPr="0019406C" w:rsidRDefault="00B1457B" w:rsidP="00E061A2">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5</w:t>
            </w:r>
          </w:p>
        </w:tc>
        <w:tc>
          <w:tcPr>
            <w:tcW w:w="526" w:type="pct"/>
            <w:vAlign w:val="center"/>
          </w:tcPr>
          <w:p w:rsidR="00B1457B" w:rsidRPr="0019406C" w:rsidRDefault="00B1457B" w:rsidP="00E061A2">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4</w:t>
            </w:r>
          </w:p>
        </w:tc>
        <w:tc>
          <w:tcPr>
            <w:tcW w:w="627" w:type="pct"/>
            <w:vAlign w:val="center"/>
          </w:tcPr>
          <w:p w:rsidR="00B1457B" w:rsidRPr="0019406C" w:rsidRDefault="00B1457B" w:rsidP="00E061A2">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4</w:t>
            </w:r>
          </w:p>
        </w:tc>
        <w:tc>
          <w:tcPr>
            <w:tcW w:w="556" w:type="pct"/>
            <w:vAlign w:val="center"/>
          </w:tcPr>
          <w:p w:rsidR="00B1457B" w:rsidRPr="0019406C" w:rsidRDefault="00B1457B" w:rsidP="00E061A2">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5</w:t>
            </w:r>
          </w:p>
        </w:tc>
        <w:tc>
          <w:tcPr>
            <w:tcW w:w="577" w:type="pct"/>
            <w:vAlign w:val="center"/>
          </w:tcPr>
          <w:p w:rsidR="00B1457B" w:rsidRPr="0019406C" w:rsidRDefault="00B1457B" w:rsidP="00E061A2">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5</w:t>
            </w:r>
          </w:p>
        </w:tc>
        <w:tc>
          <w:tcPr>
            <w:tcW w:w="605" w:type="pct"/>
            <w:vAlign w:val="center"/>
          </w:tcPr>
          <w:p w:rsidR="00B1457B" w:rsidRPr="0019406C" w:rsidRDefault="00B1457B" w:rsidP="00E061A2">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5</w:t>
            </w:r>
          </w:p>
        </w:tc>
      </w:tr>
      <w:tr w:rsidR="00B1457B" w:rsidRPr="0019406C" w:rsidTr="00E061A2">
        <w:tc>
          <w:tcPr>
            <w:cnfStyle w:val="001000000000" w:firstRow="0" w:lastRow="0" w:firstColumn="1" w:lastColumn="0" w:oddVBand="0" w:evenVBand="0" w:oddHBand="0" w:evenHBand="0" w:firstRowFirstColumn="0" w:firstRowLastColumn="0" w:lastRowFirstColumn="0" w:lastRowLastColumn="0"/>
            <w:tcW w:w="731" w:type="pct"/>
          </w:tcPr>
          <w:p w:rsidR="00B1457B" w:rsidRPr="0019406C" w:rsidRDefault="00B1457B" w:rsidP="00E061A2">
            <w:pPr>
              <w:pStyle w:val="BodyText"/>
              <w:rPr>
                <w:rFonts w:asciiTheme="majorHAnsi" w:hAnsiTheme="majorHAnsi"/>
                <w:b w:val="0"/>
                <w:lang w:val="lv-LV"/>
              </w:rPr>
            </w:pPr>
            <w:r w:rsidRPr="0019406C">
              <w:rPr>
                <w:rFonts w:asciiTheme="majorHAnsi" w:hAnsiTheme="majorHAnsi"/>
                <w:b w:val="0"/>
                <w:lang w:val="lv-LV"/>
              </w:rPr>
              <w:t>Procesam veltītais laiks dienās</w:t>
            </w:r>
          </w:p>
        </w:tc>
        <w:tc>
          <w:tcPr>
            <w:tcW w:w="679" w:type="pct"/>
            <w:vAlign w:val="center"/>
          </w:tcPr>
          <w:p w:rsidR="00B1457B" w:rsidRPr="0019406C" w:rsidRDefault="00B1457B" w:rsidP="00E061A2">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108</w:t>
            </w:r>
          </w:p>
        </w:tc>
        <w:tc>
          <w:tcPr>
            <w:tcW w:w="700" w:type="pct"/>
            <w:vAlign w:val="center"/>
          </w:tcPr>
          <w:p w:rsidR="00B1457B" w:rsidRPr="0019406C" w:rsidRDefault="00B1457B" w:rsidP="00E061A2">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108</w:t>
            </w:r>
          </w:p>
        </w:tc>
        <w:tc>
          <w:tcPr>
            <w:tcW w:w="526" w:type="pct"/>
            <w:vAlign w:val="center"/>
          </w:tcPr>
          <w:p w:rsidR="00B1457B" w:rsidRPr="0019406C" w:rsidRDefault="00B1457B" w:rsidP="00E061A2">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38</w:t>
            </w:r>
          </w:p>
        </w:tc>
        <w:tc>
          <w:tcPr>
            <w:tcW w:w="627" w:type="pct"/>
            <w:vAlign w:val="center"/>
          </w:tcPr>
          <w:p w:rsidR="00B1457B" w:rsidRPr="0019406C" w:rsidRDefault="00B1457B" w:rsidP="00E061A2">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111</w:t>
            </w:r>
          </w:p>
        </w:tc>
        <w:tc>
          <w:tcPr>
            <w:tcW w:w="556" w:type="pct"/>
            <w:vAlign w:val="center"/>
          </w:tcPr>
          <w:p w:rsidR="00B1457B" w:rsidRPr="0019406C" w:rsidRDefault="00B1457B" w:rsidP="00E061A2">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42</w:t>
            </w:r>
          </w:p>
        </w:tc>
        <w:tc>
          <w:tcPr>
            <w:tcW w:w="577" w:type="pct"/>
            <w:vAlign w:val="center"/>
          </w:tcPr>
          <w:p w:rsidR="00B1457B" w:rsidRPr="0019406C" w:rsidRDefault="00B1457B" w:rsidP="00E061A2">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148</w:t>
            </w:r>
          </w:p>
        </w:tc>
        <w:tc>
          <w:tcPr>
            <w:tcW w:w="605" w:type="pct"/>
            <w:vAlign w:val="center"/>
          </w:tcPr>
          <w:p w:rsidR="00B1457B" w:rsidRPr="0019406C" w:rsidRDefault="00B1457B" w:rsidP="00E061A2">
            <w:pPr>
              <w:pStyle w:val="BodyText"/>
              <w:jc w:val="center"/>
              <w:cnfStyle w:val="000000000000" w:firstRow="0" w:lastRow="0" w:firstColumn="0" w:lastColumn="0" w:oddVBand="0" w:evenVBand="0" w:oddHBand="0" w:evenHBand="0" w:firstRowFirstColumn="0" w:firstRowLastColumn="0" w:lastRowFirstColumn="0" w:lastRowLastColumn="0"/>
              <w:rPr>
                <w:rFonts w:asciiTheme="majorHAnsi" w:hAnsiTheme="majorHAnsi"/>
                <w:lang w:val="lv-LV"/>
              </w:rPr>
            </w:pPr>
            <w:r w:rsidRPr="0019406C">
              <w:rPr>
                <w:rFonts w:asciiTheme="majorHAnsi" w:hAnsiTheme="majorHAnsi"/>
                <w:lang w:val="lv-LV"/>
              </w:rPr>
              <w:t>89</w:t>
            </w:r>
          </w:p>
        </w:tc>
      </w:tr>
      <w:tr w:rsidR="00B1457B" w:rsidRPr="0019406C" w:rsidTr="00E061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1" w:type="pct"/>
          </w:tcPr>
          <w:p w:rsidR="00B1457B" w:rsidRPr="0019406C" w:rsidRDefault="00B1457B" w:rsidP="00E061A2">
            <w:pPr>
              <w:pStyle w:val="BodyText"/>
              <w:rPr>
                <w:rFonts w:asciiTheme="majorHAnsi" w:hAnsiTheme="majorHAnsi"/>
                <w:b w:val="0"/>
                <w:lang w:val="lv-LV"/>
              </w:rPr>
            </w:pPr>
            <w:r w:rsidRPr="0019406C">
              <w:rPr>
                <w:rFonts w:asciiTheme="majorHAnsi" w:hAnsiTheme="majorHAnsi"/>
                <w:b w:val="0"/>
                <w:lang w:val="lv-LV"/>
              </w:rPr>
              <w:t xml:space="preserve">Izmaksas (% no ienākumiem uz 1 </w:t>
            </w:r>
            <w:proofErr w:type="spellStart"/>
            <w:r w:rsidRPr="0019406C">
              <w:rPr>
                <w:rFonts w:asciiTheme="majorHAnsi" w:hAnsiTheme="majorHAnsi"/>
                <w:b w:val="0"/>
                <w:lang w:val="lv-LV"/>
              </w:rPr>
              <w:t>iedzīv</w:t>
            </w:r>
            <w:proofErr w:type="spellEnd"/>
            <w:r w:rsidRPr="0019406C">
              <w:rPr>
                <w:rFonts w:asciiTheme="majorHAnsi" w:hAnsiTheme="majorHAnsi"/>
                <w:b w:val="0"/>
                <w:lang w:val="lv-LV"/>
              </w:rPr>
              <w:t>.)</w:t>
            </w:r>
          </w:p>
        </w:tc>
        <w:tc>
          <w:tcPr>
            <w:tcW w:w="679" w:type="pct"/>
            <w:vAlign w:val="center"/>
          </w:tcPr>
          <w:p w:rsidR="00B1457B" w:rsidRPr="0019406C" w:rsidRDefault="00B1457B" w:rsidP="00036416">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389</w:t>
            </w:r>
            <w:r w:rsidR="00036416" w:rsidRPr="0019406C">
              <w:rPr>
                <w:rFonts w:asciiTheme="majorHAnsi" w:hAnsiTheme="majorHAnsi"/>
                <w:lang w:val="lv-LV"/>
              </w:rPr>
              <w:t>,</w:t>
            </w:r>
            <w:r w:rsidRPr="0019406C">
              <w:rPr>
                <w:rFonts w:asciiTheme="majorHAnsi" w:hAnsiTheme="majorHAnsi"/>
                <w:lang w:val="lv-LV"/>
              </w:rPr>
              <w:t>1</w:t>
            </w:r>
          </w:p>
        </w:tc>
        <w:tc>
          <w:tcPr>
            <w:tcW w:w="700" w:type="pct"/>
            <w:vAlign w:val="center"/>
          </w:tcPr>
          <w:p w:rsidR="00B1457B" w:rsidRPr="0019406C" w:rsidRDefault="00B1457B" w:rsidP="00036416">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326</w:t>
            </w:r>
            <w:r w:rsidR="00036416" w:rsidRPr="0019406C">
              <w:rPr>
                <w:rFonts w:asciiTheme="majorHAnsi" w:hAnsiTheme="majorHAnsi"/>
                <w:lang w:val="lv-LV"/>
              </w:rPr>
              <w:t>,</w:t>
            </w:r>
            <w:r w:rsidRPr="0019406C">
              <w:rPr>
                <w:rFonts w:asciiTheme="majorHAnsi" w:hAnsiTheme="majorHAnsi"/>
                <w:lang w:val="lv-LV"/>
              </w:rPr>
              <w:t>1</w:t>
            </w:r>
          </w:p>
        </w:tc>
        <w:tc>
          <w:tcPr>
            <w:tcW w:w="526" w:type="pct"/>
            <w:vAlign w:val="center"/>
          </w:tcPr>
          <w:p w:rsidR="00B1457B" w:rsidRPr="0019406C" w:rsidRDefault="00B1457B" w:rsidP="00036416">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118</w:t>
            </w:r>
            <w:r w:rsidR="00036416" w:rsidRPr="0019406C">
              <w:rPr>
                <w:rFonts w:asciiTheme="majorHAnsi" w:hAnsiTheme="majorHAnsi"/>
                <w:lang w:val="lv-LV"/>
              </w:rPr>
              <w:t>,</w:t>
            </w:r>
            <w:r w:rsidRPr="0019406C">
              <w:rPr>
                <w:rFonts w:asciiTheme="majorHAnsi" w:hAnsiTheme="majorHAnsi"/>
                <w:lang w:val="lv-LV"/>
              </w:rPr>
              <w:t>4</w:t>
            </w:r>
          </w:p>
        </w:tc>
        <w:tc>
          <w:tcPr>
            <w:tcW w:w="627" w:type="pct"/>
            <w:vAlign w:val="center"/>
          </w:tcPr>
          <w:p w:rsidR="00B1457B" w:rsidRPr="0019406C" w:rsidRDefault="00B1457B" w:rsidP="00036416">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188</w:t>
            </w:r>
            <w:r w:rsidR="00036416" w:rsidRPr="0019406C">
              <w:rPr>
                <w:rFonts w:asciiTheme="majorHAnsi" w:hAnsiTheme="majorHAnsi"/>
                <w:lang w:val="lv-LV"/>
              </w:rPr>
              <w:t>,</w:t>
            </w:r>
            <w:r w:rsidRPr="0019406C">
              <w:rPr>
                <w:rFonts w:asciiTheme="majorHAnsi" w:hAnsiTheme="majorHAnsi"/>
                <w:lang w:val="lv-LV"/>
              </w:rPr>
              <w:t>0</w:t>
            </w:r>
          </w:p>
        </w:tc>
        <w:tc>
          <w:tcPr>
            <w:tcW w:w="556" w:type="pct"/>
            <w:vAlign w:val="center"/>
          </w:tcPr>
          <w:p w:rsidR="00B1457B" w:rsidRPr="0019406C" w:rsidRDefault="00B1457B" w:rsidP="00036416">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29</w:t>
            </w:r>
            <w:r w:rsidR="00036416" w:rsidRPr="0019406C">
              <w:rPr>
                <w:rFonts w:asciiTheme="majorHAnsi" w:hAnsiTheme="majorHAnsi"/>
                <w:lang w:val="lv-LV"/>
              </w:rPr>
              <w:t>,</w:t>
            </w:r>
            <w:r w:rsidRPr="0019406C">
              <w:rPr>
                <w:rFonts w:asciiTheme="majorHAnsi" w:hAnsiTheme="majorHAnsi"/>
                <w:lang w:val="lv-LV"/>
              </w:rPr>
              <w:t>6</w:t>
            </w:r>
          </w:p>
        </w:tc>
        <w:tc>
          <w:tcPr>
            <w:tcW w:w="577" w:type="pct"/>
            <w:vAlign w:val="center"/>
          </w:tcPr>
          <w:p w:rsidR="00B1457B" w:rsidRPr="0019406C" w:rsidRDefault="00B1457B" w:rsidP="00036416">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48</w:t>
            </w:r>
            <w:r w:rsidR="00036416" w:rsidRPr="0019406C">
              <w:rPr>
                <w:rFonts w:asciiTheme="majorHAnsi" w:hAnsiTheme="majorHAnsi"/>
                <w:lang w:val="lv-LV"/>
              </w:rPr>
              <w:t>,</w:t>
            </w:r>
            <w:r w:rsidRPr="0019406C">
              <w:rPr>
                <w:rFonts w:asciiTheme="majorHAnsi" w:hAnsiTheme="majorHAnsi"/>
                <w:lang w:val="lv-LV"/>
              </w:rPr>
              <w:t>1</w:t>
            </w:r>
          </w:p>
        </w:tc>
        <w:tc>
          <w:tcPr>
            <w:tcW w:w="605" w:type="pct"/>
            <w:vAlign w:val="center"/>
          </w:tcPr>
          <w:p w:rsidR="00B1457B" w:rsidRPr="0019406C" w:rsidRDefault="00B1457B" w:rsidP="00036416">
            <w:pPr>
              <w:pStyle w:val="BodyText"/>
              <w:jc w:val="center"/>
              <w:cnfStyle w:val="000000100000" w:firstRow="0" w:lastRow="0" w:firstColumn="0" w:lastColumn="0" w:oddVBand="0" w:evenVBand="0" w:oddHBand="1" w:evenHBand="0" w:firstRowFirstColumn="0" w:firstRowLastColumn="0" w:lastRowFirstColumn="0" w:lastRowLastColumn="0"/>
              <w:rPr>
                <w:rFonts w:asciiTheme="majorHAnsi" w:hAnsiTheme="majorHAnsi"/>
                <w:lang w:val="lv-LV"/>
              </w:rPr>
            </w:pPr>
            <w:r w:rsidRPr="0019406C">
              <w:rPr>
                <w:rFonts w:asciiTheme="majorHAnsi" w:hAnsiTheme="majorHAnsi"/>
                <w:lang w:val="lv-LV"/>
              </w:rPr>
              <w:t>79</w:t>
            </w:r>
            <w:r w:rsidR="00036416" w:rsidRPr="0019406C">
              <w:rPr>
                <w:rFonts w:asciiTheme="majorHAnsi" w:hAnsiTheme="majorHAnsi"/>
                <w:lang w:val="lv-LV"/>
              </w:rPr>
              <w:t>,</w:t>
            </w:r>
            <w:r w:rsidRPr="0019406C">
              <w:rPr>
                <w:rFonts w:asciiTheme="majorHAnsi" w:hAnsiTheme="majorHAnsi"/>
                <w:lang w:val="lv-LV"/>
              </w:rPr>
              <w:t>1</w:t>
            </w:r>
          </w:p>
        </w:tc>
      </w:tr>
    </w:tbl>
    <w:p w:rsidR="00B1457B" w:rsidRPr="0019406C" w:rsidRDefault="00B1457B" w:rsidP="00B1457B">
      <w:pPr>
        <w:pStyle w:val="BodyText"/>
        <w:jc w:val="both"/>
        <w:rPr>
          <w:rFonts w:asciiTheme="majorHAnsi" w:hAnsiTheme="majorHAnsi"/>
          <w:highlight w:val="yellow"/>
          <w:lang w:val="lv-LV"/>
        </w:rPr>
      </w:pPr>
    </w:p>
    <w:p w:rsidR="00B1457B" w:rsidRPr="0019406C" w:rsidRDefault="00B1457B" w:rsidP="00B1457B">
      <w:pPr>
        <w:pStyle w:val="BodyText"/>
        <w:spacing w:line="276" w:lineRule="auto"/>
        <w:jc w:val="both"/>
        <w:rPr>
          <w:rFonts w:asciiTheme="majorHAnsi" w:hAnsiTheme="majorHAnsi"/>
          <w:lang w:val="lv-LV"/>
        </w:rPr>
      </w:pPr>
      <w:r w:rsidRPr="0019406C">
        <w:rPr>
          <w:rFonts w:asciiTheme="majorHAnsi" w:hAnsiTheme="majorHAnsi"/>
          <w:lang w:val="lv-LV"/>
        </w:rPr>
        <w:t>Latvijā daudz laika elektrības pieslēguma procesā aizņem tieši izbūves darbu izpildītāja izvēle un izbūve (kopā 90 dienas), kas, tai skaitā, saistīts ar iepirkuma organizēšanu.</w:t>
      </w:r>
    </w:p>
    <w:p w:rsidR="00B1457B" w:rsidRPr="0019406C" w:rsidRDefault="00B1457B" w:rsidP="00B1457B">
      <w:pPr>
        <w:pStyle w:val="BodyText"/>
        <w:spacing w:line="276" w:lineRule="auto"/>
        <w:jc w:val="both"/>
        <w:rPr>
          <w:rFonts w:asciiTheme="majorHAnsi" w:hAnsiTheme="majorHAnsi"/>
          <w:lang w:val="lv-LV"/>
        </w:rPr>
      </w:pPr>
      <w:r w:rsidRPr="0019406C">
        <w:rPr>
          <w:rFonts w:asciiTheme="majorHAnsi" w:hAnsiTheme="majorHAnsi" w:cs="Arial"/>
          <w:bCs/>
          <w:lang w:val="lv-LV"/>
        </w:rPr>
        <w:t xml:space="preserve">Salīdzinājumā ar citām valstīm, arī augstās izmaksas ir tās, kas kavē Latvijas vērtējuma uzlabošanos. Piemēram, pēc Doing Business rezultātiem Vācijā (3. pozīcija) aptuvenās izmaksas ir </w:t>
      </w:r>
      <w:r w:rsidR="00036416" w:rsidRPr="0019406C">
        <w:rPr>
          <w:rFonts w:asciiTheme="majorHAnsi" w:hAnsiTheme="majorHAnsi" w:cs="Arial"/>
          <w:bCs/>
          <w:lang w:val="lv-LV"/>
        </w:rPr>
        <w:t xml:space="preserve">EUR 15,000, bet Islandē – EUR 4 </w:t>
      </w:r>
      <w:r w:rsidRPr="0019406C">
        <w:rPr>
          <w:rFonts w:asciiTheme="majorHAnsi" w:hAnsiTheme="majorHAnsi" w:cs="Arial"/>
          <w:bCs/>
          <w:lang w:val="lv-LV"/>
        </w:rPr>
        <w:t>33</w:t>
      </w:r>
      <w:r w:rsidR="00036416" w:rsidRPr="0019406C">
        <w:rPr>
          <w:rFonts w:asciiTheme="majorHAnsi" w:hAnsiTheme="majorHAnsi" w:cs="Arial"/>
          <w:bCs/>
          <w:lang w:val="lv-LV"/>
        </w:rPr>
        <w:t xml:space="preserve">9. Latvijā tie ir vidēji EUR 35 </w:t>
      </w:r>
      <w:r w:rsidRPr="0019406C">
        <w:rPr>
          <w:rFonts w:asciiTheme="majorHAnsi" w:hAnsiTheme="majorHAnsi" w:cs="Arial"/>
          <w:bCs/>
          <w:lang w:val="lv-LV"/>
        </w:rPr>
        <w:t>788.</w:t>
      </w:r>
    </w:p>
    <w:p w:rsidR="00B1457B" w:rsidRPr="0019406C" w:rsidRDefault="00B1457B" w:rsidP="00B1457B">
      <w:pPr>
        <w:pStyle w:val="Caption"/>
        <w:keepNext/>
        <w:rPr>
          <w:rFonts w:asciiTheme="majorHAnsi" w:hAnsiTheme="majorHAnsi"/>
          <w:sz w:val="16"/>
          <w:lang w:val="lv-LV"/>
        </w:rPr>
      </w:pPr>
      <w:bookmarkStart w:id="126" w:name="_Toc389225102"/>
      <w:r w:rsidRPr="0019406C">
        <w:rPr>
          <w:rFonts w:asciiTheme="majorHAnsi" w:hAnsiTheme="majorHAnsi"/>
          <w:sz w:val="16"/>
          <w:lang w:val="lv-LV"/>
        </w:rPr>
        <w:t xml:space="preserve">Tabula </w:t>
      </w:r>
      <w:r w:rsidRPr="0019406C">
        <w:rPr>
          <w:rFonts w:asciiTheme="majorHAnsi" w:hAnsiTheme="majorHAnsi"/>
          <w:sz w:val="16"/>
          <w:lang w:val="lv-LV"/>
        </w:rPr>
        <w:fldChar w:fldCharType="begin"/>
      </w:r>
      <w:r w:rsidRPr="0019406C">
        <w:rPr>
          <w:rFonts w:asciiTheme="majorHAnsi" w:hAnsiTheme="majorHAnsi"/>
          <w:sz w:val="16"/>
          <w:lang w:val="lv-LV"/>
        </w:rPr>
        <w:instrText xml:space="preserve"> SEQ Tabula \* ARABIC </w:instrText>
      </w:r>
      <w:r w:rsidRPr="0019406C">
        <w:rPr>
          <w:rFonts w:asciiTheme="majorHAnsi" w:hAnsiTheme="majorHAnsi"/>
          <w:sz w:val="16"/>
          <w:lang w:val="lv-LV"/>
        </w:rPr>
        <w:fldChar w:fldCharType="separate"/>
      </w:r>
      <w:r w:rsidR="00410806" w:rsidRPr="0019406C">
        <w:rPr>
          <w:rFonts w:asciiTheme="majorHAnsi" w:hAnsiTheme="majorHAnsi"/>
          <w:noProof/>
          <w:sz w:val="16"/>
          <w:lang w:val="lv-LV"/>
        </w:rPr>
        <w:t>28</w:t>
      </w:r>
      <w:r w:rsidRPr="0019406C">
        <w:rPr>
          <w:rFonts w:asciiTheme="majorHAnsi" w:hAnsiTheme="majorHAnsi"/>
          <w:sz w:val="16"/>
          <w:lang w:val="lv-LV"/>
        </w:rPr>
        <w:fldChar w:fldCharType="end"/>
      </w:r>
      <w:r w:rsidRPr="0019406C">
        <w:rPr>
          <w:rFonts w:asciiTheme="majorHAnsi" w:hAnsiTheme="majorHAnsi"/>
          <w:sz w:val="16"/>
          <w:lang w:val="lv-LV"/>
        </w:rPr>
        <w:t xml:space="preserve"> Doing Business labā prakse elektroenerģijas pieslēguma procesa jomā</w:t>
      </w:r>
      <w:bookmarkEnd w:id="126"/>
    </w:p>
    <w:tbl>
      <w:tblPr>
        <w:tblStyle w:val="LightList-Accent11"/>
        <w:tblW w:w="5000" w:type="pct"/>
        <w:tblLook w:val="0020" w:firstRow="1" w:lastRow="0" w:firstColumn="0" w:lastColumn="0" w:noHBand="0" w:noVBand="0"/>
      </w:tblPr>
      <w:tblGrid>
        <w:gridCol w:w="8052"/>
        <w:gridCol w:w="2028"/>
      </w:tblGrid>
      <w:tr w:rsidR="00B1457B" w:rsidRPr="0019406C" w:rsidTr="00E061A2">
        <w:trPr>
          <w:cnfStyle w:val="100000000000" w:firstRow="1" w:lastRow="0" w:firstColumn="0" w:lastColumn="0" w:oddVBand="0" w:evenVBand="0" w:oddHBand="0" w:evenHBand="0" w:firstRowFirstColumn="0" w:firstRowLastColumn="0" w:lastRowFirstColumn="0" w:lastRowLastColumn="0"/>
          <w:trHeight w:val="190"/>
        </w:trPr>
        <w:tc>
          <w:tcPr>
            <w:cnfStyle w:val="000010000000" w:firstRow="0" w:lastRow="0" w:firstColumn="0" w:lastColumn="0" w:oddVBand="1" w:evenVBand="0" w:oddHBand="0" w:evenHBand="0" w:firstRowFirstColumn="0" w:firstRowLastColumn="0" w:lastRowFirstColumn="0" w:lastRowLastColumn="0"/>
            <w:tcW w:w="3994" w:type="pct"/>
            <w:vAlign w:val="center"/>
          </w:tcPr>
          <w:p w:rsidR="00B1457B" w:rsidRPr="0019406C" w:rsidRDefault="00B1457B" w:rsidP="00E061A2">
            <w:pPr>
              <w:rPr>
                <w:rFonts w:asciiTheme="majorHAnsi" w:eastAsia="Cambria" w:hAnsiTheme="majorHAnsi" w:cs="Times New Roman"/>
                <w:lang w:val="lv-LV"/>
              </w:rPr>
            </w:pPr>
            <w:r w:rsidRPr="0019406C">
              <w:rPr>
                <w:rFonts w:asciiTheme="majorHAnsi" w:eastAsia="Cambria" w:hAnsiTheme="majorHAnsi" w:cs="Times New Roman"/>
                <w:lang w:val="lv-LV"/>
              </w:rPr>
              <w:t>Labās prakses kritēriji</w:t>
            </w:r>
          </w:p>
        </w:tc>
        <w:tc>
          <w:tcPr>
            <w:tcW w:w="1006" w:type="pct"/>
            <w:vAlign w:val="center"/>
          </w:tcPr>
          <w:p w:rsidR="00B1457B" w:rsidRPr="0019406C" w:rsidRDefault="00B1457B" w:rsidP="00E061A2">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DB vērtējums</w:t>
            </w:r>
          </w:p>
        </w:tc>
      </w:tr>
      <w:tr w:rsidR="00B1457B" w:rsidRPr="0019406C" w:rsidTr="00E061A2">
        <w:trPr>
          <w:cnfStyle w:val="000000100000" w:firstRow="0" w:lastRow="0" w:firstColumn="0" w:lastColumn="0" w:oddVBand="0" w:evenVBand="0" w:oddHBand="1" w:evenHBand="0" w:firstRowFirstColumn="0" w:firstRowLastColumn="0" w:lastRowFirstColumn="0" w:lastRowLastColumn="0"/>
          <w:trHeight w:val="264"/>
        </w:trPr>
        <w:tc>
          <w:tcPr>
            <w:cnfStyle w:val="000010000000" w:firstRow="0" w:lastRow="0" w:firstColumn="0" w:lastColumn="0" w:oddVBand="1" w:evenVBand="0" w:oddHBand="0" w:evenHBand="0" w:firstRowFirstColumn="0" w:firstRowLastColumn="0" w:lastRowFirstColumn="0" w:lastRowLastColumn="0"/>
            <w:tcW w:w="3994" w:type="pct"/>
            <w:vAlign w:val="center"/>
          </w:tcPr>
          <w:p w:rsidR="00B1457B" w:rsidRPr="0019406C" w:rsidRDefault="00B1457B" w:rsidP="00E061A2">
            <w:pPr>
              <w:rPr>
                <w:rFonts w:asciiTheme="majorHAnsi" w:hAnsiTheme="majorHAnsi"/>
                <w:b/>
                <w:lang w:val="lv-LV"/>
              </w:rPr>
            </w:pPr>
            <w:r w:rsidRPr="0019406C">
              <w:rPr>
                <w:rFonts w:asciiTheme="majorHAnsi" w:hAnsiTheme="majorHAnsi"/>
                <w:lang w:val="lv-LV"/>
              </w:rPr>
              <w:t>Vai pakalpojuma sniedzēja iekšējās procedūras ir kļuvušas efektīvākas?</w:t>
            </w:r>
          </w:p>
        </w:tc>
        <w:tc>
          <w:tcPr>
            <w:tcW w:w="1006" w:type="pct"/>
            <w:vAlign w:val="center"/>
          </w:tcPr>
          <w:p w:rsidR="00B1457B" w:rsidRPr="0019406C" w:rsidRDefault="00B1457B" w:rsidP="00E061A2">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Jā</w:t>
            </w:r>
          </w:p>
        </w:tc>
      </w:tr>
      <w:tr w:rsidR="00B1457B" w:rsidRPr="0019406C" w:rsidTr="00E061A2">
        <w:trPr>
          <w:trHeight w:val="264"/>
        </w:trPr>
        <w:tc>
          <w:tcPr>
            <w:cnfStyle w:val="000010000000" w:firstRow="0" w:lastRow="0" w:firstColumn="0" w:lastColumn="0" w:oddVBand="1" w:evenVBand="0" w:oddHBand="0" w:evenHBand="0" w:firstRowFirstColumn="0" w:firstRowLastColumn="0" w:lastRowFirstColumn="0" w:lastRowLastColumn="0"/>
            <w:tcW w:w="3994" w:type="pct"/>
            <w:vAlign w:val="center"/>
          </w:tcPr>
          <w:p w:rsidR="00B1457B" w:rsidRPr="0019406C" w:rsidRDefault="00B1457B" w:rsidP="00E061A2">
            <w:pPr>
              <w:rPr>
                <w:rFonts w:asciiTheme="majorHAnsi" w:hAnsiTheme="majorHAnsi"/>
                <w:b/>
                <w:lang w:val="lv-LV"/>
              </w:rPr>
            </w:pPr>
            <w:r w:rsidRPr="0019406C">
              <w:rPr>
                <w:rFonts w:asciiTheme="majorHAnsi" w:hAnsiTheme="majorHAnsi"/>
                <w:lang w:val="lv-LV"/>
              </w:rPr>
              <w:t>Vai pieslēguma izmaksas un procesi tiek labāk regulēti?</w:t>
            </w:r>
          </w:p>
        </w:tc>
        <w:tc>
          <w:tcPr>
            <w:tcW w:w="1006" w:type="pct"/>
            <w:vAlign w:val="center"/>
          </w:tcPr>
          <w:p w:rsidR="00B1457B" w:rsidRPr="0019406C" w:rsidRDefault="00B1457B" w:rsidP="00E061A2">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olor w:val="000000"/>
                <w:lang w:val="lv-LV"/>
              </w:rPr>
            </w:pPr>
            <w:r w:rsidRPr="0019406C">
              <w:rPr>
                <w:rFonts w:asciiTheme="majorHAnsi" w:eastAsia="Cambria" w:hAnsiTheme="majorHAnsi" w:cs="Times New Roman"/>
                <w:lang w:val="lv-LV"/>
              </w:rPr>
              <w:t>Jā</w:t>
            </w:r>
          </w:p>
        </w:tc>
      </w:tr>
      <w:tr w:rsidR="00B1457B" w:rsidRPr="0019406C" w:rsidTr="00E061A2">
        <w:trPr>
          <w:cnfStyle w:val="000000100000" w:firstRow="0" w:lastRow="0" w:firstColumn="0" w:lastColumn="0" w:oddVBand="0" w:evenVBand="0" w:oddHBand="1" w:evenHBand="0" w:firstRowFirstColumn="0" w:firstRowLastColumn="0" w:lastRowFirstColumn="0" w:lastRowLastColumn="0"/>
          <w:trHeight w:val="264"/>
        </w:trPr>
        <w:tc>
          <w:tcPr>
            <w:cnfStyle w:val="000010000000" w:firstRow="0" w:lastRow="0" w:firstColumn="0" w:lastColumn="0" w:oddVBand="1" w:evenVBand="0" w:oddHBand="0" w:evenHBand="0" w:firstRowFirstColumn="0" w:firstRowLastColumn="0" w:lastRowFirstColumn="0" w:lastRowLastColumn="0"/>
            <w:tcW w:w="3994" w:type="pct"/>
            <w:vAlign w:val="center"/>
          </w:tcPr>
          <w:p w:rsidR="00B1457B" w:rsidRPr="0019406C" w:rsidRDefault="00B1457B" w:rsidP="00E061A2">
            <w:pPr>
              <w:rPr>
                <w:rFonts w:asciiTheme="majorHAnsi" w:hAnsiTheme="majorHAnsi"/>
                <w:b/>
                <w:lang w:val="lv-LV"/>
              </w:rPr>
            </w:pPr>
            <w:r w:rsidRPr="0019406C">
              <w:rPr>
                <w:rFonts w:asciiTheme="majorHAnsi" w:hAnsiTheme="majorHAnsi"/>
                <w:lang w:val="lv-LV"/>
              </w:rPr>
              <w:t>Vai finansiālais ierobežojums saistībā ar drošības depozītu par jauna pieslēguma ierīkošanu ir samazināts?</w:t>
            </w:r>
          </w:p>
        </w:tc>
        <w:tc>
          <w:tcPr>
            <w:tcW w:w="1006" w:type="pct"/>
            <w:vAlign w:val="center"/>
          </w:tcPr>
          <w:p w:rsidR="00B1457B" w:rsidRPr="0019406C" w:rsidRDefault="00B1457B" w:rsidP="00E061A2">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olor w:val="000000"/>
                <w:lang w:val="lv-LV"/>
              </w:rPr>
            </w:pPr>
            <w:r w:rsidRPr="0019406C">
              <w:rPr>
                <w:rFonts w:asciiTheme="majorHAnsi" w:eastAsia="Cambria" w:hAnsiTheme="majorHAnsi" w:cs="Times New Roman"/>
                <w:lang w:val="lv-LV"/>
              </w:rPr>
              <w:t>Jā</w:t>
            </w:r>
          </w:p>
        </w:tc>
      </w:tr>
      <w:tr w:rsidR="00B1457B" w:rsidRPr="0019406C" w:rsidTr="00E061A2">
        <w:trPr>
          <w:trHeight w:val="264"/>
        </w:trPr>
        <w:tc>
          <w:tcPr>
            <w:cnfStyle w:val="000010000000" w:firstRow="0" w:lastRow="0" w:firstColumn="0" w:lastColumn="0" w:oddVBand="1" w:evenVBand="0" w:oddHBand="0" w:evenHBand="0" w:firstRowFirstColumn="0" w:firstRowLastColumn="0" w:lastRowFirstColumn="0" w:lastRowLastColumn="0"/>
            <w:tcW w:w="3994" w:type="pct"/>
            <w:vAlign w:val="center"/>
          </w:tcPr>
          <w:p w:rsidR="00B1457B" w:rsidRPr="0019406C" w:rsidRDefault="00B1457B" w:rsidP="00E061A2">
            <w:pPr>
              <w:rPr>
                <w:rFonts w:asciiTheme="majorHAnsi" w:hAnsiTheme="majorHAnsi"/>
                <w:lang w:val="lv-LV"/>
              </w:rPr>
            </w:pPr>
            <w:r w:rsidRPr="0019406C">
              <w:rPr>
                <w:rFonts w:asciiTheme="majorHAnsi" w:hAnsiTheme="majorHAnsi"/>
                <w:lang w:val="lv-LV"/>
              </w:rPr>
              <w:t>Vai elektriķu darbs tiek regulēts, lai nodrošinātu elektrodrošību?</w:t>
            </w:r>
          </w:p>
        </w:tc>
        <w:tc>
          <w:tcPr>
            <w:tcW w:w="1006" w:type="pct"/>
            <w:vAlign w:val="center"/>
          </w:tcPr>
          <w:p w:rsidR="00B1457B" w:rsidRPr="0019406C" w:rsidRDefault="00B1457B" w:rsidP="00E061A2">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olor w:val="000000"/>
                <w:lang w:val="lv-LV"/>
              </w:rPr>
            </w:pPr>
            <w:r w:rsidRPr="0019406C">
              <w:rPr>
                <w:rFonts w:asciiTheme="majorHAnsi" w:eastAsia="Cambria" w:hAnsiTheme="majorHAnsi" w:cs="Times New Roman"/>
                <w:lang w:val="lv-LV"/>
              </w:rPr>
              <w:t>Jā</w:t>
            </w:r>
          </w:p>
        </w:tc>
      </w:tr>
    </w:tbl>
    <w:p w:rsidR="00B1457B" w:rsidRPr="0019406C" w:rsidRDefault="00B1457B" w:rsidP="00B1457B">
      <w:pPr>
        <w:pStyle w:val="BodyText"/>
        <w:spacing w:after="0"/>
        <w:jc w:val="both"/>
        <w:rPr>
          <w:rFonts w:asciiTheme="majorHAnsi" w:hAnsiTheme="majorHAnsi" w:cs="Arial"/>
          <w:bCs/>
          <w:lang w:val="lv-LV"/>
        </w:rPr>
      </w:pPr>
    </w:p>
    <w:p w:rsidR="00B1457B" w:rsidRPr="0019406C" w:rsidRDefault="00B1457B" w:rsidP="00B1457B">
      <w:pPr>
        <w:pStyle w:val="BodyText"/>
        <w:spacing w:line="276" w:lineRule="auto"/>
        <w:jc w:val="both"/>
        <w:rPr>
          <w:rFonts w:asciiTheme="majorHAnsi" w:hAnsiTheme="majorHAnsi"/>
          <w:lang w:val="lv-LV"/>
        </w:rPr>
      </w:pPr>
      <w:r w:rsidRPr="0019406C">
        <w:rPr>
          <w:rFonts w:asciiTheme="majorHAnsi" w:hAnsiTheme="majorHAnsi" w:cs="Arial"/>
          <w:bCs/>
          <w:lang w:val="lv-LV"/>
        </w:rPr>
        <w:t>DB2014 labās prakses piemērs norāda uz to, ka Latvija izpilda labās prakses kritērijus, kas ir nozīmīgs aspekts tam, lai spētu pakāpties augstāk Doing Business reitingā.</w:t>
      </w:r>
      <w:r w:rsidRPr="0019406C">
        <w:rPr>
          <w:rFonts w:asciiTheme="majorHAnsi" w:hAnsiTheme="majorHAnsi"/>
          <w:lang w:val="lv-LV"/>
        </w:rPr>
        <w:t xml:space="preserve"> </w:t>
      </w:r>
    </w:p>
    <w:p w:rsidR="00B1457B" w:rsidRPr="0019406C" w:rsidRDefault="00B1457B" w:rsidP="00B1457B">
      <w:pPr>
        <w:pStyle w:val="BodyText"/>
        <w:spacing w:line="276" w:lineRule="auto"/>
        <w:jc w:val="both"/>
        <w:rPr>
          <w:rFonts w:asciiTheme="majorHAnsi" w:hAnsiTheme="majorHAnsi"/>
          <w:lang w:val="lv-LV"/>
        </w:rPr>
      </w:pPr>
      <w:r w:rsidRPr="0019406C">
        <w:rPr>
          <w:rFonts w:asciiTheme="majorHAnsi" w:hAnsiTheme="majorHAnsi"/>
          <w:lang w:val="lv-LV"/>
        </w:rPr>
        <w:t>Tomēr, ņemot vērā 2014. gada rezultātus un kritēriju salīdzinājumu ar citām valstīm, ir jāsecina, ka Latvijai ir jāpievērš ļoti liela uzmanība turpmākai procesa atvieglošanai gan izmaksu, gan laika patēriņa samazināšanas ziņā.</w:t>
      </w:r>
    </w:p>
    <w:p w:rsidR="00B1457B" w:rsidRPr="0019406C" w:rsidRDefault="00B1457B" w:rsidP="00B1457B">
      <w:pPr>
        <w:pStyle w:val="BodyText"/>
        <w:rPr>
          <w:rFonts w:asciiTheme="majorHAnsi" w:hAnsiTheme="majorHAnsi"/>
          <w:b/>
          <w:sz w:val="22"/>
          <w:lang w:val="lv-LV"/>
        </w:rPr>
      </w:pPr>
      <w:r w:rsidRPr="0019406C">
        <w:rPr>
          <w:rFonts w:asciiTheme="majorHAnsi" w:hAnsiTheme="majorHAnsi"/>
          <w:b/>
          <w:sz w:val="22"/>
          <w:lang w:val="lv-LV"/>
        </w:rPr>
        <w:t>Globālās konkurētspējas indekss</w:t>
      </w:r>
    </w:p>
    <w:p w:rsidR="00B1457B" w:rsidRDefault="00B1457B" w:rsidP="00B1457B">
      <w:pPr>
        <w:pStyle w:val="BodyText"/>
        <w:spacing w:line="276" w:lineRule="auto"/>
        <w:jc w:val="both"/>
        <w:rPr>
          <w:rFonts w:asciiTheme="majorHAnsi" w:hAnsiTheme="majorHAnsi"/>
          <w:lang w:val="lv-LV"/>
        </w:rPr>
      </w:pPr>
      <w:r w:rsidRPr="0019406C">
        <w:rPr>
          <w:rFonts w:asciiTheme="majorHAnsi" w:hAnsiTheme="majorHAnsi"/>
          <w:lang w:val="lv-LV"/>
        </w:rPr>
        <w:t>GKI indeksā starp 148 valstīm elektrības pieslēguma kvalitātes ziņā 2013. gadā ierindo Latviju 54. vietā. GKI indekss savā pētījumā vērtē uzņēmēju viedokli par elektrības pieslēguma kvalitāti (elektrības pārrāvumu skaits un strāvas stipruma pietiekamība). Minētie rādītāji tiek novērtēti skalā no 1 līdz 7, identificējot sistēmas kvalitāti pieaugošā secībā.</w:t>
      </w:r>
    </w:p>
    <w:p w:rsidR="00444A73" w:rsidRPr="0019406C" w:rsidRDefault="00444A73" w:rsidP="00444A73">
      <w:pPr>
        <w:rPr>
          <w:rFonts w:asciiTheme="majorHAnsi" w:hAnsiTheme="majorHAnsi"/>
          <w:lang w:val="lv-LV"/>
        </w:rPr>
      </w:pPr>
      <w:r>
        <w:rPr>
          <w:rFonts w:asciiTheme="majorHAnsi" w:hAnsiTheme="majorHAnsi"/>
          <w:lang w:val="lv-LV"/>
        </w:rPr>
        <w:br w:type="page"/>
      </w:r>
    </w:p>
    <w:p w:rsidR="00B1457B" w:rsidRPr="0019406C" w:rsidRDefault="00B1457B" w:rsidP="00B1457B">
      <w:pPr>
        <w:pStyle w:val="Caption"/>
        <w:keepNext/>
        <w:rPr>
          <w:rFonts w:asciiTheme="majorHAnsi" w:hAnsiTheme="majorHAnsi"/>
          <w:sz w:val="16"/>
          <w:lang w:val="lv-LV"/>
        </w:rPr>
      </w:pPr>
      <w:bookmarkStart w:id="127" w:name="_Toc389225103"/>
      <w:r w:rsidRPr="0019406C">
        <w:rPr>
          <w:rFonts w:asciiTheme="majorHAnsi" w:hAnsiTheme="majorHAnsi"/>
          <w:sz w:val="16"/>
          <w:lang w:val="lv-LV"/>
        </w:rPr>
        <w:lastRenderedPageBreak/>
        <w:t xml:space="preserve">Tabula </w:t>
      </w:r>
      <w:r w:rsidRPr="0019406C">
        <w:rPr>
          <w:rFonts w:asciiTheme="majorHAnsi" w:hAnsiTheme="majorHAnsi"/>
          <w:sz w:val="16"/>
          <w:lang w:val="lv-LV"/>
        </w:rPr>
        <w:fldChar w:fldCharType="begin"/>
      </w:r>
      <w:r w:rsidRPr="0019406C">
        <w:rPr>
          <w:rFonts w:asciiTheme="majorHAnsi" w:hAnsiTheme="majorHAnsi"/>
          <w:sz w:val="16"/>
          <w:lang w:val="lv-LV"/>
        </w:rPr>
        <w:instrText xml:space="preserve"> SEQ Tabula \* ARABIC </w:instrText>
      </w:r>
      <w:r w:rsidRPr="0019406C">
        <w:rPr>
          <w:rFonts w:asciiTheme="majorHAnsi" w:hAnsiTheme="majorHAnsi"/>
          <w:sz w:val="16"/>
          <w:lang w:val="lv-LV"/>
        </w:rPr>
        <w:fldChar w:fldCharType="separate"/>
      </w:r>
      <w:r w:rsidR="00410806" w:rsidRPr="0019406C">
        <w:rPr>
          <w:rFonts w:asciiTheme="majorHAnsi" w:hAnsiTheme="majorHAnsi"/>
          <w:noProof/>
          <w:sz w:val="16"/>
          <w:lang w:val="lv-LV"/>
        </w:rPr>
        <w:t>29</w:t>
      </w:r>
      <w:r w:rsidRPr="0019406C">
        <w:rPr>
          <w:rFonts w:asciiTheme="majorHAnsi" w:hAnsiTheme="majorHAnsi"/>
          <w:sz w:val="16"/>
          <w:lang w:val="lv-LV"/>
        </w:rPr>
        <w:fldChar w:fldCharType="end"/>
      </w:r>
      <w:r w:rsidRPr="0019406C">
        <w:rPr>
          <w:rFonts w:asciiTheme="majorHAnsi" w:hAnsiTheme="majorHAnsi"/>
          <w:sz w:val="16"/>
          <w:lang w:val="lv-LV"/>
        </w:rPr>
        <w:t xml:space="preserve"> GKI elektrības pieslēguma kvalitātes indekss</w:t>
      </w:r>
      <w:bookmarkEnd w:id="127"/>
    </w:p>
    <w:tbl>
      <w:tblPr>
        <w:tblStyle w:val="LightList-Accent11"/>
        <w:tblW w:w="5000" w:type="pct"/>
        <w:tblLook w:val="00A0" w:firstRow="1" w:lastRow="0" w:firstColumn="1" w:lastColumn="0" w:noHBand="0" w:noVBand="0"/>
      </w:tblPr>
      <w:tblGrid>
        <w:gridCol w:w="4886"/>
        <w:gridCol w:w="1736"/>
        <w:gridCol w:w="1734"/>
        <w:gridCol w:w="1724"/>
      </w:tblGrid>
      <w:tr w:rsidR="00B1457B" w:rsidRPr="0019406C" w:rsidTr="00E061A2">
        <w:trPr>
          <w:cnfStyle w:val="100000000000" w:firstRow="1" w:lastRow="0" w:firstColumn="0" w:lastColumn="0" w:oddVBand="0" w:evenVBand="0" w:oddHBand="0" w:evenHBand="0" w:firstRowFirstColumn="0" w:firstRowLastColumn="0" w:lastRowFirstColumn="0" w:lastRowLastColumn="0"/>
          <w:trHeight w:val="190"/>
        </w:trPr>
        <w:tc>
          <w:tcPr>
            <w:cnfStyle w:val="001000000000" w:firstRow="0" w:lastRow="0" w:firstColumn="1" w:lastColumn="0" w:oddVBand="0" w:evenVBand="0" w:oddHBand="0" w:evenHBand="0" w:firstRowFirstColumn="0" w:firstRowLastColumn="0" w:lastRowFirstColumn="0" w:lastRowLastColumn="0"/>
            <w:tcW w:w="2424" w:type="pct"/>
            <w:vAlign w:val="center"/>
          </w:tcPr>
          <w:p w:rsidR="00B1457B" w:rsidRPr="0019406C" w:rsidRDefault="00B1457B" w:rsidP="00E061A2">
            <w:pPr>
              <w:rPr>
                <w:rFonts w:asciiTheme="majorHAnsi" w:eastAsia="Cambria" w:hAnsiTheme="majorHAnsi" w:cs="Times New Roman"/>
                <w:lang w:val="lv-LV"/>
              </w:rPr>
            </w:pPr>
            <w:r w:rsidRPr="0019406C">
              <w:rPr>
                <w:rFonts w:asciiTheme="majorHAnsi" w:eastAsia="Cambria" w:hAnsiTheme="majorHAnsi" w:cs="Times New Roman"/>
                <w:lang w:val="lv-LV"/>
              </w:rPr>
              <w:t>Valsts</w:t>
            </w:r>
          </w:p>
        </w:tc>
        <w:tc>
          <w:tcPr>
            <w:cnfStyle w:val="000010000000" w:firstRow="0" w:lastRow="0" w:firstColumn="0" w:lastColumn="0" w:oddVBand="1" w:evenVBand="0" w:oddHBand="0" w:evenHBand="0" w:firstRowFirstColumn="0" w:firstRowLastColumn="0" w:lastRowFirstColumn="0" w:lastRowLastColumn="0"/>
            <w:tcW w:w="861" w:type="pct"/>
            <w:vAlign w:val="center"/>
          </w:tcPr>
          <w:p w:rsidR="00B1457B" w:rsidRPr="0019406C" w:rsidRDefault="00B1457B" w:rsidP="00E061A2">
            <w:pPr>
              <w:jc w:val="center"/>
              <w:rPr>
                <w:rFonts w:asciiTheme="majorHAnsi" w:eastAsia="Cambria" w:hAnsiTheme="majorHAnsi" w:cs="Times New Roman"/>
                <w:lang w:val="lv-LV"/>
              </w:rPr>
            </w:pPr>
            <w:r w:rsidRPr="0019406C">
              <w:rPr>
                <w:rFonts w:asciiTheme="majorHAnsi" w:eastAsia="Cambria" w:hAnsiTheme="majorHAnsi" w:cs="Times New Roman"/>
                <w:lang w:val="lv-LV"/>
              </w:rPr>
              <w:t>2012. gads</w:t>
            </w:r>
          </w:p>
        </w:tc>
        <w:tc>
          <w:tcPr>
            <w:tcW w:w="860" w:type="pct"/>
            <w:vAlign w:val="center"/>
          </w:tcPr>
          <w:p w:rsidR="00B1457B" w:rsidRPr="0019406C" w:rsidRDefault="00B1457B" w:rsidP="00E061A2">
            <w:pPr>
              <w:jc w:val="cente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2013. gads</w:t>
            </w:r>
          </w:p>
        </w:tc>
        <w:tc>
          <w:tcPr>
            <w:cnfStyle w:val="000010000000" w:firstRow="0" w:lastRow="0" w:firstColumn="0" w:lastColumn="0" w:oddVBand="1" w:evenVBand="0" w:oddHBand="0" w:evenHBand="0" w:firstRowFirstColumn="0" w:firstRowLastColumn="0" w:lastRowFirstColumn="0" w:lastRowLastColumn="0"/>
            <w:tcW w:w="855" w:type="pct"/>
            <w:vAlign w:val="center"/>
          </w:tcPr>
          <w:p w:rsidR="00B1457B" w:rsidRPr="0019406C" w:rsidRDefault="00B1457B" w:rsidP="00E061A2">
            <w:pPr>
              <w:jc w:val="center"/>
              <w:rPr>
                <w:rFonts w:asciiTheme="majorHAnsi" w:eastAsia="Cambria" w:hAnsiTheme="majorHAnsi" w:cs="Times New Roman"/>
                <w:lang w:val="lv-LV"/>
              </w:rPr>
            </w:pPr>
            <w:r w:rsidRPr="0019406C">
              <w:rPr>
                <w:rFonts w:asciiTheme="majorHAnsi" w:eastAsia="Cambria" w:hAnsiTheme="majorHAnsi" w:cs="Times New Roman"/>
                <w:lang w:val="lv-LV"/>
              </w:rPr>
              <w:t>Izmaiņa</w:t>
            </w:r>
          </w:p>
        </w:tc>
      </w:tr>
      <w:tr w:rsidR="00B1457B" w:rsidRPr="0019406C" w:rsidTr="00E061A2">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2424" w:type="pct"/>
            <w:vAlign w:val="center"/>
          </w:tcPr>
          <w:p w:rsidR="00B1457B" w:rsidRPr="0019406C" w:rsidRDefault="00B1457B" w:rsidP="00E061A2">
            <w:pPr>
              <w:rPr>
                <w:rFonts w:asciiTheme="majorHAnsi" w:eastAsia="Cambria" w:hAnsiTheme="majorHAnsi" w:cs="Times New Roman"/>
                <w:b w:val="0"/>
                <w:lang w:val="lv-LV"/>
              </w:rPr>
            </w:pPr>
            <w:r w:rsidRPr="0019406C">
              <w:rPr>
                <w:rFonts w:asciiTheme="majorHAnsi" w:eastAsia="Cambria" w:hAnsiTheme="majorHAnsi" w:cs="Times New Roman"/>
                <w:b w:val="0"/>
                <w:lang w:val="lv-LV"/>
              </w:rPr>
              <w:t>Somija</w:t>
            </w:r>
          </w:p>
        </w:tc>
        <w:tc>
          <w:tcPr>
            <w:cnfStyle w:val="000010000000" w:firstRow="0" w:lastRow="0" w:firstColumn="0" w:lastColumn="0" w:oddVBand="1" w:evenVBand="0" w:oddHBand="0" w:evenHBand="0" w:firstRowFirstColumn="0" w:firstRowLastColumn="0" w:lastRowFirstColumn="0" w:lastRowLastColumn="0"/>
            <w:tcW w:w="861" w:type="pct"/>
            <w:vAlign w:val="center"/>
          </w:tcPr>
          <w:p w:rsidR="00B1457B" w:rsidRPr="0019406C" w:rsidRDefault="00B1457B" w:rsidP="00E061A2">
            <w:pPr>
              <w:jc w:val="center"/>
              <w:rPr>
                <w:rFonts w:asciiTheme="majorHAnsi" w:eastAsia="Cambria" w:hAnsiTheme="majorHAnsi" w:cs="Times New Roman"/>
                <w:lang w:val="lv-LV"/>
              </w:rPr>
            </w:pPr>
            <w:r w:rsidRPr="0019406C">
              <w:rPr>
                <w:rFonts w:asciiTheme="majorHAnsi" w:eastAsia="Cambria" w:hAnsiTheme="majorHAnsi" w:cs="Times New Roman"/>
                <w:lang w:val="lv-LV"/>
              </w:rPr>
              <w:t>11</w:t>
            </w:r>
          </w:p>
        </w:tc>
        <w:tc>
          <w:tcPr>
            <w:tcW w:w="860" w:type="pct"/>
            <w:vAlign w:val="center"/>
          </w:tcPr>
          <w:p w:rsidR="00B1457B" w:rsidRPr="0019406C" w:rsidRDefault="00B1457B" w:rsidP="00E061A2">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5</w:t>
            </w:r>
          </w:p>
        </w:tc>
        <w:tc>
          <w:tcPr>
            <w:cnfStyle w:val="000010000000" w:firstRow="0" w:lastRow="0" w:firstColumn="0" w:lastColumn="0" w:oddVBand="1" w:evenVBand="0" w:oddHBand="0" w:evenHBand="0" w:firstRowFirstColumn="0" w:firstRowLastColumn="0" w:lastRowFirstColumn="0" w:lastRowLastColumn="0"/>
            <w:tcW w:w="855" w:type="pct"/>
            <w:vAlign w:val="center"/>
          </w:tcPr>
          <w:p w:rsidR="00B1457B" w:rsidRPr="0019406C" w:rsidRDefault="00B1457B" w:rsidP="00E061A2">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6</w:t>
            </w:r>
          </w:p>
        </w:tc>
      </w:tr>
      <w:tr w:rsidR="00B1457B" w:rsidRPr="0019406C" w:rsidTr="00E061A2">
        <w:trPr>
          <w:trHeight w:val="272"/>
        </w:trPr>
        <w:tc>
          <w:tcPr>
            <w:cnfStyle w:val="001000000000" w:firstRow="0" w:lastRow="0" w:firstColumn="1" w:lastColumn="0" w:oddVBand="0" w:evenVBand="0" w:oddHBand="0" w:evenHBand="0" w:firstRowFirstColumn="0" w:firstRowLastColumn="0" w:lastRowFirstColumn="0" w:lastRowLastColumn="0"/>
            <w:tcW w:w="2424" w:type="pct"/>
            <w:vAlign w:val="center"/>
          </w:tcPr>
          <w:p w:rsidR="00B1457B" w:rsidRPr="0019406C" w:rsidRDefault="00B1457B" w:rsidP="00E061A2">
            <w:pPr>
              <w:rPr>
                <w:rFonts w:asciiTheme="majorHAnsi" w:eastAsia="Cambria" w:hAnsiTheme="majorHAnsi" w:cs="Times New Roman"/>
                <w:b w:val="0"/>
                <w:lang w:val="lv-LV"/>
              </w:rPr>
            </w:pPr>
            <w:r w:rsidRPr="0019406C">
              <w:rPr>
                <w:rFonts w:asciiTheme="majorHAnsi" w:eastAsia="Cambria" w:hAnsiTheme="majorHAnsi" w:cs="Times New Roman"/>
                <w:b w:val="0"/>
                <w:lang w:val="lv-LV"/>
              </w:rPr>
              <w:t>Dānija</w:t>
            </w:r>
          </w:p>
        </w:tc>
        <w:tc>
          <w:tcPr>
            <w:cnfStyle w:val="000010000000" w:firstRow="0" w:lastRow="0" w:firstColumn="0" w:lastColumn="0" w:oddVBand="1" w:evenVBand="0" w:oddHBand="0" w:evenHBand="0" w:firstRowFirstColumn="0" w:firstRowLastColumn="0" w:lastRowFirstColumn="0" w:lastRowLastColumn="0"/>
            <w:tcW w:w="861" w:type="pct"/>
            <w:vAlign w:val="center"/>
          </w:tcPr>
          <w:p w:rsidR="00B1457B" w:rsidRPr="0019406C" w:rsidRDefault="00B1457B" w:rsidP="00E061A2">
            <w:pPr>
              <w:jc w:val="center"/>
              <w:rPr>
                <w:rFonts w:asciiTheme="majorHAnsi" w:eastAsia="Cambria" w:hAnsiTheme="majorHAnsi" w:cs="Times New Roman"/>
                <w:lang w:val="lv-LV"/>
              </w:rPr>
            </w:pPr>
            <w:r w:rsidRPr="0019406C">
              <w:rPr>
                <w:rFonts w:asciiTheme="majorHAnsi" w:eastAsia="Cambria" w:hAnsiTheme="majorHAnsi" w:cs="Times New Roman"/>
                <w:lang w:val="lv-LV"/>
              </w:rPr>
              <w:t>5</w:t>
            </w:r>
          </w:p>
        </w:tc>
        <w:tc>
          <w:tcPr>
            <w:tcW w:w="860" w:type="pct"/>
            <w:vAlign w:val="center"/>
          </w:tcPr>
          <w:p w:rsidR="00B1457B" w:rsidRPr="0019406C" w:rsidRDefault="00B1457B" w:rsidP="00E061A2">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6</w:t>
            </w:r>
          </w:p>
        </w:tc>
        <w:tc>
          <w:tcPr>
            <w:cnfStyle w:val="000010000000" w:firstRow="0" w:lastRow="0" w:firstColumn="0" w:lastColumn="0" w:oddVBand="1" w:evenVBand="0" w:oddHBand="0" w:evenHBand="0" w:firstRowFirstColumn="0" w:firstRowLastColumn="0" w:lastRowFirstColumn="0" w:lastRowLastColumn="0"/>
            <w:tcW w:w="855" w:type="pct"/>
            <w:vAlign w:val="center"/>
          </w:tcPr>
          <w:p w:rsidR="00B1457B" w:rsidRPr="0019406C" w:rsidRDefault="00B1457B" w:rsidP="00E061A2">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w:t>
            </w:r>
          </w:p>
        </w:tc>
      </w:tr>
      <w:tr w:rsidR="00B1457B" w:rsidRPr="0019406C" w:rsidTr="00E061A2">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2424" w:type="pct"/>
            <w:vAlign w:val="center"/>
          </w:tcPr>
          <w:p w:rsidR="00B1457B" w:rsidRPr="0019406C" w:rsidRDefault="00B1457B" w:rsidP="00E061A2">
            <w:pPr>
              <w:rPr>
                <w:rFonts w:asciiTheme="majorHAnsi" w:eastAsia="Cambria" w:hAnsiTheme="majorHAnsi" w:cs="Times New Roman"/>
                <w:b w:val="0"/>
                <w:lang w:val="lv-LV"/>
              </w:rPr>
            </w:pPr>
            <w:r w:rsidRPr="0019406C">
              <w:rPr>
                <w:rFonts w:asciiTheme="majorHAnsi" w:eastAsia="Cambria" w:hAnsiTheme="majorHAnsi" w:cs="Times New Roman"/>
                <w:b w:val="0"/>
                <w:lang w:val="lv-LV"/>
              </w:rPr>
              <w:t>Zviedrija</w:t>
            </w:r>
          </w:p>
        </w:tc>
        <w:tc>
          <w:tcPr>
            <w:cnfStyle w:val="000010000000" w:firstRow="0" w:lastRow="0" w:firstColumn="0" w:lastColumn="0" w:oddVBand="1" w:evenVBand="0" w:oddHBand="0" w:evenHBand="0" w:firstRowFirstColumn="0" w:firstRowLastColumn="0" w:lastRowFirstColumn="0" w:lastRowLastColumn="0"/>
            <w:tcW w:w="861" w:type="pct"/>
            <w:vAlign w:val="center"/>
          </w:tcPr>
          <w:p w:rsidR="00B1457B" w:rsidRPr="0019406C" w:rsidRDefault="00B1457B" w:rsidP="00E061A2">
            <w:pPr>
              <w:jc w:val="center"/>
              <w:rPr>
                <w:rFonts w:asciiTheme="majorHAnsi" w:eastAsia="Cambria" w:hAnsiTheme="majorHAnsi" w:cs="Times New Roman"/>
                <w:lang w:val="lv-LV"/>
              </w:rPr>
            </w:pPr>
            <w:r w:rsidRPr="0019406C">
              <w:rPr>
                <w:rFonts w:asciiTheme="majorHAnsi" w:eastAsia="Cambria" w:hAnsiTheme="majorHAnsi" w:cs="Times New Roman"/>
                <w:lang w:val="lv-LV"/>
              </w:rPr>
              <w:t>12</w:t>
            </w:r>
          </w:p>
        </w:tc>
        <w:tc>
          <w:tcPr>
            <w:tcW w:w="860" w:type="pct"/>
            <w:vAlign w:val="center"/>
          </w:tcPr>
          <w:p w:rsidR="00B1457B" w:rsidRPr="0019406C" w:rsidRDefault="00B1457B" w:rsidP="00E061A2">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14</w:t>
            </w:r>
          </w:p>
        </w:tc>
        <w:tc>
          <w:tcPr>
            <w:cnfStyle w:val="000010000000" w:firstRow="0" w:lastRow="0" w:firstColumn="0" w:lastColumn="0" w:oddVBand="1" w:evenVBand="0" w:oddHBand="0" w:evenHBand="0" w:firstRowFirstColumn="0" w:firstRowLastColumn="0" w:lastRowFirstColumn="0" w:lastRowLastColumn="0"/>
            <w:tcW w:w="855" w:type="pct"/>
            <w:vAlign w:val="center"/>
          </w:tcPr>
          <w:p w:rsidR="00B1457B" w:rsidRPr="0019406C" w:rsidRDefault="00B1457B" w:rsidP="00E061A2">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-2</w:t>
            </w:r>
          </w:p>
        </w:tc>
      </w:tr>
      <w:tr w:rsidR="00B1457B" w:rsidRPr="0019406C" w:rsidTr="00E061A2">
        <w:trPr>
          <w:trHeight w:val="272"/>
        </w:trPr>
        <w:tc>
          <w:tcPr>
            <w:cnfStyle w:val="001000000000" w:firstRow="0" w:lastRow="0" w:firstColumn="1" w:lastColumn="0" w:oddVBand="0" w:evenVBand="0" w:oddHBand="0" w:evenHBand="0" w:firstRowFirstColumn="0" w:firstRowLastColumn="0" w:lastRowFirstColumn="0" w:lastRowLastColumn="0"/>
            <w:tcW w:w="2424" w:type="pct"/>
            <w:vAlign w:val="center"/>
          </w:tcPr>
          <w:p w:rsidR="00B1457B" w:rsidRPr="0019406C" w:rsidRDefault="00B1457B" w:rsidP="00E061A2">
            <w:pPr>
              <w:rPr>
                <w:rFonts w:asciiTheme="majorHAnsi" w:eastAsia="Cambria" w:hAnsiTheme="majorHAnsi" w:cs="Times New Roman"/>
                <w:b w:val="0"/>
                <w:lang w:val="lv-LV"/>
              </w:rPr>
            </w:pPr>
            <w:r w:rsidRPr="0019406C">
              <w:rPr>
                <w:rFonts w:asciiTheme="majorHAnsi" w:eastAsia="Cambria" w:hAnsiTheme="majorHAnsi" w:cs="Times New Roman"/>
                <w:b w:val="0"/>
                <w:lang w:val="lv-LV"/>
              </w:rPr>
              <w:t>Čehija</w:t>
            </w:r>
          </w:p>
        </w:tc>
        <w:tc>
          <w:tcPr>
            <w:cnfStyle w:val="000010000000" w:firstRow="0" w:lastRow="0" w:firstColumn="0" w:lastColumn="0" w:oddVBand="1" w:evenVBand="0" w:oddHBand="0" w:evenHBand="0" w:firstRowFirstColumn="0" w:firstRowLastColumn="0" w:lastRowFirstColumn="0" w:lastRowLastColumn="0"/>
            <w:tcW w:w="861" w:type="pct"/>
            <w:vAlign w:val="center"/>
          </w:tcPr>
          <w:p w:rsidR="00B1457B" w:rsidRPr="0019406C" w:rsidRDefault="00B1457B" w:rsidP="00E061A2">
            <w:pPr>
              <w:jc w:val="center"/>
              <w:rPr>
                <w:rFonts w:asciiTheme="majorHAnsi" w:eastAsia="Cambria" w:hAnsiTheme="majorHAnsi" w:cs="Times New Roman"/>
                <w:lang w:val="lv-LV"/>
              </w:rPr>
            </w:pPr>
            <w:r w:rsidRPr="0019406C">
              <w:rPr>
                <w:rFonts w:asciiTheme="majorHAnsi" w:eastAsia="Cambria" w:hAnsiTheme="majorHAnsi" w:cs="Times New Roman"/>
                <w:lang w:val="lv-LV"/>
              </w:rPr>
              <w:t>16</w:t>
            </w:r>
          </w:p>
        </w:tc>
        <w:tc>
          <w:tcPr>
            <w:tcW w:w="860" w:type="pct"/>
            <w:vAlign w:val="center"/>
          </w:tcPr>
          <w:p w:rsidR="00B1457B" w:rsidRPr="0019406C" w:rsidRDefault="00B1457B" w:rsidP="00E061A2">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20</w:t>
            </w:r>
          </w:p>
        </w:tc>
        <w:tc>
          <w:tcPr>
            <w:cnfStyle w:val="000010000000" w:firstRow="0" w:lastRow="0" w:firstColumn="0" w:lastColumn="0" w:oddVBand="1" w:evenVBand="0" w:oddHBand="0" w:evenHBand="0" w:firstRowFirstColumn="0" w:firstRowLastColumn="0" w:lastRowFirstColumn="0" w:lastRowLastColumn="0"/>
            <w:tcW w:w="855" w:type="pct"/>
            <w:vAlign w:val="center"/>
          </w:tcPr>
          <w:p w:rsidR="00B1457B" w:rsidRPr="0019406C" w:rsidRDefault="00B1457B" w:rsidP="00E061A2">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-4</w:t>
            </w:r>
          </w:p>
        </w:tc>
      </w:tr>
      <w:tr w:rsidR="00B1457B" w:rsidRPr="0019406C" w:rsidTr="00E061A2">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2424" w:type="pct"/>
            <w:vAlign w:val="center"/>
          </w:tcPr>
          <w:p w:rsidR="00B1457B" w:rsidRPr="0019406C" w:rsidRDefault="00B1457B" w:rsidP="00E061A2">
            <w:pPr>
              <w:rPr>
                <w:rFonts w:asciiTheme="majorHAnsi" w:eastAsia="Cambria" w:hAnsiTheme="majorHAnsi" w:cs="Times New Roman"/>
                <w:b w:val="0"/>
                <w:lang w:val="lv-LV"/>
              </w:rPr>
            </w:pPr>
            <w:r w:rsidRPr="0019406C">
              <w:rPr>
                <w:rFonts w:asciiTheme="majorHAnsi" w:eastAsia="Cambria" w:hAnsiTheme="majorHAnsi" w:cs="Times New Roman"/>
                <w:b w:val="0"/>
                <w:lang w:val="lv-LV"/>
              </w:rPr>
              <w:t>Lietuva</w:t>
            </w:r>
          </w:p>
        </w:tc>
        <w:tc>
          <w:tcPr>
            <w:cnfStyle w:val="000010000000" w:firstRow="0" w:lastRow="0" w:firstColumn="0" w:lastColumn="0" w:oddVBand="1" w:evenVBand="0" w:oddHBand="0" w:evenHBand="0" w:firstRowFirstColumn="0" w:firstRowLastColumn="0" w:lastRowFirstColumn="0" w:lastRowLastColumn="0"/>
            <w:tcW w:w="861" w:type="pct"/>
            <w:vAlign w:val="center"/>
          </w:tcPr>
          <w:p w:rsidR="00B1457B" w:rsidRPr="0019406C" w:rsidRDefault="00B1457B" w:rsidP="00E061A2">
            <w:pPr>
              <w:jc w:val="center"/>
              <w:rPr>
                <w:rFonts w:asciiTheme="majorHAnsi" w:eastAsia="Cambria" w:hAnsiTheme="majorHAnsi" w:cs="Times New Roman"/>
                <w:lang w:val="lv-LV"/>
              </w:rPr>
            </w:pPr>
            <w:r w:rsidRPr="0019406C">
              <w:rPr>
                <w:rFonts w:asciiTheme="majorHAnsi" w:eastAsia="Cambria" w:hAnsiTheme="majorHAnsi" w:cs="Times New Roman"/>
                <w:lang w:val="lv-LV"/>
              </w:rPr>
              <w:t>41</w:t>
            </w:r>
          </w:p>
        </w:tc>
        <w:tc>
          <w:tcPr>
            <w:tcW w:w="860" w:type="pct"/>
            <w:vAlign w:val="center"/>
          </w:tcPr>
          <w:p w:rsidR="00B1457B" w:rsidRPr="0019406C" w:rsidRDefault="00B1457B" w:rsidP="00E061A2">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46</w:t>
            </w:r>
          </w:p>
        </w:tc>
        <w:tc>
          <w:tcPr>
            <w:cnfStyle w:val="000010000000" w:firstRow="0" w:lastRow="0" w:firstColumn="0" w:lastColumn="0" w:oddVBand="1" w:evenVBand="0" w:oddHBand="0" w:evenHBand="0" w:firstRowFirstColumn="0" w:firstRowLastColumn="0" w:lastRowFirstColumn="0" w:lastRowLastColumn="0"/>
            <w:tcW w:w="855" w:type="pct"/>
            <w:vAlign w:val="center"/>
          </w:tcPr>
          <w:p w:rsidR="00B1457B" w:rsidRPr="0019406C" w:rsidRDefault="00B1457B" w:rsidP="00E061A2">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-5</w:t>
            </w:r>
          </w:p>
        </w:tc>
      </w:tr>
      <w:tr w:rsidR="00B1457B" w:rsidRPr="0019406C" w:rsidTr="00E061A2">
        <w:trPr>
          <w:trHeight w:val="264"/>
        </w:trPr>
        <w:tc>
          <w:tcPr>
            <w:cnfStyle w:val="001000000000" w:firstRow="0" w:lastRow="0" w:firstColumn="1" w:lastColumn="0" w:oddVBand="0" w:evenVBand="0" w:oddHBand="0" w:evenHBand="0" w:firstRowFirstColumn="0" w:firstRowLastColumn="0" w:lastRowFirstColumn="0" w:lastRowLastColumn="0"/>
            <w:tcW w:w="2424" w:type="pct"/>
            <w:vAlign w:val="center"/>
          </w:tcPr>
          <w:p w:rsidR="00B1457B" w:rsidRPr="0019406C" w:rsidRDefault="00B1457B" w:rsidP="00E061A2">
            <w:pPr>
              <w:rPr>
                <w:rFonts w:asciiTheme="majorHAnsi" w:eastAsia="Cambria" w:hAnsiTheme="majorHAnsi" w:cs="Times New Roman"/>
                <w:b w:val="0"/>
                <w:lang w:val="lv-LV"/>
              </w:rPr>
            </w:pPr>
            <w:r w:rsidRPr="0019406C">
              <w:rPr>
                <w:rFonts w:asciiTheme="majorHAnsi" w:eastAsia="Cambria" w:hAnsiTheme="majorHAnsi" w:cs="Times New Roman"/>
                <w:b w:val="0"/>
                <w:lang w:val="lv-LV"/>
              </w:rPr>
              <w:t>Polija</w:t>
            </w:r>
          </w:p>
        </w:tc>
        <w:tc>
          <w:tcPr>
            <w:cnfStyle w:val="000010000000" w:firstRow="0" w:lastRow="0" w:firstColumn="0" w:lastColumn="0" w:oddVBand="1" w:evenVBand="0" w:oddHBand="0" w:evenHBand="0" w:firstRowFirstColumn="0" w:firstRowLastColumn="0" w:lastRowFirstColumn="0" w:lastRowLastColumn="0"/>
            <w:tcW w:w="861" w:type="pct"/>
            <w:vAlign w:val="center"/>
          </w:tcPr>
          <w:p w:rsidR="00B1457B" w:rsidRPr="0019406C" w:rsidRDefault="00B1457B" w:rsidP="00E061A2">
            <w:pPr>
              <w:jc w:val="center"/>
              <w:rPr>
                <w:rFonts w:asciiTheme="majorHAnsi" w:eastAsia="Cambria" w:hAnsiTheme="majorHAnsi" w:cs="Times New Roman"/>
                <w:lang w:val="lv-LV"/>
              </w:rPr>
            </w:pPr>
            <w:r w:rsidRPr="0019406C">
              <w:rPr>
                <w:rFonts w:asciiTheme="majorHAnsi" w:eastAsia="Cambria" w:hAnsiTheme="majorHAnsi" w:cs="Times New Roman"/>
                <w:lang w:val="lv-LV"/>
              </w:rPr>
              <w:t>47</w:t>
            </w:r>
          </w:p>
        </w:tc>
        <w:tc>
          <w:tcPr>
            <w:tcW w:w="860" w:type="pct"/>
            <w:vAlign w:val="center"/>
          </w:tcPr>
          <w:p w:rsidR="00B1457B" w:rsidRPr="0019406C" w:rsidRDefault="00B1457B" w:rsidP="00E061A2">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48</w:t>
            </w:r>
          </w:p>
        </w:tc>
        <w:tc>
          <w:tcPr>
            <w:cnfStyle w:val="000010000000" w:firstRow="0" w:lastRow="0" w:firstColumn="0" w:lastColumn="0" w:oddVBand="1" w:evenVBand="0" w:oddHBand="0" w:evenHBand="0" w:firstRowFirstColumn="0" w:firstRowLastColumn="0" w:lastRowFirstColumn="0" w:lastRowLastColumn="0"/>
            <w:tcW w:w="855" w:type="pct"/>
            <w:vAlign w:val="center"/>
          </w:tcPr>
          <w:p w:rsidR="00B1457B" w:rsidRPr="0019406C" w:rsidRDefault="00B1457B" w:rsidP="00E061A2">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w:t>
            </w:r>
          </w:p>
        </w:tc>
      </w:tr>
      <w:tr w:rsidR="00B1457B" w:rsidRPr="0019406C" w:rsidTr="00E061A2">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424" w:type="pct"/>
            <w:shd w:val="clear" w:color="auto" w:fill="FFE199" w:themeFill="accent2" w:themeFillTint="66"/>
            <w:vAlign w:val="center"/>
          </w:tcPr>
          <w:p w:rsidR="00B1457B" w:rsidRPr="0019406C" w:rsidRDefault="00B1457B" w:rsidP="00E061A2">
            <w:pPr>
              <w:rPr>
                <w:rFonts w:asciiTheme="majorHAnsi" w:eastAsia="Cambria" w:hAnsiTheme="majorHAnsi" w:cs="Times New Roman"/>
                <w:b w:val="0"/>
                <w:lang w:val="lv-LV"/>
              </w:rPr>
            </w:pPr>
            <w:r w:rsidRPr="0019406C">
              <w:rPr>
                <w:rFonts w:asciiTheme="majorHAnsi" w:eastAsia="Cambria" w:hAnsiTheme="majorHAnsi" w:cs="Times New Roman"/>
                <w:b w:val="0"/>
                <w:lang w:val="lv-LV"/>
              </w:rPr>
              <w:t>Latvija</w:t>
            </w:r>
          </w:p>
        </w:tc>
        <w:tc>
          <w:tcPr>
            <w:cnfStyle w:val="000010000000" w:firstRow="0" w:lastRow="0" w:firstColumn="0" w:lastColumn="0" w:oddVBand="1" w:evenVBand="0" w:oddHBand="0" w:evenHBand="0" w:firstRowFirstColumn="0" w:firstRowLastColumn="0" w:lastRowFirstColumn="0" w:lastRowLastColumn="0"/>
            <w:tcW w:w="861" w:type="pct"/>
            <w:shd w:val="clear" w:color="auto" w:fill="FFE199" w:themeFill="accent2" w:themeFillTint="66"/>
            <w:vAlign w:val="center"/>
          </w:tcPr>
          <w:p w:rsidR="00B1457B" w:rsidRPr="0019406C" w:rsidRDefault="00B1457B" w:rsidP="00E061A2">
            <w:pPr>
              <w:jc w:val="center"/>
              <w:rPr>
                <w:rFonts w:asciiTheme="majorHAnsi" w:eastAsia="Cambria" w:hAnsiTheme="majorHAnsi" w:cs="Times New Roman"/>
                <w:lang w:val="lv-LV"/>
              </w:rPr>
            </w:pPr>
            <w:r w:rsidRPr="0019406C">
              <w:rPr>
                <w:rFonts w:asciiTheme="majorHAnsi" w:eastAsia="Cambria" w:hAnsiTheme="majorHAnsi" w:cs="Times New Roman"/>
                <w:lang w:val="lv-LV"/>
              </w:rPr>
              <w:t>65</w:t>
            </w:r>
          </w:p>
        </w:tc>
        <w:tc>
          <w:tcPr>
            <w:tcW w:w="860" w:type="pct"/>
            <w:shd w:val="clear" w:color="auto" w:fill="FFE199" w:themeFill="accent2" w:themeFillTint="66"/>
            <w:vAlign w:val="center"/>
          </w:tcPr>
          <w:p w:rsidR="00B1457B" w:rsidRPr="0019406C" w:rsidRDefault="00B1457B" w:rsidP="00E061A2">
            <w:pPr>
              <w:jc w:val="cente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54</w:t>
            </w:r>
          </w:p>
        </w:tc>
        <w:tc>
          <w:tcPr>
            <w:cnfStyle w:val="000010000000" w:firstRow="0" w:lastRow="0" w:firstColumn="0" w:lastColumn="0" w:oddVBand="1" w:evenVBand="0" w:oddHBand="0" w:evenHBand="0" w:firstRowFirstColumn="0" w:firstRowLastColumn="0" w:lastRowFirstColumn="0" w:lastRowLastColumn="0"/>
            <w:tcW w:w="855" w:type="pct"/>
            <w:shd w:val="clear" w:color="auto" w:fill="FFE199" w:themeFill="accent2" w:themeFillTint="66"/>
            <w:vAlign w:val="center"/>
          </w:tcPr>
          <w:p w:rsidR="00B1457B" w:rsidRPr="0019406C" w:rsidRDefault="00B1457B" w:rsidP="00E061A2">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11</w:t>
            </w:r>
          </w:p>
        </w:tc>
      </w:tr>
      <w:tr w:rsidR="00B1457B" w:rsidRPr="0019406C" w:rsidTr="00E061A2">
        <w:trPr>
          <w:trHeight w:val="270"/>
        </w:trPr>
        <w:tc>
          <w:tcPr>
            <w:cnfStyle w:val="001000000000" w:firstRow="0" w:lastRow="0" w:firstColumn="1" w:lastColumn="0" w:oddVBand="0" w:evenVBand="0" w:oddHBand="0" w:evenHBand="0" w:firstRowFirstColumn="0" w:firstRowLastColumn="0" w:lastRowFirstColumn="0" w:lastRowLastColumn="0"/>
            <w:tcW w:w="2424" w:type="pct"/>
            <w:vAlign w:val="center"/>
          </w:tcPr>
          <w:p w:rsidR="00B1457B" w:rsidRPr="0019406C" w:rsidRDefault="00B1457B" w:rsidP="00E061A2">
            <w:pPr>
              <w:rPr>
                <w:rFonts w:asciiTheme="majorHAnsi" w:eastAsia="Cambria" w:hAnsiTheme="majorHAnsi" w:cs="Times New Roman"/>
                <w:b w:val="0"/>
                <w:lang w:val="lv-LV"/>
              </w:rPr>
            </w:pPr>
            <w:r w:rsidRPr="0019406C">
              <w:rPr>
                <w:rFonts w:asciiTheme="majorHAnsi" w:eastAsia="Cambria" w:hAnsiTheme="majorHAnsi" w:cs="Times New Roman"/>
                <w:b w:val="0"/>
                <w:lang w:val="lv-LV"/>
              </w:rPr>
              <w:t>Igaunija</w:t>
            </w:r>
          </w:p>
        </w:tc>
        <w:tc>
          <w:tcPr>
            <w:cnfStyle w:val="000010000000" w:firstRow="0" w:lastRow="0" w:firstColumn="0" w:lastColumn="0" w:oddVBand="1" w:evenVBand="0" w:oddHBand="0" w:evenHBand="0" w:firstRowFirstColumn="0" w:firstRowLastColumn="0" w:lastRowFirstColumn="0" w:lastRowLastColumn="0"/>
            <w:tcW w:w="861" w:type="pct"/>
            <w:vAlign w:val="center"/>
          </w:tcPr>
          <w:p w:rsidR="00B1457B" w:rsidRPr="0019406C" w:rsidRDefault="00B1457B" w:rsidP="00E061A2">
            <w:pPr>
              <w:jc w:val="center"/>
              <w:rPr>
                <w:rFonts w:asciiTheme="majorHAnsi" w:eastAsia="Cambria" w:hAnsiTheme="majorHAnsi" w:cs="Times New Roman"/>
                <w:lang w:val="lv-LV"/>
              </w:rPr>
            </w:pPr>
            <w:r w:rsidRPr="0019406C">
              <w:rPr>
                <w:rFonts w:asciiTheme="majorHAnsi" w:eastAsia="Cambria" w:hAnsiTheme="majorHAnsi" w:cs="Times New Roman"/>
                <w:lang w:val="lv-LV"/>
              </w:rPr>
              <w:t>58</w:t>
            </w:r>
          </w:p>
        </w:tc>
        <w:tc>
          <w:tcPr>
            <w:tcW w:w="860" w:type="pct"/>
            <w:vAlign w:val="center"/>
          </w:tcPr>
          <w:p w:rsidR="00B1457B" w:rsidRPr="0019406C" w:rsidRDefault="00B1457B" w:rsidP="00E061A2">
            <w:pPr>
              <w:jc w:val="cente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68</w:t>
            </w:r>
          </w:p>
        </w:tc>
        <w:tc>
          <w:tcPr>
            <w:cnfStyle w:val="000010000000" w:firstRow="0" w:lastRow="0" w:firstColumn="0" w:lastColumn="0" w:oddVBand="1" w:evenVBand="0" w:oddHBand="0" w:evenHBand="0" w:firstRowFirstColumn="0" w:firstRowLastColumn="0" w:lastRowFirstColumn="0" w:lastRowLastColumn="0"/>
            <w:tcW w:w="855" w:type="pct"/>
            <w:vAlign w:val="center"/>
          </w:tcPr>
          <w:p w:rsidR="00B1457B" w:rsidRPr="0019406C" w:rsidRDefault="00B1457B" w:rsidP="00E061A2">
            <w:pPr>
              <w:jc w:val="center"/>
              <w:rPr>
                <w:rFonts w:asciiTheme="majorHAnsi" w:eastAsia="Cambria" w:hAnsiTheme="majorHAnsi" w:cs="Times New Roman"/>
                <w:b/>
                <w:lang w:val="lv-LV"/>
              </w:rPr>
            </w:pPr>
            <w:r w:rsidRPr="0019406C">
              <w:rPr>
                <w:rFonts w:ascii="Times New Roman" w:eastAsia="Cambria" w:hAnsi="Times New Roman" w:cs="Times New Roman"/>
                <w:b/>
                <w:lang w:val="lv-LV"/>
              </w:rPr>
              <w:t>↓</w:t>
            </w:r>
            <w:r w:rsidRPr="0019406C">
              <w:rPr>
                <w:rFonts w:asciiTheme="majorHAnsi" w:eastAsia="Cambria" w:hAnsiTheme="majorHAnsi" w:cs="Times New Roman"/>
                <w:b/>
                <w:lang w:val="lv-LV"/>
              </w:rPr>
              <w:t xml:space="preserve"> -10</w:t>
            </w:r>
          </w:p>
        </w:tc>
      </w:tr>
    </w:tbl>
    <w:p w:rsidR="00B1457B" w:rsidRPr="0019406C" w:rsidRDefault="00B1457B" w:rsidP="00B1457B">
      <w:pPr>
        <w:pStyle w:val="BodyText"/>
        <w:rPr>
          <w:rFonts w:asciiTheme="majorHAnsi" w:hAnsiTheme="majorHAnsi"/>
          <w:lang w:val="lv-LV"/>
        </w:rPr>
      </w:pPr>
    </w:p>
    <w:p w:rsidR="00B1457B" w:rsidRPr="0019406C" w:rsidRDefault="00B1457B" w:rsidP="00B1457B">
      <w:pPr>
        <w:pStyle w:val="BodyText"/>
        <w:spacing w:line="276" w:lineRule="auto"/>
        <w:jc w:val="both"/>
        <w:rPr>
          <w:rFonts w:asciiTheme="majorHAnsi" w:hAnsiTheme="majorHAnsi"/>
          <w:lang w:val="lv-LV"/>
        </w:rPr>
      </w:pPr>
      <w:r w:rsidRPr="0019406C">
        <w:rPr>
          <w:rFonts w:asciiTheme="majorHAnsi" w:hAnsiTheme="majorHAnsi"/>
          <w:lang w:val="lv-LV"/>
        </w:rPr>
        <w:t xml:space="preserve">Pēc GKI indeksa rezultātiem, Latvija starp konkurējošām valstīm elektrības pieslēguma jomā ierindojas vienā no pēdējām pozīcijām, pēdējā gadā apsteidzot un aiz sevis atstājot vien Igauniju. Tādēļ Latvijai šīs jomas uzlabošanai būtu jāvelta papildus uzmanība. </w:t>
      </w:r>
    </w:p>
    <w:p w:rsidR="00B1457B" w:rsidRPr="0019406C" w:rsidRDefault="0090224F" w:rsidP="00B1457B">
      <w:pPr>
        <w:pStyle w:val="BodyText"/>
        <w:rPr>
          <w:rFonts w:asciiTheme="majorHAnsi" w:hAnsiTheme="majorHAnsi"/>
          <w:b/>
          <w:sz w:val="22"/>
          <w:lang w:val="lv-LV"/>
        </w:rPr>
      </w:pPr>
      <w:r w:rsidRPr="0019406C">
        <w:rPr>
          <w:rFonts w:asciiTheme="majorHAnsi" w:hAnsiTheme="majorHAnsi"/>
          <w:b/>
          <w:sz w:val="22"/>
          <w:lang w:val="lv-LV"/>
        </w:rPr>
        <w:t xml:space="preserve">Secinājumi un priekšlikumi </w:t>
      </w:r>
    </w:p>
    <w:p w:rsidR="00B1457B" w:rsidRPr="0019406C" w:rsidRDefault="0048052E" w:rsidP="00444A73">
      <w:pPr>
        <w:pStyle w:val="BodyText"/>
        <w:spacing w:line="276" w:lineRule="auto"/>
        <w:jc w:val="both"/>
        <w:rPr>
          <w:rFonts w:asciiTheme="majorHAnsi" w:hAnsiTheme="majorHAnsi"/>
          <w:lang w:val="lv-LV"/>
        </w:rPr>
      </w:pPr>
      <w:r w:rsidRPr="0019406C">
        <w:rPr>
          <w:rFonts w:asciiTheme="majorHAnsi" w:hAnsiTheme="majorHAnsi"/>
          <w:lang w:val="lv-LV"/>
        </w:rPr>
        <w:t xml:space="preserve">Šī pētījuma ietvaros, ņemot vērā zemo respondentu skaitu </w:t>
      </w:r>
      <w:r w:rsidR="00627B52" w:rsidRPr="0019406C">
        <w:rPr>
          <w:rFonts w:asciiTheme="majorHAnsi" w:hAnsiTheme="majorHAnsi"/>
          <w:lang w:val="lv-LV"/>
        </w:rPr>
        <w:t>uzņēmēju</w:t>
      </w:r>
      <w:r w:rsidRPr="0019406C">
        <w:rPr>
          <w:rFonts w:asciiTheme="majorHAnsi" w:hAnsiTheme="majorHAnsi"/>
          <w:lang w:val="lv-LV"/>
        </w:rPr>
        <w:t xml:space="preserve"> aptaujā, priekšlikumi šajā jomā netiek izvirzīti</w:t>
      </w:r>
      <w:r w:rsidR="00AF27D8" w:rsidRPr="0019406C">
        <w:rPr>
          <w:rFonts w:asciiTheme="majorHAnsi" w:hAnsiTheme="majorHAnsi"/>
          <w:lang w:val="lv-LV"/>
        </w:rPr>
        <w:t>, taču tika organizēta ekspertu diskusija, lai pārrunātu uzņēmēju aptaujas rezultātus, kā arī diskusiju tēmas</w:t>
      </w:r>
      <w:r w:rsidR="002B2565" w:rsidRPr="0019406C">
        <w:rPr>
          <w:rFonts w:asciiTheme="majorHAnsi" w:hAnsiTheme="majorHAnsi"/>
          <w:lang w:val="lv-LV"/>
        </w:rPr>
        <w:t xml:space="preserve"> par laika patēriņu un izmaksām</w:t>
      </w:r>
      <w:r w:rsidR="00AF27D8" w:rsidRPr="0019406C">
        <w:rPr>
          <w:rFonts w:asciiTheme="majorHAnsi" w:hAnsiTheme="majorHAnsi"/>
          <w:lang w:val="lv-LV"/>
        </w:rPr>
        <w:t>.</w:t>
      </w:r>
    </w:p>
    <w:p w:rsidR="003B0208" w:rsidRPr="0019406C" w:rsidRDefault="00AF27D8" w:rsidP="00444A73">
      <w:pPr>
        <w:pStyle w:val="BodyText"/>
        <w:spacing w:line="276" w:lineRule="auto"/>
        <w:rPr>
          <w:rFonts w:asciiTheme="majorHAnsi" w:hAnsiTheme="majorHAnsi"/>
          <w:b/>
          <w:sz w:val="22"/>
          <w:szCs w:val="22"/>
          <w:lang w:val="lv-LV"/>
        </w:rPr>
      </w:pPr>
      <w:r w:rsidRPr="0019406C">
        <w:rPr>
          <w:rFonts w:asciiTheme="majorHAnsi" w:hAnsiTheme="majorHAnsi"/>
          <w:b/>
          <w:sz w:val="22"/>
          <w:szCs w:val="22"/>
          <w:lang w:val="lv-LV"/>
        </w:rPr>
        <w:t>Ekspertu diskusija</w:t>
      </w:r>
    </w:p>
    <w:p w:rsidR="00AF27D8" w:rsidRPr="0019406C" w:rsidRDefault="00AF27D8" w:rsidP="00444A73">
      <w:pPr>
        <w:pStyle w:val="BodyText"/>
        <w:spacing w:line="276" w:lineRule="auto"/>
        <w:rPr>
          <w:rFonts w:asciiTheme="majorHAnsi" w:hAnsiTheme="majorHAnsi"/>
          <w:lang w:val="lv-LV"/>
        </w:rPr>
      </w:pPr>
      <w:r w:rsidRPr="0019406C">
        <w:rPr>
          <w:rFonts w:asciiTheme="majorHAnsi" w:hAnsiTheme="majorHAnsi"/>
          <w:lang w:val="lv-LV"/>
        </w:rPr>
        <w:t>Ekspertu diskusijas laikā tika izdarīti šādi secinājumi:</w:t>
      </w:r>
    </w:p>
    <w:p w:rsidR="00AF27D8" w:rsidRPr="0019406C" w:rsidRDefault="00AF27D8" w:rsidP="00444A73">
      <w:pPr>
        <w:pStyle w:val="BodyText"/>
        <w:numPr>
          <w:ilvl w:val="0"/>
          <w:numId w:val="71"/>
        </w:numPr>
        <w:spacing w:line="276" w:lineRule="auto"/>
        <w:ind w:left="709"/>
        <w:jc w:val="both"/>
        <w:rPr>
          <w:rFonts w:asciiTheme="majorHAnsi" w:hAnsiTheme="majorHAnsi"/>
          <w:lang w:val="lv-LV"/>
        </w:rPr>
      </w:pPr>
      <w:r w:rsidRPr="0019406C">
        <w:rPr>
          <w:rFonts w:asciiTheme="majorHAnsi" w:hAnsiTheme="majorHAnsi"/>
          <w:lang w:val="lv-LV"/>
        </w:rPr>
        <w:t>Doing Business rādītājs atspoguļo pilnas sākotnējās izmaksas uzņēmējam, taču šīs izmaksas tiek kompensētas, kas nozīmē, ka reālās izmaksas ir zemākas par Doing Business rādītāju;</w:t>
      </w:r>
    </w:p>
    <w:p w:rsidR="00AF27D8" w:rsidRPr="0019406C" w:rsidRDefault="00AF27D8" w:rsidP="00444A73">
      <w:pPr>
        <w:pStyle w:val="BodyText"/>
        <w:numPr>
          <w:ilvl w:val="0"/>
          <w:numId w:val="71"/>
        </w:numPr>
        <w:spacing w:line="276" w:lineRule="auto"/>
        <w:ind w:left="709"/>
        <w:jc w:val="both"/>
        <w:rPr>
          <w:rFonts w:asciiTheme="majorHAnsi" w:hAnsiTheme="majorHAnsi"/>
          <w:lang w:val="lv-LV"/>
        </w:rPr>
      </w:pPr>
      <w:r w:rsidRPr="0019406C">
        <w:rPr>
          <w:rFonts w:asciiTheme="majorHAnsi" w:hAnsiTheme="majorHAnsi"/>
          <w:lang w:val="lv-LV"/>
        </w:rPr>
        <w:t xml:space="preserve">Nepieciešamība saskaņot elektroenerģijas pieslēguma izveidi ar apkārtējiem zemju īpašniekiem </w:t>
      </w:r>
      <w:r w:rsidR="0090224F" w:rsidRPr="0019406C">
        <w:rPr>
          <w:rFonts w:asciiTheme="majorHAnsi" w:hAnsiTheme="majorHAnsi"/>
          <w:lang w:val="lv-LV"/>
        </w:rPr>
        <w:t xml:space="preserve">apgrūtina saskaņošanas iespējas, piemēram, jo īpaši daudzdzīvokļu ēkās. Tādējādi ekspertu diskusijas laikā tika secināts, ka attiecībā uz šo jautājumu būtu nepieciešams mainīt </w:t>
      </w:r>
      <w:r w:rsidR="00285663" w:rsidRPr="0019406C">
        <w:rPr>
          <w:rFonts w:asciiTheme="majorHAnsi" w:hAnsiTheme="majorHAnsi"/>
          <w:lang w:val="lv-LV"/>
        </w:rPr>
        <w:t>normatīvajos aktos noteikto</w:t>
      </w:r>
      <w:r w:rsidR="0090224F" w:rsidRPr="0019406C">
        <w:rPr>
          <w:rFonts w:asciiTheme="majorHAnsi" w:hAnsiTheme="majorHAnsi"/>
          <w:lang w:val="lv-LV"/>
        </w:rPr>
        <w:t>.</w:t>
      </w:r>
    </w:p>
    <w:p w:rsidR="0090224F" w:rsidRPr="0019406C" w:rsidRDefault="0090224F" w:rsidP="0090224F">
      <w:pPr>
        <w:pStyle w:val="BodyText"/>
        <w:rPr>
          <w:rFonts w:asciiTheme="majorHAnsi" w:hAnsiTheme="majorHAnsi"/>
          <w:b/>
          <w:sz w:val="22"/>
          <w:szCs w:val="22"/>
          <w:lang w:val="lv-LV"/>
        </w:rPr>
      </w:pPr>
    </w:p>
    <w:p w:rsidR="00AF4D20" w:rsidRPr="0019406C" w:rsidRDefault="00AF4D20" w:rsidP="00AF4D20">
      <w:pPr>
        <w:pStyle w:val="Heading2"/>
        <w:rPr>
          <w:lang w:val="lv-LV"/>
        </w:rPr>
      </w:pPr>
      <w:bookmarkStart w:id="128" w:name="_Toc381343952"/>
      <w:bookmarkStart w:id="129" w:name="_Toc389226089"/>
      <w:r w:rsidRPr="0019406C">
        <w:rPr>
          <w:lang w:val="lv-LV"/>
        </w:rPr>
        <w:t>E-pakalpojumu pieejamība uzņēmējiem valsts un pašvaldību iestādēs</w:t>
      </w:r>
      <w:bookmarkEnd w:id="128"/>
      <w:bookmarkEnd w:id="129"/>
    </w:p>
    <w:p w:rsidR="003F02AC" w:rsidRPr="0019406C" w:rsidRDefault="003F02AC" w:rsidP="003F02AC">
      <w:pPr>
        <w:pStyle w:val="BodyText"/>
        <w:rPr>
          <w:rFonts w:asciiTheme="majorHAnsi" w:hAnsiTheme="majorHAnsi"/>
          <w:lang w:val="lv-LV"/>
        </w:rPr>
      </w:pPr>
    </w:p>
    <w:bookmarkEnd w:id="51"/>
    <w:p w:rsidR="002A2698" w:rsidRPr="0019406C" w:rsidRDefault="002A2698" w:rsidP="00444A73">
      <w:pPr>
        <w:pStyle w:val="BodyText"/>
        <w:spacing w:line="276" w:lineRule="auto"/>
        <w:rPr>
          <w:rFonts w:asciiTheme="majorHAnsi" w:hAnsiTheme="majorHAnsi"/>
          <w:b/>
          <w:sz w:val="22"/>
          <w:lang w:val="lv-LV"/>
        </w:rPr>
      </w:pPr>
      <w:r w:rsidRPr="0019406C">
        <w:rPr>
          <w:rFonts w:asciiTheme="majorHAnsi" w:hAnsiTheme="majorHAnsi"/>
          <w:b/>
          <w:sz w:val="22"/>
          <w:lang w:val="lv-LV"/>
        </w:rPr>
        <w:t>Uzņēmēju aptauja</w:t>
      </w:r>
    </w:p>
    <w:p w:rsidR="001A0E97" w:rsidRPr="0019406C" w:rsidRDefault="001A0E97" w:rsidP="00444A73">
      <w:pPr>
        <w:pStyle w:val="BodyText"/>
        <w:spacing w:line="276" w:lineRule="auto"/>
        <w:jc w:val="both"/>
        <w:rPr>
          <w:rFonts w:asciiTheme="majorHAnsi" w:hAnsiTheme="majorHAnsi"/>
          <w:lang w:val="lv-LV"/>
        </w:rPr>
      </w:pPr>
      <w:r w:rsidRPr="0019406C">
        <w:rPr>
          <w:rFonts w:asciiTheme="majorHAnsi" w:hAnsiTheme="majorHAnsi"/>
          <w:lang w:val="lv-LV"/>
        </w:rPr>
        <w:t>Latvijas Faktu veiktā uzņēmēju aptauja parāda sekojošas tendences:</w:t>
      </w:r>
    </w:p>
    <w:p w:rsidR="001A0E97" w:rsidRPr="0019406C" w:rsidRDefault="001A0E97" w:rsidP="00444A73">
      <w:pPr>
        <w:pStyle w:val="BodyText"/>
        <w:numPr>
          <w:ilvl w:val="0"/>
          <w:numId w:val="49"/>
        </w:numPr>
        <w:spacing w:line="276" w:lineRule="auto"/>
        <w:jc w:val="both"/>
        <w:rPr>
          <w:rFonts w:asciiTheme="majorHAnsi" w:hAnsiTheme="majorHAnsi"/>
          <w:lang w:val="lv-LV"/>
        </w:rPr>
      </w:pPr>
      <w:r w:rsidRPr="0019406C">
        <w:rPr>
          <w:rFonts w:asciiTheme="majorHAnsi" w:hAnsiTheme="majorHAnsi"/>
          <w:lang w:val="lv-LV"/>
        </w:rPr>
        <w:t>Internetu izmanto jau 94</w:t>
      </w:r>
      <w:r w:rsidR="00421B25" w:rsidRPr="0019406C">
        <w:rPr>
          <w:rFonts w:asciiTheme="majorHAnsi" w:hAnsiTheme="majorHAnsi"/>
          <w:lang w:val="lv-LV"/>
        </w:rPr>
        <w:t>,</w:t>
      </w:r>
      <w:r w:rsidRPr="0019406C">
        <w:rPr>
          <w:rFonts w:asciiTheme="majorHAnsi" w:hAnsiTheme="majorHAnsi"/>
          <w:lang w:val="lv-LV"/>
        </w:rPr>
        <w:t>3% no Latvijas uzņēmumiem salīdzinājumā ar 91% 2011. gadā, taču lielākā daļa (85</w:t>
      </w:r>
      <w:r w:rsidR="00421B25" w:rsidRPr="0019406C">
        <w:rPr>
          <w:rFonts w:asciiTheme="majorHAnsi" w:hAnsiTheme="majorHAnsi"/>
          <w:lang w:val="lv-LV"/>
        </w:rPr>
        <w:t>,</w:t>
      </w:r>
      <w:r w:rsidRPr="0019406C">
        <w:rPr>
          <w:rFonts w:asciiTheme="majorHAnsi" w:hAnsiTheme="majorHAnsi"/>
          <w:lang w:val="lv-LV"/>
        </w:rPr>
        <w:t>4%) uzņēmumu internetu izmanto, lai iegūtu informāciju no valsts un pašvaldību iestādēm, kas ir augstāks rādītājs nekā 2011. gadā (78%).</w:t>
      </w:r>
    </w:p>
    <w:p w:rsidR="001A0E97" w:rsidRPr="0019406C" w:rsidRDefault="001A0E97" w:rsidP="00444A73">
      <w:pPr>
        <w:pStyle w:val="BodyText"/>
        <w:numPr>
          <w:ilvl w:val="0"/>
          <w:numId w:val="49"/>
        </w:numPr>
        <w:spacing w:line="276" w:lineRule="auto"/>
        <w:jc w:val="both"/>
        <w:rPr>
          <w:rFonts w:asciiTheme="majorHAnsi" w:hAnsiTheme="majorHAnsi"/>
          <w:lang w:val="lv-LV"/>
        </w:rPr>
      </w:pPr>
      <w:r w:rsidRPr="0019406C">
        <w:rPr>
          <w:rFonts w:asciiTheme="majorHAnsi" w:hAnsiTheme="majorHAnsi"/>
          <w:lang w:val="lv-LV"/>
        </w:rPr>
        <w:t>Uzņēmēji ir informēti par e-paraksta pakalpojuma veidiem, taču to pielieto maza daļa uzņēmēju. 76</w:t>
      </w:r>
      <w:r w:rsidR="00421B25" w:rsidRPr="0019406C">
        <w:rPr>
          <w:rFonts w:asciiTheme="majorHAnsi" w:hAnsiTheme="majorHAnsi"/>
          <w:lang w:val="lv-LV"/>
        </w:rPr>
        <w:t>,</w:t>
      </w:r>
      <w:r w:rsidRPr="0019406C">
        <w:rPr>
          <w:rFonts w:asciiTheme="majorHAnsi" w:hAnsiTheme="majorHAnsi"/>
          <w:lang w:val="lv-LV"/>
        </w:rPr>
        <w:t xml:space="preserve">1% uzņēmēju ir informēti par e-parakstu, kur paraksts var tikt ģenerēts internetā bez plastikāta kartes, </w:t>
      </w:r>
      <w:r w:rsidR="00DC6AF5" w:rsidRPr="0019406C">
        <w:rPr>
          <w:rFonts w:asciiTheme="majorHAnsi" w:hAnsiTheme="majorHAnsi"/>
          <w:lang w:val="lv-LV"/>
        </w:rPr>
        <w:t xml:space="preserve">kas ir </w:t>
      </w:r>
      <w:r w:rsidRPr="0019406C">
        <w:rPr>
          <w:rFonts w:asciiTheme="majorHAnsi" w:hAnsiTheme="majorHAnsi"/>
          <w:lang w:val="lv-LV"/>
        </w:rPr>
        <w:t>vairāk kā 2011. gadā (65%), taču tikai 29% uzņēmumu izmanto šo pakalpojumu (22% 2011. gadā).</w:t>
      </w:r>
    </w:p>
    <w:p w:rsidR="002A2698" w:rsidRPr="0019406C" w:rsidRDefault="002A2698" w:rsidP="00E521EE">
      <w:pPr>
        <w:pStyle w:val="BodyText"/>
        <w:numPr>
          <w:ilvl w:val="0"/>
          <w:numId w:val="49"/>
        </w:numPr>
        <w:spacing w:line="276" w:lineRule="auto"/>
        <w:jc w:val="both"/>
        <w:rPr>
          <w:rFonts w:asciiTheme="majorHAnsi" w:hAnsiTheme="majorHAnsi"/>
          <w:lang w:val="lv-LV"/>
        </w:rPr>
      </w:pPr>
      <w:r w:rsidRPr="0019406C">
        <w:rPr>
          <w:rFonts w:asciiTheme="majorHAnsi" w:hAnsiTheme="majorHAnsi"/>
          <w:lang w:val="lv-LV"/>
        </w:rPr>
        <w:lastRenderedPageBreak/>
        <w:t>No tiem, kas e-pakalpojumus neizmanto, lielākā daļa (54%) joprojām neredz vērtību šo pakalpojumu izmantošanā, savukārt 20% uzskata, ka pagaidām nav pietiekam</w:t>
      </w:r>
      <w:r w:rsidR="00DC6AF5" w:rsidRPr="0019406C">
        <w:rPr>
          <w:rFonts w:asciiTheme="majorHAnsi" w:hAnsiTheme="majorHAnsi"/>
          <w:lang w:val="lv-LV"/>
        </w:rPr>
        <w:t>as</w:t>
      </w:r>
      <w:r w:rsidRPr="0019406C">
        <w:rPr>
          <w:rFonts w:asciiTheme="majorHAnsi" w:hAnsiTheme="majorHAnsi"/>
          <w:lang w:val="lv-LV"/>
        </w:rPr>
        <w:t xml:space="preserve"> šo pakalpojumu izmantošanas iespēj</w:t>
      </w:r>
      <w:r w:rsidR="00DC6AF5" w:rsidRPr="0019406C">
        <w:rPr>
          <w:rFonts w:asciiTheme="majorHAnsi" w:hAnsiTheme="majorHAnsi"/>
          <w:lang w:val="lv-LV"/>
        </w:rPr>
        <w:t>as</w:t>
      </w:r>
      <w:r w:rsidRPr="0019406C">
        <w:rPr>
          <w:rFonts w:asciiTheme="majorHAnsi" w:hAnsiTheme="majorHAnsi"/>
          <w:lang w:val="lv-LV"/>
        </w:rPr>
        <w:t>. Detalizētus elektronisko pakalpojumu neizmantošanas iemeslus skatīt ilustrācijā zemāk.</w:t>
      </w:r>
    </w:p>
    <w:p w:rsidR="002A2698" w:rsidRPr="0019406C" w:rsidRDefault="002A2698" w:rsidP="002A2698">
      <w:pPr>
        <w:pStyle w:val="BodyText"/>
        <w:keepNext/>
        <w:spacing w:line="276" w:lineRule="auto"/>
        <w:jc w:val="both"/>
        <w:rPr>
          <w:lang w:val="lv-LV"/>
        </w:rPr>
      </w:pPr>
      <w:r w:rsidRPr="0019406C">
        <w:rPr>
          <w:noProof/>
          <w:lang w:eastAsia="en-GB"/>
        </w:rPr>
        <w:drawing>
          <wp:inline distT="0" distB="0" distL="0" distR="0" wp14:anchorId="348DE864" wp14:editId="431904FE">
            <wp:extent cx="5486400" cy="3416198"/>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2A2698" w:rsidRPr="0019406C" w:rsidRDefault="002A2698" w:rsidP="002A2698">
      <w:pPr>
        <w:pStyle w:val="Caption"/>
        <w:jc w:val="both"/>
        <w:rPr>
          <w:rFonts w:asciiTheme="majorHAnsi" w:hAnsiTheme="majorHAnsi"/>
          <w:sz w:val="16"/>
          <w:lang w:val="lv-LV"/>
        </w:rPr>
      </w:pPr>
      <w:r w:rsidRPr="0019406C">
        <w:rPr>
          <w:sz w:val="16"/>
          <w:lang w:val="lv-LV"/>
        </w:rPr>
        <w:t xml:space="preserve">Ilustrācija </w:t>
      </w:r>
      <w:r w:rsidRPr="0019406C">
        <w:rPr>
          <w:sz w:val="16"/>
          <w:lang w:val="lv-LV"/>
        </w:rPr>
        <w:fldChar w:fldCharType="begin"/>
      </w:r>
      <w:r w:rsidRPr="0019406C">
        <w:rPr>
          <w:sz w:val="16"/>
          <w:lang w:val="lv-LV"/>
        </w:rPr>
        <w:instrText xml:space="preserve"> SEQ Ilustrācija \* ARABIC </w:instrText>
      </w:r>
      <w:r w:rsidRPr="0019406C">
        <w:rPr>
          <w:sz w:val="16"/>
          <w:lang w:val="lv-LV"/>
        </w:rPr>
        <w:fldChar w:fldCharType="separate"/>
      </w:r>
      <w:r w:rsidR="00410806" w:rsidRPr="0019406C">
        <w:rPr>
          <w:noProof/>
          <w:sz w:val="16"/>
          <w:lang w:val="lv-LV"/>
        </w:rPr>
        <w:t>12</w:t>
      </w:r>
      <w:r w:rsidRPr="0019406C">
        <w:rPr>
          <w:sz w:val="16"/>
          <w:lang w:val="lv-LV"/>
        </w:rPr>
        <w:fldChar w:fldCharType="end"/>
      </w:r>
      <w:r w:rsidRPr="0019406C">
        <w:rPr>
          <w:sz w:val="16"/>
          <w:lang w:val="lv-LV"/>
        </w:rPr>
        <w:t xml:space="preserve"> Elektroniskā paraksta neizmantošanas iemesli (procenti to uzņēmēju, kas e-parakstu neizmanto un minēja konkrēto iemeslu)</w:t>
      </w:r>
    </w:p>
    <w:p w:rsidR="002A2698" w:rsidRPr="0019406C" w:rsidRDefault="002A2698" w:rsidP="00444A73">
      <w:pPr>
        <w:pStyle w:val="BodyText"/>
        <w:numPr>
          <w:ilvl w:val="0"/>
          <w:numId w:val="49"/>
        </w:numPr>
        <w:spacing w:line="276" w:lineRule="auto"/>
        <w:jc w:val="both"/>
        <w:rPr>
          <w:rFonts w:asciiTheme="majorHAnsi" w:hAnsiTheme="majorHAnsi"/>
          <w:lang w:val="lv-LV"/>
        </w:rPr>
      </w:pPr>
      <w:r w:rsidRPr="0019406C">
        <w:rPr>
          <w:rFonts w:asciiTheme="majorHAnsi" w:hAnsiTheme="majorHAnsi"/>
          <w:lang w:val="lv-LV"/>
        </w:rPr>
        <w:t>No tiem, kas e-pakalpojumus izmanto, e-pakalpojumi tiek novērtēti kā „apmierinoši”, iegūstot vidēji 3</w:t>
      </w:r>
      <w:r w:rsidR="00421B25" w:rsidRPr="0019406C">
        <w:rPr>
          <w:rFonts w:asciiTheme="majorHAnsi" w:hAnsiTheme="majorHAnsi"/>
          <w:lang w:val="lv-LV"/>
        </w:rPr>
        <w:t>,</w:t>
      </w:r>
      <w:r w:rsidRPr="0019406C">
        <w:rPr>
          <w:rFonts w:asciiTheme="majorHAnsi" w:hAnsiTheme="majorHAnsi"/>
          <w:lang w:val="lv-LV"/>
        </w:rPr>
        <w:t>5 punktus no 4, kur 4 norāda uz „apmierināts” ar pakalpojumu.</w:t>
      </w:r>
    </w:p>
    <w:p w:rsidR="00840489" w:rsidRPr="0019406C" w:rsidRDefault="00840489" w:rsidP="00444A73">
      <w:pPr>
        <w:pStyle w:val="BodyText"/>
        <w:numPr>
          <w:ilvl w:val="0"/>
          <w:numId w:val="49"/>
        </w:numPr>
        <w:spacing w:line="276" w:lineRule="auto"/>
        <w:jc w:val="both"/>
        <w:rPr>
          <w:rFonts w:asciiTheme="majorHAnsi" w:hAnsiTheme="majorHAnsi"/>
          <w:lang w:val="lv-LV"/>
        </w:rPr>
      </w:pPr>
      <w:r w:rsidRPr="0019406C">
        <w:rPr>
          <w:rFonts w:asciiTheme="majorHAnsi" w:hAnsiTheme="majorHAnsi"/>
          <w:lang w:val="lv-LV"/>
        </w:rPr>
        <w:t>2014.</w:t>
      </w:r>
      <w:r w:rsidR="00EE7A60" w:rsidRPr="0019406C">
        <w:rPr>
          <w:rFonts w:asciiTheme="majorHAnsi" w:hAnsiTheme="majorHAnsi"/>
          <w:lang w:val="lv-LV"/>
        </w:rPr>
        <w:t xml:space="preserve"> </w:t>
      </w:r>
      <w:r w:rsidRPr="0019406C">
        <w:rPr>
          <w:rFonts w:asciiTheme="majorHAnsi" w:hAnsiTheme="majorHAnsi"/>
          <w:lang w:val="lv-LV"/>
        </w:rPr>
        <w:t>gadā dažādas elektronisko pakalpojumu izmantošanas iespējas tiek vērtētas pozitīvāk, nekā iepriekšējos gados:</w:t>
      </w:r>
    </w:p>
    <w:p w:rsidR="00840489" w:rsidRPr="0019406C" w:rsidRDefault="00840489" w:rsidP="00444A73">
      <w:pPr>
        <w:pStyle w:val="BodyText"/>
        <w:numPr>
          <w:ilvl w:val="1"/>
          <w:numId w:val="49"/>
        </w:numPr>
        <w:spacing w:line="276" w:lineRule="auto"/>
        <w:jc w:val="both"/>
        <w:rPr>
          <w:rFonts w:asciiTheme="majorHAnsi" w:hAnsiTheme="majorHAnsi"/>
          <w:lang w:val="lv-LV"/>
        </w:rPr>
      </w:pPr>
      <w:r w:rsidRPr="0019406C">
        <w:rPr>
          <w:rFonts w:asciiTheme="majorHAnsi" w:hAnsiTheme="majorHAnsi"/>
          <w:lang w:val="lv-LV"/>
        </w:rPr>
        <w:t>elektronisko dokumentu iesniegšanas iespējas valsts vai pašvaldību iestādēs, kā pietiekamas vērtēja 60,8% uzņēmēju (45,8% 2011. gadā);</w:t>
      </w:r>
    </w:p>
    <w:p w:rsidR="00840489" w:rsidRPr="0019406C" w:rsidRDefault="00840489" w:rsidP="00444A73">
      <w:pPr>
        <w:pStyle w:val="BodyText"/>
        <w:numPr>
          <w:ilvl w:val="1"/>
          <w:numId w:val="49"/>
        </w:numPr>
        <w:spacing w:line="276" w:lineRule="auto"/>
        <w:jc w:val="both"/>
        <w:rPr>
          <w:rFonts w:asciiTheme="majorHAnsi" w:hAnsiTheme="majorHAnsi"/>
          <w:lang w:val="lv-LV"/>
        </w:rPr>
      </w:pPr>
      <w:r w:rsidRPr="0019406C">
        <w:rPr>
          <w:rFonts w:asciiTheme="majorHAnsi" w:hAnsiTheme="majorHAnsi"/>
          <w:lang w:val="lv-LV"/>
        </w:rPr>
        <w:t>saziņas iespējas ar valsts / pašvaldības iestādēm ar e-paraksta starpniecību, kā pietiekamas vērtēja 57,5% uzņēmēju (37% 2011. gadā);</w:t>
      </w:r>
    </w:p>
    <w:p w:rsidR="00D832AD" w:rsidRPr="0019406C" w:rsidRDefault="00840489" w:rsidP="00444A73">
      <w:pPr>
        <w:pStyle w:val="BodyText"/>
        <w:numPr>
          <w:ilvl w:val="1"/>
          <w:numId w:val="49"/>
        </w:numPr>
        <w:spacing w:line="276" w:lineRule="auto"/>
        <w:jc w:val="both"/>
        <w:rPr>
          <w:rFonts w:asciiTheme="majorHAnsi" w:hAnsiTheme="majorHAnsi"/>
          <w:b/>
          <w:sz w:val="22"/>
          <w:lang w:val="lv-LV"/>
        </w:rPr>
      </w:pPr>
      <w:r w:rsidRPr="0019406C">
        <w:rPr>
          <w:rFonts w:asciiTheme="majorHAnsi" w:hAnsiTheme="majorHAnsi"/>
          <w:lang w:val="lv-LV"/>
        </w:rPr>
        <w:t>informācijas iegūšana no valsts / pašvaldības iestādēm un veidlapu lejupielādes iespējas, kā pietiekamas vērtēja 56,5% uzņēmēju (37% 2011. gadā).</w:t>
      </w:r>
    </w:p>
    <w:p w:rsidR="0010739D" w:rsidRPr="0019406C" w:rsidRDefault="0010739D" w:rsidP="00444A73">
      <w:pPr>
        <w:pStyle w:val="BodyText"/>
        <w:spacing w:line="276" w:lineRule="auto"/>
        <w:rPr>
          <w:rFonts w:asciiTheme="majorHAnsi" w:hAnsiTheme="majorHAnsi"/>
          <w:b/>
          <w:sz w:val="22"/>
          <w:lang w:val="lv-LV"/>
        </w:rPr>
      </w:pPr>
      <w:r w:rsidRPr="0019406C">
        <w:rPr>
          <w:rFonts w:asciiTheme="majorHAnsi" w:hAnsiTheme="majorHAnsi"/>
          <w:b/>
          <w:sz w:val="22"/>
          <w:lang w:val="lv-LV"/>
        </w:rPr>
        <w:t>Doing Business pētījums un Globālās konkurētspējas indekss</w:t>
      </w:r>
    </w:p>
    <w:p w:rsidR="0010739D" w:rsidRPr="0019406C" w:rsidRDefault="0010739D" w:rsidP="00444A73">
      <w:pPr>
        <w:pStyle w:val="BodyText"/>
        <w:spacing w:line="276" w:lineRule="auto"/>
        <w:jc w:val="both"/>
        <w:rPr>
          <w:rFonts w:asciiTheme="majorHAnsi" w:hAnsiTheme="majorHAnsi"/>
          <w:lang w:val="lv-LV"/>
        </w:rPr>
      </w:pPr>
      <w:r w:rsidRPr="0019406C">
        <w:rPr>
          <w:rFonts w:asciiTheme="majorHAnsi" w:hAnsiTheme="majorHAnsi"/>
          <w:lang w:val="lv-LV"/>
        </w:rPr>
        <w:t xml:space="preserve">E-pakalpojumu pieejamība nav apskatīta atsevišķi DB un GKI pētījumos, tomēr šī tēma tiek ņemta vērā visos DB pētījuma punktos, jo e-pakalpojuma pieejamība </w:t>
      </w:r>
      <w:r w:rsidR="00E56121" w:rsidRPr="0019406C">
        <w:rPr>
          <w:rFonts w:asciiTheme="majorHAnsi" w:hAnsiTheme="majorHAnsi"/>
          <w:lang w:val="lv-LV"/>
        </w:rPr>
        <w:t xml:space="preserve">tiek vērtēta kā labā prakse un </w:t>
      </w:r>
      <w:r w:rsidRPr="0019406C">
        <w:rPr>
          <w:rFonts w:asciiTheme="majorHAnsi" w:hAnsiTheme="majorHAnsi"/>
          <w:lang w:val="lv-LV"/>
        </w:rPr>
        <w:t>ir nozīmīgs rādītājs procesa efektivitātē un uzņēmējdarbības atvieglošanā valstī.</w:t>
      </w:r>
    </w:p>
    <w:p w:rsidR="00EE7A60" w:rsidRPr="0019406C" w:rsidRDefault="00EE7A60" w:rsidP="00444A73">
      <w:pPr>
        <w:pStyle w:val="BodyText"/>
        <w:spacing w:line="276" w:lineRule="auto"/>
        <w:rPr>
          <w:rFonts w:asciiTheme="majorHAnsi" w:hAnsiTheme="majorHAnsi"/>
          <w:b/>
          <w:sz w:val="22"/>
          <w:lang w:val="lv-LV"/>
        </w:rPr>
      </w:pPr>
      <w:r w:rsidRPr="0019406C">
        <w:rPr>
          <w:rFonts w:asciiTheme="majorHAnsi" w:hAnsiTheme="majorHAnsi"/>
          <w:b/>
          <w:sz w:val="22"/>
          <w:lang w:val="lv-LV"/>
        </w:rPr>
        <w:t>Secinājumi un priekšlikumi</w:t>
      </w:r>
    </w:p>
    <w:p w:rsidR="002A2698" w:rsidRPr="0019406C" w:rsidRDefault="0066343A" w:rsidP="00444A73">
      <w:pPr>
        <w:pStyle w:val="BodyText"/>
        <w:spacing w:line="276" w:lineRule="auto"/>
        <w:jc w:val="both"/>
        <w:rPr>
          <w:rFonts w:asciiTheme="majorHAnsi" w:hAnsiTheme="majorHAnsi"/>
          <w:lang w:val="lv-LV"/>
        </w:rPr>
      </w:pPr>
      <w:r w:rsidRPr="0019406C">
        <w:rPr>
          <w:rFonts w:asciiTheme="majorHAnsi" w:hAnsiTheme="majorHAnsi"/>
          <w:lang w:val="lv-LV"/>
        </w:rPr>
        <w:t>E-pakalpojumu</w:t>
      </w:r>
      <w:r w:rsidRPr="0019406C">
        <w:rPr>
          <w:lang w:val="lv-LV"/>
        </w:rPr>
        <w:t xml:space="preserve"> </w:t>
      </w:r>
      <w:r w:rsidRPr="0019406C">
        <w:rPr>
          <w:rFonts w:asciiTheme="majorHAnsi" w:hAnsiTheme="majorHAnsi"/>
          <w:lang w:val="lv-LV"/>
        </w:rPr>
        <w:t xml:space="preserve">pieejamības analīze uzņēmējiem </w:t>
      </w:r>
      <w:r w:rsidR="00840489" w:rsidRPr="0019406C">
        <w:rPr>
          <w:rFonts w:asciiTheme="majorHAnsi" w:hAnsiTheme="majorHAnsi"/>
          <w:lang w:val="lv-LV"/>
        </w:rPr>
        <w:t xml:space="preserve">tika balstīta </w:t>
      </w:r>
      <w:r w:rsidR="00DC6AF5" w:rsidRPr="0019406C">
        <w:rPr>
          <w:rFonts w:asciiTheme="majorHAnsi" w:hAnsiTheme="majorHAnsi"/>
          <w:lang w:val="lv-LV"/>
        </w:rPr>
        <w:t xml:space="preserve">gan </w:t>
      </w:r>
      <w:r w:rsidR="00840489" w:rsidRPr="0019406C">
        <w:rPr>
          <w:rFonts w:asciiTheme="majorHAnsi" w:hAnsiTheme="majorHAnsi"/>
          <w:lang w:val="lv-LV"/>
        </w:rPr>
        <w:t>uz uzņēmēju aptaujas rezultātiem</w:t>
      </w:r>
      <w:r w:rsidR="00DC6AF5" w:rsidRPr="0019406C">
        <w:rPr>
          <w:rFonts w:asciiTheme="majorHAnsi" w:hAnsiTheme="majorHAnsi"/>
          <w:lang w:val="lv-LV"/>
        </w:rPr>
        <w:t xml:space="preserve">, gan uz </w:t>
      </w:r>
      <w:r w:rsidR="00840489" w:rsidRPr="0019406C">
        <w:rPr>
          <w:rFonts w:asciiTheme="majorHAnsi" w:hAnsiTheme="majorHAnsi"/>
          <w:lang w:val="lv-LV"/>
        </w:rPr>
        <w:t>esoš</w:t>
      </w:r>
      <w:r w:rsidR="00DC6AF5" w:rsidRPr="0019406C">
        <w:rPr>
          <w:rFonts w:asciiTheme="majorHAnsi" w:hAnsiTheme="majorHAnsi"/>
          <w:lang w:val="lv-LV"/>
        </w:rPr>
        <w:t>ās</w:t>
      </w:r>
      <w:r w:rsidR="00840489" w:rsidRPr="0019406C">
        <w:rPr>
          <w:rFonts w:asciiTheme="majorHAnsi" w:hAnsiTheme="majorHAnsi"/>
          <w:lang w:val="lv-LV"/>
        </w:rPr>
        <w:t xml:space="preserve"> situācijas izpēt</w:t>
      </w:r>
      <w:r w:rsidR="00DC6AF5" w:rsidRPr="0019406C">
        <w:rPr>
          <w:rFonts w:asciiTheme="majorHAnsi" w:hAnsiTheme="majorHAnsi"/>
          <w:lang w:val="lv-LV"/>
        </w:rPr>
        <w:t>i</w:t>
      </w:r>
      <w:r w:rsidR="00840489" w:rsidRPr="0019406C">
        <w:rPr>
          <w:rFonts w:asciiTheme="majorHAnsi" w:hAnsiTheme="majorHAnsi"/>
          <w:lang w:val="lv-LV"/>
        </w:rPr>
        <w:t>.</w:t>
      </w:r>
      <w:r w:rsidR="00DC6AF5" w:rsidRPr="0019406C">
        <w:rPr>
          <w:rFonts w:asciiTheme="majorHAnsi" w:hAnsiTheme="majorHAnsi"/>
          <w:lang w:val="lv-LV"/>
        </w:rPr>
        <w:t xml:space="preserve"> </w:t>
      </w:r>
      <w:r w:rsidR="00627B52" w:rsidRPr="0019406C">
        <w:rPr>
          <w:rFonts w:asciiTheme="majorHAnsi" w:hAnsiTheme="majorHAnsi"/>
          <w:lang w:val="lv-LV"/>
        </w:rPr>
        <w:t xml:space="preserve">Uzņēmēju </w:t>
      </w:r>
      <w:r w:rsidR="00DC6AF5" w:rsidRPr="0019406C">
        <w:rPr>
          <w:rFonts w:asciiTheme="majorHAnsi" w:hAnsiTheme="majorHAnsi"/>
          <w:lang w:val="lv-LV"/>
        </w:rPr>
        <w:t xml:space="preserve">aptaujas rezultātu tendences par e-pakalpojumiem liecina, ka </w:t>
      </w:r>
      <w:r w:rsidR="002A2698" w:rsidRPr="0019406C">
        <w:rPr>
          <w:rFonts w:asciiTheme="majorHAnsi" w:hAnsiTheme="majorHAnsi"/>
          <w:lang w:val="lv-LV"/>
        </w:rPr>
        <w:t xml:space="preserve">uzņēmēji ir </w:t>
      </w:r>
      <w:r w:rsidR="002A2698" w:rsidRPr="0019406C">
        <w:rPr>
          <w:rFonts w:asciiTheme="majorHAnsi" w:hAnsiTheme="majorHAnsi"/>
          <w:lang w:val="lv-LV"/>
        </w:rPr>
        <w:lastRenderedPageBreak/>
        <w:t>informēti par e-parakstu, tā veidiem un pielietojamību, taču to neizmanto jo, galvenokārt, nesaskata tam jēgu vai uzskata, ka pagaidām nav pietiekamu pakalpojumu izmantošanas iespēju.</w:t>
      </w:r>
      <w:r w:rsidRPr="0019406C">
        <w:rPr>
          <w:rFonts w:asciiTheme="majorHAnsi" w:hAnsiTheme="majorHAnsi"/>
          <w:lang w:val="lv-LV"/>
        </w:rPr>
        <w:t xml:space="preserve"> Kopā </w:t>
      </w:r>
      <w:r w:rsidR="00DC6AF5" w:rsidRPr="0019406C">
        <w:rPr>
          <w:rFonts w:asciiTheme="majorHAnsi" w:hAnsiTheme="majorHAnsi"/>
          <w:lang w:val="lv-LV"/>
        </w:rPr>
        <w:t xml:space="preserve">gan </w:t>
      </w:r>
      <w:r w:rsidRPr="0019406C">
        <w:rPr>
          <w:rFonts w:asciiTheme="majorHAnsi" w:hAnsiTheme="majorHAnsi"/>
          <w:lang w:val="lv-LV"/>
        </w:rPr>
        <w:t>e-pakalpojumu izmantošanas iespējas tiek vērtētas daudz pozitīvāk, nekā iepriekš un vidēji to pielietojamību kā pietiekamu vērtē jau 58% uzņēmēju</w:t>
      </w:r>
      <w:r w:rsidR="00BD6E8A" w:rsidRPr="0019406C">
        <w:rPr>
          <w:rFonts w:asciiTheme="majorHAnsi" w:hAnsiTheme="majorHAnsi"/>
          <w:lang w:val="lv-LV"/>
        </w:rPr>
        <w:t>.</w:t>
      </w:r>
      <w:r w:rsidR="002A2698" w:rsidRPr="0019406C">
        <w:rPr>
          <w:rFonts w:asciiTheme="majorHAnsi" w:hAnsiTheme="majorHAnsi"/>
          <w:lang w:val="lv-LV"/>
        </w:rPr>
        <w:t xml:space="preserve"> </w:t>
      </w:r>
      <w:r w:rsidR="00BD6E8A" w:rsidRPr="0019406C">
        <w:rPr>
          <w:rFonts w:asciiTheme="majorHAnsi" w:hAnsiTheme="majorHAnsi"/>
          <w:lang w:val="lv-LV"/>
        </w:rPr>
        <w:t>Lai arī novērojamas pozitīvas tendences, e</w:t>
      </w:r>
      <w:r w:rsidR="002A2698" w:rsidRPr="0019406C">
        <w:rPr>
          <w:rFonts w:asciiTheme="majorHAnsi" w:hAnsiTheme="majorHAnsi"/>
          <w:lang w:val="lv-LV"/>
        </w:rPr>
        <w:t>-pakalpojumu izmantošana Latvijā vēl ir zemā līmenī.</w:t>
      </w:r>
    </w:p>
    <w:p w:rsidR="006A37C7" w:rsidRPr="0019406C" w:rsidRDefault="002A2698" w:rsidP="00444A73">
      <w:pPr>
        <w:pStyle w:val="BodyText"/>
        <w:spacing w:line="276" w:lineRule="auto"/>
        <w:jc w:val="both"/>
        <w:rPr>
          <w:rFonts w:asciiTheme="majorHAnsi" w:hAnsiTheme="majorHAnsi"/>
          <w:lang w:val="lv-LV"/>
        </w:rPr>
      </w:pPr>
      <w:r w:rsidRPr="0019406C">
        <w:rPr>
          <w:rFonts w:asciiTheme="majorHAnsi" w:hAnsiTheme="majorHAnsi"/>
          <w:lang w:val="lv-LV"/>
        </w:rPr>
        <w:t>No aptaujas rezultātiem izvirzīt</w:t>
      </w:r>
      <w:r w:rsidR="00175943" w:rsidRPr="0019406C">
        <w:rPr>
          <w:rFonts w:asciiTheme="majorHAnsi" w:hAnsiTheme="majorHAnsi"/>
          <w:lang w:val="lv-LV"/>
        </w:rPr>
        <w:t>s</w:t>
      </w:r>
      <w:r w:rsidRPr="0019406C">
        <w:rPr>
          <w:rFonts w:asciiTheme="majorHAnsi" w:hAnsiTheme="majorHAnsi"/>
          <w:lang w:val="lv-LV"/>
        </w:rPr>
        <w:t xml:space="preserve"> </w:t>
      </w:r>
      <w:r w:rsidR="0072729F" w:rsidRPr="0019406C">
        <w:rPr>
          <w:rFonts w:asciiTheme="majorHAnsi" w:hAnsiTheme="majorHAnsi"/>
          <w:lang w:val="lv-LV"/>
        </w:rPr>
        <w:t>sekojošs</w:t>
      </w:r>
      <w:r w:rsidRPr="0019406C">
        <w:rPr>
          <w:rFonts w:asciiTheme="majorHAnsi" w:hAnsiTheme="majorHAnsi"/>
          <w:lang w:val="lv-LV"/>
        </w:rPr>
        <w:t xml:space="preserve"> priekšlikum</w:t>
      </w:r>
      <w:r w:rsidR="00175943" w:rsidRPr="0019406C">
        <w:rPr>
          <w:rFonts w:asciiTheme="majorHAnsi" w:hAnsiTheme="majorHAnsi"/>
          <w:lang w:val="lv-LV"/>
        </w:rPr>
        <w:t>s</w:t>
      </w:r>
      <w:r w:rsidR="00DC6AF5" w:rsidRPr="0019406C">
        <w:rPr>
          <w:rFonts w:asciiTheme="majorHAnsi" w:hAnsiTheme="majorHAnsi"/>
          <w:lang w:val="lv-LV"/>
        </w:rPr>
        <w:t xml:space="preserve">: </w:t>
      </w:r>
      <w:r w:rsidR="00445870" w:rsidRPr="0019406C">
        <w:rPr>
          <w:rFonts w:asciiTheme="majorHAnsi" w:hAnsiTheme="majorHAnsi"/>
          <w:lang w:val="lv-LV"/>
        </w:rPr>
        <w:t>l</w:t>
      </w:r>
      <w:r w:rsidRPr="0019406C">
        <w:rPr>
          <w:rFonts w:asciiTheme="majorHAnsi" w:hAnsiTheme="majorHAnsi"/>
          <w:lang w:val="lv-LV"/>
        </w:rPr>
        <w:t xml:space="preserve">ai palielinātu e-pakalpojumu un e-paraksta lietotāju skaitu, ir pastiprināti jāpievērš uzmanība uzņēmēju informēšanā par e-pakalpojumu un e-paraksta priekšrocībām, lai uzņēmēji redzētu vērtību to lietošanā. </w:t>
      </w:r>
      <w:r w:rsidR="00DC6AF5" w:rsidRPr="0019406C">
        <w:rPr>
          <w:rFonts w:asciiTheme="majorHAnsi" w:hAnsiTheme="majorHAnsi"/>
          <w:lang w:val="lv-LV"/>
        </w:rPr>
        <w:t>N</w:t>
      </w:r>
      <w:r w:rsidR="008B2105" w:rsidRPr="0019406C">
        <w:rPr>
          <w:rFonts w:asciiTheme="majorHAnsi" w:hAnsiTheme="majorHAnsi"/>
          <w:lang w:val="lv-LV"/>
        </w:rPr>
        <w:t xml:space="preserve">epieciešams </w:t>
      </w:r>
      <w:r w:rsidR="00DC6AF5" w:rsidRPr="0019406C">
        <w:rPr>
          <w:rFonts w:asciiTheme="majorHAnsi" w:hAnsiTheme="majorHAnsi"/>
          <w:lang w:val="lv-LV"/>
        </w:rPr>
        <w:t xml:space="preserve">arī </w:t>
      </w:r>
      <w:r w:rsidR="008B2105" w:rsidRPr="0019406C">
        <w:rPr>
          <w:rFonts w:asciiTheme="majorHAnsi" w:hAnsiTheme="majorHAnsi"/>
          <w:lang w:val="lv-LV"/>
        </w:rPr>
        <w:t>pakāpeniski strādāt pie pakalpojumu pilnveidošanas un atteikšanās no fizisk</w:t>
      </w:r>
      <w:r w:rsidR="00DC6AF5" w:rsidRPr="0019406C">
        <w:rPr>
          <w:rFonts w:asciiTheme="majorHAnsi" w:hAnsiTheme="majorHAnsi"/>
          <w:lang w:val="lv-LV"/>
        </w:rPr>
        <w:t>a</w:t>
      </w:r>
      <w:r w:rsidR="008B2105" w:rsidRPr="0019406C">
        <w:rPr>
          <w:rFonts w:asciiTheme="majorHAnsi" w:hAnsiTheme="majorHAnsi"/>
          <w:lang w:val="lv-LV"/>
        </w:rPr>
        <w:t xml:space="preserve">s apkalpošanas. </w:t>
      </w:r>
      <w:r w:rsidRPr="0019406C">
        <w:rPr>
          <w:rFonts w:asciiTheme="majorHAnsi" w:hAnsiTheme="majorHAnsi"/>
          <w:lang w:val="lv-LV"/>
        </w:rPr>
        <w:t>D</w:t>
      </w:r>
      <w:r w:rsidR="00DC6AF5" w:rsidRPr="0019406C">
        <w:rPr>
          <w:rFonts w:asciiTheme="majorHAnsi" w:hAnsiTheme="majorHAnsi"/>
          <w:lang w:val="lv-LV"/>
        </w:rPr>
        <w:t>e</w:t>
      </w:r>
      <w:r w:rsidRPr="0019406C">
        <w:rPr>
          <w:rFonts w:asciiTheme="majorHAnsi" w:hAnsiTheme="majorHAnsi"/>
          <w:lang w:val="lv-LV"/>
        </w:rPr>
        <w:t xml:space="preserve">talizētāku priekšlikuma izklāstu skatīt ziņojuma </w:t>
      </w:r>
      <w:r w:rsidR="00882F30" w:rsidRPr="0019406C">
        <w:rPr>
          <w:rFonts w:asciiTheme="majorHAnsi" w:hAnsiTheme="majorHAnsi"/>
          <w:lang w:val="lv-LV"/>
        </w:rPr>
        <w:t>1.</w:t>
      </w:r>
      <w:r w:rsidR="00445870" w:rsidRPr="0019406C">
        <w:rPr>
          <w:rFonts w:asciiTheme="majorHAnsi" w:hAnsiTheme="majorHAnsi"/>
          <w:lang w:val="lv-LV"/>
        </w:rPr>
        <w:t> </w:t>
      </w:r>
      <w:r w:rsidR="00882F30" w:rsidRPr="0019406C">
        <w:rPr>
          <w:rFonts w:asciiTheme="majorHAnsi" w:hAnsiTheme="majorHAnsi"/>
          <w:lang w:val="lv-LV"/>
        </w:rPr>
        <w:t>pielikuma 3.1. punktā.</w:t>
      </w:r>
    </w:p>
    <w:p w:rsidR="006A37C7" w:rsidRPr="0019406C" w:rsidRDefault="00EE7A60" w:rsidP="00444A73">
      <w:pPr>
        <w:pStyle w:val="BodyText"/>
        <w:spacing w:line="276" w:lineRule="auto"/>
        <w:jc w:val="both"/>
        <w:rPr>
          <w:rFonts w:asciiTheme="majorHAnsi" w:hAnsiTheme="majorHAnsi"/>
          <w:b/>
          <w:sz w:val="22"/>
          <w:lang w:val="lv-LV"/>
        </w:rPr>
      </w:pPr>
      <w:r w:rsidRPr="0019406C">
        <w:rPr>
          <w:rFonts w:asciiTheme="majorHAnsi" w:hAnsiTheme="majorHAnsi"/>
          <w:b/>
          <w:sz w:val="22"/>
          <w:lang w:val="lv-LV"/>
        </w:rPr>
        <w:t>Ekspertu diskusija</w:t>
      </w:r>
    </w:p>
    <w:p w:rsidR="00F96AEC" w:rsidRPr="0019406C" w:rsidRDefault="00175943" w:rsidP="00444A73">
      <w:pPr>
        <w:pStyle w:val="BodyText"/>
        <w:spacing w:line="276" w:lineRule="auto"/>
        <w:jc w:val="both"/>
        <w:rPr>
          <w:rFonts w:asciiTheme="majorHAnsi" w:eastAsia="Cambria" w:hAnsiTheme="majorHAnsi" w:cs="Times New Roman"/>
          <w:lang w:val="lv-LV"/>
        </w:rPr>
      </w:pPr>
      <w:r w:rsidRPr="0019406C">
        <w:rPr>
          <w:rFonts w:asciiTheme="majorHAnsi" w:hAnsiTheme="majorHAnsi"/>
          <w:lang w:val="lv-LV"/>
        </w:rPr>
        <w:t>Ekspertu diskusijā tik</w:t>
      </w:r>
      <w:r w:rsidR="00F21CEF" w:rsidRPr="0019406C">
        <w:rPr>
          <w:rFonts w:asciiTheme="majorHAnsi" w:hAnsiTheme="majorHAnsi"/>
          <w:lang w:val="lv-LV"/>
        </w:rPr>
        <w:t>a</w:t>
      </w:r>
      <w:r w:rsidRPr="0019406C">
        <w:rPr>
          <w:rFonts w:asciiTheme="majorHAnsi" w:hAnsiTheme="majorHAnsi"/>
          <w:lang w:val="lv-LV"/>
        </w:rPr>
        <w:t xml:space="preserve"> skatīta minētā problēma par e-pakalpojumu izmantošanas iespējām Latvijā un diskusijas rezultātā problēmas risināšanai </w:t>
      </w:r>
      <w:r w:rsidR="00445870" w:rsidRPr="0019406C">
        <w:rPr>
          <w:rFonts w:asciiTheme="majorHAnsi" w:hAnsiTheme="majorHAnsi"/>
          <w:lang w:val="lv-LV"/>
        </w:rPr>
        <w:t>priekšlikums</w:t>
      </w:r>
      <w:r w:rsidRPr="0019406C">
        <w:rPr>
          <w:rFonts w:asciiTheme="majorHAnsi" w:hAnsiTheme="majorHAnsi"/>
          <w:lang w:val="lv-LV"/>
        </w:rPr>
        <w:t xml:space="preserve"> tiek pārformulēts</w:t>
      </w:r>
      <w:r w:rsidR="003C353D" w:rsidRPr="0019406C">
        <w:rPr>
          <w:rFonts w:asciiTheme="majorHAnsi" w:hAnsiTheme="majorHAnsi"/>
          <w:lang w:val="lv-LV"/>
        </w:rPr>
        <w:t xml:space="preserve"> sekojoši:</w:t>
      </w:r>
      <w:r w:rsidRPr="0019406C">
        <w:rPr>
          <w:rFonts w:asciiTheme="majorHAnsi" w:hAnsiTheme="majorHAnsi"/>
          <w:lang w:val="lv-LV"/>
        </w:rPr>
        <w:t xml:space="preserve"> </w:t>
      </w:r>
      <w:r w:rsidR="00F96AEC" w:rsidRPr="0019406C">
        <w:rPr>
          <w:rFonts w:asciiTheme="majorHAnsi" w:hAnsiTheme="majorHAnsi"/>
          <w:lang w:val="lv-LV"/>
        </w:rPr>
        <w:t>v</w:t>
      </w:r>
      <w:r w:rsidR="00F96AEC" w:rsidRPr="0019406C">
        <w:rPr>
          <w:rFonts w:asciiTheme="majorHAnsi" w:eastAsia="Cambria" w:hAnsiTheme="majorHAnsi" w:cs="Times New Roman"/>
          <w:lang w:val="lv-LV"/>
        </w:rPr>
        <w:t>ienota un droša e-paraksta lietošana pašvaldību un valsts iestāžu pakalpojumos.</w:t>
      </w:r>
    </w:p>
    <w:p w:rsidR="00717A32" w:rsidRPr="0019406C" w:rsidRDefault="00717A32" w:rsidP="00444A73">
      <w:pPr>
        <w:pStyle w:val="BodyText"/>
        <w:spacing w:line="276" w:lineRule="auto"/>
        <w:jc w:val="both"/>
        <w:rPr>
          <w:lang w:val="lv-LV"/>
        </w:rPr>
      </w:pPr>
      <w:r w:rsidRPr="0019406C">
        <w:rPr>
          <w:lang w:val="lv-LV"/>
        </w:rPr>
        <w:t xml:space="preserve">Eksperti pauda nostāju, ka palielinot e-paraksta lietošanas iespējas, palielinātos tā lietotāju skaits un secīgi arī </w:t>
      </w:r>
      <w:r w:rsidR="00445870" w:rsidRPr="0019406C">
        <w:rPr>
          <w:lang w:val="lv-LV"/>
        </w:rPr>
        <w:t xml:space="preserve">saistīto </w:t>
      </w:r>
      <w:r w:rsidRPr="0019406C">
        <w:rPr>
          <w:lang w:val="lv-LV"/>
        </w:rPr>
        <w:t>e-pakalpojumu lietotāju skaits</w:t>
      </w:r>
      <w:r w:rsidR="00445870" w:rsidRPr="0019406C">
        <w:rPr>
          <w:lang w:val="lv-LV"/>
        </w:rPr>
        <w:t>, kuros tiktu izmantots e-paraksts</w:t>
      </w:r>
      <w:r w:rsidRPr="0019406C">
        <w:rPr>
          <w:lang w:val="lv-LV"/>
        </w:rPr>
        <w:t xml:space="preserve">. </w:t>
      </w:r>
      <w:r w:rsidR="00445870" w:rsidRPr="0019406C">
        <w:rPr>
          <w:lang w:val="lv-LV"/>
        </w:rPr>
        <w:t>Tāpat jāmin, ka, la</w:t>
      </w:r>
      <w:r w:rsidRPr="0019406C">
        <w:rPr>
          <w:lang w:val="lv-LV"/>
        </w:rPr>
        <w:t xml:space="preserve">i veicinātu ekonomisko sadarbību starp valsts iestādēm un uzņēmējiem, </w:t>
      </w:r>
      <w:r w:rsidR="00445870" w:rsidRPr="0019406C">
        <w:rPr>
          <w:lang w:val="lv-LV"/>
        </w:rPr>
        <w:t xml:space="preserve">izmantojot e-parakstu, </w:t>
      </w:r>
      <w:r w:rsidRPr="0019406C">
        <w:rPr>
          <w:lang w:val="lv-LV"/>
        </w:rPr>
        <w:t xml:space="preserve">e-parakstam ir jābūt noderīgam </w:t>
      </w:r>
      <w:r w:rsidR="00445870" w:rsidRPr="0019406C">
        <w:rPr>
          <w:lang w:val="lv-LV"/>
        </w:rPr>
        <w:t xml:space="preserve">arī </w:t>
      </w:r>
      <w:r w:rsidRPr="0019406C">
        <w:rPr>
          <w:lang w:val="lv-LV"/>
        </w:rPr>
        <w:t>uzņēmēj</w:t>
      </w:r>
      <w:r w:rsidR="00445870" w:rsidRPr="0019406C">
        <w:rPr>
          <w:lang w:val="lv-LV"/>
        </w:rPr>
        <w:t>u</w:t>
      </w:r>
      <w:r w:rsidRPr="0019406C">
        <w:rPr>
          <w:lang w:val="lv-LV"/>
        </w:rPr>
        <w:t xml:space="preserve"> savstarpējo darījumu kārtošanai elektroniski.</w:t>
      </w:r>
    </w:p>
    <w:p w:rsidR="00811CA0" w:rsidRPr="0019406C" w:rsidRDefault="00811CA0">
      <w:pPr>
        <w:rPr>
          <w:rFonts w:asciiTheme="majorHAnsi" w:eastAsiaTheme="majorEastAsia" w:hAnsiTheme="majorHAnsi" w:cstheme="majorBidi"/>
          <w:b/>
          <w:bCs/>
          <w:i/>
          <w:color w:val="DC6900" w:themeColor="text2"/>
          <w:sz w:val="32"/>
          <w:szCs w:val="26"/>
          <w:lang w:val="lv-LV"/>
        </w:rPr>
      </w:pPr>
    </w:p>
    <w:p w:rsidR="0080739D" w:rsidRPr="0019406C" w:rsidRDefault="00DE4117" w:rsidP="0080739D">
      <w:pPr>
        <w:pStyle w:val="Heading2"/>
        <w:rPr>
          <w:lang w:val="lv-LV"/>
        </w:rPr>
      </w:pPr>
      <w:bookmarkStart w:id="130" w:name="_Toc389226090"/>
      <w:r w:rsidRPr="0019406C">
        <w:rPr>
          <w:lang w:val="lv-LV"/>
        </w:rPr>
        <w:t>Valsts un pašvaldību iepirkumi</w:t>
      </w:r>
      <w:bookmarkEnd w:id="130"/>
    </w:p>
    <w:p w:rsidR="0088104F" w:rsidRPr="0019406C" w:rsidRDefault="0088104F" w:rsidP="00445870">
      <w:pPr>
        <w:pStyle w:val="BodyText"/>
        <w:rPr>
          <w:lang w:val="lv-LV"/>
        </w:rPr>
      </w:pPr>
    </w:p>
    <w:p w:rsidR="00DA1519" w:rsidRPr="0019406C" w:rsidRDefault="00DA1519" w:rsidP="00DA1519">
      <w:pPr>
        <w:pStyle w:val="BodyText"/>
        <w:spacing w:line="276" w:lineRule="auto"/>
        <w:jc w:val="both"/>
        <w:rPr>
          <w:rFonts w:asciiTheme="majorHAnsi" w:hAnsiTheme="majorHAnsi"/>
          <w:b/>
          <w:sz w:val="22"/>
          <w:lang w:val="lv-LV"/>
        </w:rPr>
      </w:pPr>
      <w:r w:rsidRPr="0019406C">
        <w:rPr>
          <w:rFonts w:asciiTheme="majorHAnsi" w:hAnsiTheme="majorHAnsi"/>
          <w:b/>
          <w:sz w:val="22"/>
          <w:lang w:val="lv-LV"/>
        </w:rPr>
        <w:t>Uzņēmēju aptauja</w:t>
      </w:r>
    </w:p>
    <w:p w:rsidR="00DA1519" w:rsidRPr="0019406C" w:rsidRDefault="00DA1519" w:rsidP="007051AD">
      <w:pPr>
        <w:pStyle w:val="BodyText"/>
        <w:spacing w:line="276" w:lineRule="auto"/>
        <w:jc w:val="both"/>
        <w:rPr>
          <w:rFonts w:asciiTheme="majorHAnsi" w:hAnsiTheme="majorHAnsi"/>
          <w:lang w:val="lv-LV"/>
        </w:rPr>
      </w:pPr>
      <w:r w:rsidRPr="0019406C">
        <w:rPr>
          <w:rFonts w:asciiTheme="majorHAnsi" w:hAnsiTheme="majorHAnsi"/>
          <w:lang w:val="lv-LV"/>
        </w:rPr>
        <w:t>Latvijas Faktu veiktā uzņēmēju aptauja parāda šādas tendences:</w:t>
      </w:r>
    </w:p>
    <w:p w:rsidR="00DA1519" w:rsidRPr="0019406C" w:rsidRDefault="00DA1519" w:rsidP="007051AD">
      <w:pPr>
        <w:pStyle w:val="BodyText"/>
        <w:numPr>
          <w:ilvl w:val="0"/>
          <w:numId w:val="49"/>
        </w:numPr>
        <w:spacing w:line="276" w:lineRule="auto"/>
        <w:jc w:val="both"/>
        <w:rPr>
          <w:rFonts w:asciiTheme="majorHAnsi" w:hAnsiTheme="majorHAnsi"/>
          <w:lang w:val="lv-LV"/>
        </w:rPr>
      </w:pPr>
      <w:r w:rsidRPr="0019406C">
        <w:rPr>
          <w:rFonts w:asciiTheme="majorHAnsi" w:hAnsiTheme="majorHAnsi"/>
          <w:lang w:val="lv-LV"/>
        </w:rPr>
        <w:t>Valsts un pašvaldību iepirkumos pēdējo 2 gadu laikā ir piedalījušies 16,7% aptaujāto uzņēmumu un tas ir mazāk nekā 2011.</w:t>
      </w:r>
      <w:r w:rsidR="00036416" w:rsidRPr="0019406C">
        <w:rPr>
          <w:rFonts w:asciiTheme="majorHAnsi" w:hAnsiTheme="majorHAnsi"/>
          <w:lang w:val="lv-LV"/>
        </w:rPr>
        <w:t xml:space="preserve"> gadā</w:t>
      </w:r>
      <w:r w:rsidRPr="0019406C">
        <w:rPr>
          <w:rFonts w:asciiTheme="majorHAnsi" w:hAnsiTheme="majorHAnsi"/>
          <w:lang w:val="lv-LV"/>
        </w:rPr>
        <w:t xml:space="preserve"> (19%) un </w:t>
      </w:r>
      <w:r w:rsidR="00036416" w:rsidRPr="0019406C">
        <w:rPr>
          <w:rFonts w:asciiTheme="majorHAnsi" w:hAnsiTheme="majorHAnsi"/>
          <w:lang w:val="lv-LV"/>
        </w:rPr>
        <w:t>2009. gadā</w:t>
      </w:r>
      <w:r w:rsidRPr="0019406C">
        <w:rPr>
          <w:rFonts w:asciiTheme="majorHAnsi" w:hAnsiTheme="majorHAnsi"/>
          <w:lang w:val="lv-LV"/>
        </w:rPr>
        <w:t xml:space="preserve"> (21%). Lielākā daļa šo uzņēmumu (12,6% no visiem) valsts un pašvaldību iepirkumos ir piedalījušies </w:t>
      </w:r>
      <w:r w:rsidR="0072729F" w:rsidRPr="0019406C">
        <w:rPr>
          <w:rFonts w:asciiTheme="majorHAnsi" w:hAnsiTheme="majorHAnsi"/>
          <w:lang w:val="lv-LV"/>
        </w:rPr>
        <w:t>vairakkārt</w:t>
      </w:r>
      <w:r w:rsidRPr="0019406C">
        <w:rPr>
          <w:rFonts w:asciiTheme="majorHAnsi" w:hAnsiTheme="majorHAnsi"/>
          <w:lang w:val="lv-LV"/>
        </w:rPr>
        <w:t>, 4,1% uzņēmumu – vienreiz. Salīdzinoši biežāk valsts un pašvaldību iepirkumos ir piedalījušies būvniecības uzņēmumi (38%);</w:t>
      </w:r>
    </w:p>
    <w:p w:rsidR="00DA1519" w:rsidRPr="0019406C" w:rsidRDefault="00DA1519" w:rsidP="007051AD">
      <w:pPr>
        <w:pStyle w:val="BodyText"/>
        <w:numPr>
          <w:ilvl w:val="0"/>
          <w:numId w:val="49"/>
        </w:numPr>
        <w:spacing w:line="276" w:lineRule="auto"/>
        <w:jc w:val="both"/>
        <w:rPr>
          <w:rFonts w:asciiTheme="majorHAnsi" w:hAnsiTheme="majorHAnsi"/>
          <w:lang w:val="lv-LV"/>
        </w:rPr>
      </w:pPr>
      <w:r w:rsidRPr="0019406C">
        <w:rPr>
          <w:rFonts w:asciiTheme="majorHAnsi" w:hAnsiTheme="majorHAnsi"/>
          <w:lang w:val="lv-LV"/>
        </w:rPr>
        <w:t>Vērtējot iepirkumu procesu, uzņēmēju vidū dominēja viedokļi (tiem piekrita vismaz 80% respondentu), ka:</w:t>
      </w:r>
    </w:p>
    <w:p w:rsidR="00DA1519" w:rsidRPr="0019406C" w:rsidRDefault="00DA1519" w:rsidP="007051AD">
      <w:pPr>
        <w:pStyle w:val="BodyText"/>
        <w:numPr>
          <w:ilvl w:val="1"/>
          <w:numId w:val="83"/>
        </w:numPr>
        <w:spacing w:line="276" w:lineRule="auto"/>
        <w:jc w:val="both"/>
        <w:rPr>
          <w:rFonts w:asciiTheme="majorHAnsi" w:hAnsiTheme="majorHAnsi"/>
          <w:lang w:val="lv-LV"/>
        </w:rPr>
      </w:pPr>
      <w:r w:rsidRPr="0019406C">
        <w:rPr>
          <w:rFonts w:asciiTheme="majorHAnsi" w:hAnsiTheme="majorHAnsi"/>
          <w:lang w:val="lv-LV"/>
        </w:rPr>
        <w:t>iepirkumos zemākās cenas vietā jāvērtē saimnieciski izdevīgākais piedāvājums (labākā cenas un kvalitātes attiecība) – piekrita 89% uzņēmēju;</w:t>
      </w:r>
    </w:p>
    <w:p w:rsidR="00DA1519" w:rsidRPr="0019406C" w:rsidRDefault="00DA1519" w:rsidP="007051AD">
      <w:pPr>
        <w:pStyle w:val="BodyText"/>
        <w:numPr>
          <w:ilvl w:val="1"/>
          <w:numId w:val="83"/>
        </w:numPr>
        <w:spacing w:line="276" w:lineRule="auto"/>
        <w:jc w:val="both"/>
        <w:rPr>
          <w:rFonts w:asciiTheme="majorHAnsi" w:hAnsiTheme="majorHAnsi"/>
          <w:lang w:val="lv-LV"/>
        </w:rPr>
      </w:pPr>
      <w:r w:rsidRPr="0019406C">
        <w:rPr>
          <w:rFonts w:asciiTheme="majorHAnsi" w:hAnsiTheme="majorHAnsi"/>
          <w:lang w:val="lv-LV"/>
        </w:rPr>
        <w:t>valsts nepietiekami aizsargā vietējos ražotājus un pakalpojumu sniedzējus – piekrita 81%;</w:t>
      </w:r>
    </w:p>
    <w:p w:rsidR="00DA1519" w:rsidRPr="0019406C" w:rsidRDefault="00DA1519" w:rsidP="007051AD">
      <w:pPr>
        <w:pStyle w:val="BodyText"/>
        <w:numPr>
          <w:ilvl w:val="1"/>
          <w:numId w:val="83"/>
        </w:numPr>
        <w:spacing w:line="276" w:lineRule="auto"/>
        <w:jc w:val="both"/>
        <w:rPr>
          <w:rFonts w:asciiTheme="majorHAnsi" w:hAnsiTheme="majorHAnsi"/>
          <w:lang w:val="lv-LV"/>
        </w:rPr>
      </w:pPr>
      <w:r w:rsidRPr="0019406C">
        <w:rPr>
          <w:rFonts w:asciiTheme="majorHAnsi" w:hAnsiTheme="majorHAnsi"/>
          <w:lang w:val="lv-LV"/>
        </w:rPr>
        <w:t>iepirkumos vajadzētu uzrādīt visus apakšuzņēmējus, kurus plānots piesaistīt – piekrita 80% (23% vairāk nekā 2011.</w:t>
      </w:r>
      <w:r w:rsidR="00036416" w:rsidRPr="0019406C">
        <w:rPr>
          <w:rFonts w:asciiTheme="majorHAnsi" w:hAnsiTheme="majorHAnsi"/>
          <w:lang w:val="lv-LV"/>
        </w:rPr>
        <w:t xml:space="preserve"> gadā</w:t>
      </w:r>
      <w:r w:rsidRPr="0019406C">
        <w:rPr>
          <w:rFonts w:asciiTheme="majorHAnsi" w:hAnsiTheme="majorHAnsi"/>
          <w:lang w:val="lv-LV"/>
        </w:rPr>
        <w:t>);</w:t>
      </w:r>
    </w:p>
    <w:p w:rsidR="00DA1519" w:rsidRPr="0019406C" w:rsidRDefault="00DA1519" w:rsidP="007051AD">
      <w:pPr>
        <w:pStyle w:val="BodyText"/>
        <w:numPr>
          <w:ilvl w:val="0"/>
          <w:numId w:val="49"/>
        </w:numPr>
        <w:spacing w:line="276" w:lineRule="auto"/>
        <w:jc w:val="both"/>
        <w:rPr>
          <w:rFonts w:asciiTheme="majorHAnsi" w:hAnsiTheme="majorHAnsi"/>
          <w:lang w:val="lv-LV"/>
        </w:rPr>
      </w:pPr>
      <w:r w:rsidRPr="0019406C">
        <w:rPr>
          <w:rFonts w:asciiTheme="majorHAnsi" w:hAnsiTheme="majorHAnsi"/>
          <w:lang w:val="lv-LV"/>
        </w:rPr>
        <w:t xml:space="preserve">Attiecībā uz iespējamo risinājumu iepirkumu procedūru uzlabošanā uzņēmēju aptaujas rezultāti norāda, ka 71% atbalstītu uzņēmēju “melnā saraksta” veidošanu, kas liegtu piedalīties publiskajos iepirkumos negodprātīgiem uzņēmējiem, kā arī 69% piekrita, ka pasūtītāji retāk pieļautu likuma pārkāpumus, ja viņi par pārkāpumiem tiktu sodīti. Jāpiemin, ka 61% uzņēmēju piekrīt, ka ir jāpiemēro </w:t>
      </w:r>
      <w:r w:rsidRPr="0019406C">
        <w:rPr>
          <w:rFonts w:asciiTheme="majorHAnsi" w:hAnsiTheme="majorHAnsi"/>
          <w:lang w:val="lv-LV"/>
        </w:rPr>
        <w:lastRenderedPageBreak/>
        <w:t>vidējās algas minimālais slieksnis, kā arī algas minimālā sliekšņa prasību būtu jāpiemēro pretendenta apakšuzņēmējiem – piekrita 61%.</w:t>
      </w:r>
    </w:p>
    <w:p w:rsidR="00DA1519" w:rsidRPr="0019406C" w:rsidRDefault="00DA1519" w:rsidP="007051AD">
      <w:pPr>
        <w:pStyle w:val="BodyText"/>
        <w:numPr>
          <w:ilvl w:val="0"/>
          <w:numId w:val="49"/>
        </w:numPr>
        <w:spacing w:line="276" w:lineRule="auto"/>
        <w:jc w:val="both"/>
        <w:rPr>
          <w:rFonts w:asciiTheme="majorHAnsi" w:hAnsiTheme="majorHAnsi"/>
          <w:lang w:val="lv-LV"/>
        </w:rPr>
      </w:pPr>
      <w:r w:rsidRPr="0019406C">
        <w:rPr>
          <w:rFonts w:asciiTheme="majorHAnsi" w:hAnsiTheme="majorHAnsi"/>
          <w:lang w:val="lv-LV"/>
        </w:rPr>
        <w:t xml:space="preserve">Aptaujas rezultāti norāda, ka prasīto dokumentu (izziņu </w:t>
      </w:r>
      <w:proofErr w:type="spellStart"/>
      <w:r w:rsidRPr="0019406C">
        <w:rPr>
          <w:rFonts w:asciiTheme="majorHAnsi" w:hAnsiTheme="majorHAnsi"/>
          <w:lang w:val="lv-LV"/>
        </w:rPr>
        <w:t>u.tml</w:t>
      </w:r>
      <w:proofErr w:type="spellEnd"/>
      <w:r w:rsidRPr="0019406C">
        <w:rPr>
          <w:rFonts w:asciiTheme="majorHAnsi" w:hAnsiTheme="majorHAnsi"/>
          <w:lang w:val="lv-LV"/>
        </w:rPr>
        <w:t>.) sagatavošanai tiek tērēti lieli līdzekļi un laiks (piekrita 74%), kā arī, ka uzņēmēji uzskata, ka pasūtītāji bieži iepirkumos izvirza drastiskas un neelastīgas prasības (piekrita 71%). Jāpiemin, ka vidējais laika patēriņš piedāvājumu gatavošanai publiskajiem iepirkumiem ir 20 cilvēkdienas.</w:t>
      </w:r>
    </w:p>
    <w:p w:rsidR="00DA1519" w:rsidRPr="0019406C" w:rsidRDefault="00DA1519" w:rsidP="007051AD">
      <w:pPr>
        <w:pStyle w:val="BodyText"/>
        <w:numPr>
          <w:ilvl w:val="0"/>
          <w:numId w:val="49"/>
        </w:numPr>
        <w:spacing w:line="276" w:lineRule="auto"/>
        <w:jc w:val="both"/>
        <w:rPr>
          <w:rFonts w:asciiTheme="majorHAnsi" w:hAnsiTheme="majorHAnsi"/>
          <w:lang w:val="lv-LV"/>
        </w:rPr>
      </w:pPr>
      <w:r w:rsidRPr="0019406C">
        <w:rPr>
          <w:rFonts w:asciiTheme="majorHAnsi" w:hAnsiTheme="majorHAnsi"/>
          <w:lang w:val="lv-LV"/>
        </w:rPr>
        <w:t>66% (13% vairāk nekā 2011.</w:t>
      </w:r>
      <w:r w:rsidR="00036416" w:rsidRPr="0019406C">
        <w:rPr>
          <w:rFonts w:asciiTheme="majorHAnsi" w:hAnsiTheme="majorHAnsi"/>
          <w:lang w:val="lv-LV"/>
        </w:rPr>
        <w:t xml:space="preserve"> gadā</w:t>
      </w:r>
      <w:r w:rsidRPr="0019406C">
        <w:rPr>
          <w:rFonts w:asciiTheme="majorHAnsi" w:hAnsiTheme="majorHAnsi"/>
          <w:lang w:val="lv-LV"/>
        </w:rPr>
        <w:t>) uzņēmēju piekrita, ka konkurenti iespēju pārsūdzēt iepirkumu komisijas lēmumu bieži izmanto ļaunprātīgi;</w:t>
      </w:r>
    </w:p>
    <w:p w:rsidR="00DA1519" w:rsidRPr="0019406C" w:rsidRDefault="00DA1519" w:rsidP="007051AD">
      <w:pPr>
        <w:pStyle w:val="BodyText"/>
        <w:numPr>
          <w:ilvl w:val="0"/>
          <w:numId w:val="49"/>
        </w:numPr>
        <w:spacing w:line="276" w:lineRule="auto"/>
        <w:jc w:val="both"/>
        <w:rPr>
          <w:rFonts w:asciiTheme="majorHAnsi" w:hAnsiTheme="majorHAnsi"/>
          <w:lang w:val="lv-LV"/>
        </w:rPr>
      </w:pPr>
      <w:r w:rsidRPr="0019406C">
        <w:rPr>
          <w:rFonts w:asciiTheme="majorHAnsi" w:hAnsiTheme="majorHAnsi"/>
          <w:lang w:val="lv-LV"/>
        </w:rPr>
        <w:t>Tomēr kopumā 54% piekrita, ka uzņēmēju kopumā apmierina publisko iepirkumu organizācija un regulējums.</w:t>
      </w:r>
    </w:p>
    <w:p w:rsidR="00DA1519" w:rsidRPr="0019406C" w:rsidRDefault="00DA1519" w:rsidP="007051AD">
      <w:pPr>
        <w:pStyle w:val="BodyText"/>
        <w:spacing w:line="276" w:lineRule="auto"/>
        <w:rPr>
          <w:rFonts w:asciiTheme="majorHAnsi" w:hAnsiTheme="majorHAnsi"/>
          <w:b/>
          <w:sz w:val="22"/>
          <w:lang w:val="lv-LV"/>
        </w:rPr>
      </w:pPr>
      <w:r w:rsidRPr="0019406C">
        <w:rPr>
          <w:rFonts w:asciiTheme="majorHAnsi" w:hAnsiTheme="majorHAnsi"/>
          <w:b/>
          <w:sz w:val="22"/>
          <w:lang w:val="lv-LV"/>
        </w:rPr>
        <w:t>Doing Business pētījums un Globālās konkurētspējas indekss</w:t>
      </w:r>
    </w:p>
    <w:p w:rsidR="00DA1519" w:rsidRPr="0019406C" w:rsidRDefault="00DA1519" w:rsidP="007051AD">
      <w:pPr>
        <w:pStyle w:val="BodyText"/>
        <w:spacing w:line="276" w:lineRule="auto"/>
        <w:jc w:val="both"/>
        <w:rPr>
          <w:rFonts w:asciiTheme="majorHAnsi" w:hAnsiTheme="majorHAnsi"/>
          <w:lang w:val="lv-LV"/>
        </w:rPr>
      </w:pPr>
      <w:r w:rsidRPr="0019406C">
        <w:rPr>
          <w:rFonts w:asciiTheme="majorHAnsi" w:hAnsiTheme="majorHAnsi"/>
          <w:lang w:val="lv-LV"/>
        </w:rPr>
        <w:t>Valsts un pašvaldību iepirkumu tēma nav apskatīta atsevišķi DB un GKI pētījumos.</w:t>
      </w:r>
    </w:p>
    <w:p w:rsidR="00DA1519" w:rsidRPr="0019406C" w:rsidRDefault="00DA1519" w:rsidP="007051AD">
      <w:pPr>
        <w:pStyle w:val="BodyText"/>
        <w:spacing w:line="276" w:lineRule="auto"/>
        <w:rPr>
          <w:rFonts w:asciiTheme="majorHAnsi" w:hAnsiTheme="majorHAnsi"/>
          <w:b/>
          <w:sz w:val="22"/>
          <w:lang w:val="lv-LV"/>
        </w:rPr>
      </w:pPr>
      <w:r w:rsidRPr="0019406C">
        <w:rPr>
          <w:rFonts w:asciiTheme="majorHAnsi" w:hAnsiTheme="majorHAnsi"/>
          <w:b/>
          <w:sz w:val="22"/>
          <w:lang w:val="lv-LV"/>
        </w:rPr>
        <w:t>Secinājumi un priekšlikumi</w:t>
      </w:r>
    </w:p>
    <w:p w:rsidR="00DA1519" w:rsidRPr="0019406C" w:rsidRDefault="00DA1519" w:rsidP="007051AD">
      <w:pPr>
        <w:pStyle w:val="BodyText"/>
        <w:spacing w:line="276" w:lineRule="auto"/>
        <w:jc w:val="both"/>
        <w:rPr>
          <w:rFonts w:asciiTheme="majorHAnsi" w:hAnsiTheme="majorHAnsi"/>
          <w:lang w:val="lv-LV"/>
        </w:rPr>
      </w:pPr>
      <w:r w:rsidRPr="0019406C">
        <w:rPr>
          <w:rFonts w:asciiTheme="majorHAnsi" w:hAnsiTheme="majorHAnsi"/>
          <w:lang w:val="lv-LV"/>
        </w:rPr>
        <w:t xml:space="preserve">Ņemot vērā, ka </w:t>
      </w:r>
      <w:r w:rsidR="0072729F" w:rsidRPr="0019406C">
        <w:rPr>
          <w:rFonts w:asciiTheme="majorHAnsi" w:hAnsiTheme="majorHAnsi"/>
          <w:lang w:val="lv-LV"/>
        </w:rPr>
        <w:t>uzņēmumu</w:t>
      </w:r>
      <w:r w:rsidRPr="0019406C">
        <w:rPr>
          <w:rFonts w:asciiTheme="majorHAnsi" w:hAnsiTheme="majorHAnsi"/>
          <w:lang w:val="lv-LV"/>
        </w:rPr>
        <w:t xml:space="preserve"> aptaujā iekļautā jautājumu joma par valsts un pašvaldību iepirkumiem netika iekļauta </w:t>
      </w:r>
      <w:r w:rsidR="0072729F" w:rsidRPr="0019406C">
        <w:rPr>
          <w:rFonts w:asciiTheme="majorHAnsi" w:hAnsiTheme="majorHAnsi"/>
          <w:lang w:val="lv-LV"/>
        </w:rPr>
        <w:t>tehniskajā</w:t>
      </w:r>
      <w:r w:rsidRPr="0019406C">
        <w:rPr>
          <w:rFonts w:asciiTheme="majorHAnsi" w:hAnsiTheme="majorHAnsi"/>
          <w:lang w:val="lv-LV"/>
        </w:rPr>
        <w:t xml:space="preserve"> specifikācijā norādīto apskatāmo tēmu sarakstā, šī joma nav atsevišķi pētīta, piesaistot ekspertus vai meklējot papildu informāciju, tomēr uzņēmēju aptaujas dati liek secināt par šādām tendencēm:</w:t>
      </w:r>
    </w:p>
    <w:p w:rsidR="00DA1519" w:rsidRPr="0019406C" w:rsidRDefault="00DA1519" w:rsidP="007051AD">
      <w:pPr>
        <w:pStyle w:val="BodyText"/>
        <w:numPr>
          <w:ilvl w:val="0"/>
          <w:numId w:val="64"/>
        </w:numPr>
        <w:spacing w:line="276" w:lineRule="auto"/>
        <w:jc w:val="both"/>
        <w:rPr>
          <w:rFonts w:asciiTheme="majorHAnsi" w:hAnsiTheme="majorHAnsi"/>
          <w:lang w:val="lv-LV"/>
        </w:rPr>
      </w:pPr>
      <w:r w:rsidRPr="0019406C">
        <w:rPr>
          <w:rFonts w:asciiTheme="majorHAnsi" w:hAnsiTheme="majorHAnsi"/>
          <w:lang w:val="lv-LV"/>
        </w:rPr>
        <w:t>liela daļa uzņēmēju novērtē procedūras kā laikietilpīgas,</w:t>
      </w:r>
    </w:p>
    <w:p w:rsidR="00DA1519" w:rsidRPr="0019406C" w:rsidRDefault="00DA1519" w:rsidP="007051AD">
      <w:pPr>
        <w:pStyle w:val="BodyText"/>
        <w:numPr>
          <w:ilvl w:val="0"/>
          <w:numId w:val="64"/>
        </w:numPr>
        <w:spacing w:line="276" w:lineRule="auto"/>
        <w:jc w:val="both"/>
        <w:rPr>
          <w:rFonts w:asciiTheme="majorHAnsi" w:hAnsiTheme="majorHAnsi"/>
          <w:lang w:val="lv-LV"/>
        </w:rPr>
      </w:pPr>
      <w:r w:rsidRPr="0019406C">
        <w:rPr>
          <w:rFonts w:asciiTheme="majorHAnsi" w:hAnsiTheme="majorHAnsi"/>
          <w:lang w:val="lv-LV"/>
        </w:rPr>
        <w:t>iespējamie uzlabojumi varētu  ietvert „negodīgo uzņēmumu” sodīšanu, „melnā saraksta” veidošanu, minimālā algas līmeņa sliekšņa ieviešanu.</w:t>
      </w:r>
    </w:p>
    <w:p w:rsidR="00DA1519" w:rsidRPr="0019406C" w:rsidRDefault="00DA1519" w:rsidP="007051AD">
      <w:pPr>
        <w:pStyle w:val="Heading30"/>
        <w:spacing w:after="240"/>
      </w:pPr>
      <w:r w:rsidRPr="0019406C">
        <w:rPr>
          <w:rFonts w:ascii="Georgia" w:eastAsiaTheme="minorHAnsi" w:hAnsi="Georgia" w:cstheme="minorBidi"/>
          <w:szCs w:val="20"/>
        </w:rPr>
        <w:t>Ekspertu diskusija</w:t>
      </w:r>
    </w:p>
    <w:p w:rsidR="00DA1519" w:rsidRPr="0019406C" w:rsidRDefault="00DA1519" w:rsidP="007051AD">
      <w:pPr>
        <w:spacing w:line="276" w:lineRule="auto"/>
        <w:rPr>
          <w:rFonts w:asciiTheme="majorHAnsi" w:hAnsiTheme="majorHAnsi"/>
          <w:lang w:val="lv-LV"/>
        </w:rPr>
      </w:pPr>
      <w:r w:rsidRPr="0019406C">
        <w:rPr>
          <w:lang w:val="lv-LV"/>
        </w:rPr>
        <w:t xml:space="preserve">Lai pārrunātu situāciju saistībā ar valsts un pašvaldību iepirkumiem, tika organizēta ekspertu diskusija. Ekspertu diskusijas laikā tika </w:t>
      </w:r>
      <w:r w:rsidR="0072729F" w:rsidRPr="0019406C">
        <w:rPr>
          <w:lang w:val="lv-LV"/>
        </w:rPr>
        <w:t>parunāti</w:t>
      </w:r>
      <w:r w:rsidRPr="0019406C">
        <w:rPr>
          <w:lang w:val="lv-LV"/>
        </w:rPr>
        <w:t xml:space="preserve"> uzņēmēju aptaujas rezultāti, kā arī galvenās problēmas un iespējamie </w:t>
      </w:r>
      <w:r w:rsidRPr="0019406C">
        <w:rPr>
          <w:rFonts w:asciiTheme="majorHAnsi" w:hAnsiTheme="majorHAnsi"/>
          <w:lang w:val="lv-LV"/>
        </w:rPr>
        <w:t>risinājumi. Kopējie secinājumi bija šādi:</w:t>
      </w:r>
    </w:p>
    <w:p w:rsidR="00DA1519" w:rsidRPr="0019406C" w:rsidRDefault="00DA1519" w:rsidP="007051AD">
      <w:pPr>
        <w:pStyle w:val="BodyText"/>
        <w:numPr>
          <w:ilvl w:val="0"/>
          <w:numId w:val="64"/>
        </w:numPr>
        <w:spacing w:line="276" w:lineRule="auto"/>
        <w:jc w:val="both"/>
        <w:rPr>
          <w:rFonts w:asciiTheme="majorHAnsi" w:hAnsiTheme="majorHAnsi"/>
          <w:lang w:val="lv-LV"/>
        </w:rPr>
      </w:pPr>
      <w:r w:rsidRPr="0019406C">
        <w:rPr>
          <w:rFonts w:asciiTheme="majorHAnsi" w:hAnsiTheme="majorHAnsi"/>
          <w:lang w:val="lv-LV"/>
        </w:rPr>
        <w:t>Ilgtermiņā būtu vēlams izveidot vidi, kurā piedāvājumus varētu iesniegt elektroniski;</w:t>
      </w:r>
    </w:p>
    <w:p w:rsidR="00DA1519" w:rsidRPr="0019406C" w:rsidRDefault="00DA1519" w:rsidP="007051AD">
      <w:pPr>
        <w:pStyle w:val="BodyText"/>
        <w:numPr>
          <w:ilvl w:val="0"/>
          <w:numId w:val="64"/>
        </w:numPr>
        <w:spacing w:line="276" w:lineRule="auto"/>
        <w:jc w:val="both"/>
        <w:rPr>
          <w:rFonts w:asciiTheme="majorHAnsi" w:hAnsiTheme="majorHAnsi"/>
          <w:lang w:val="lv-LV"/>
        </w:rPr>
      </w:pPr>
      <w:r w:rsidRPr="0019406C">
        <w:rPr>
          <w:rFonts w:asciiTheme="majorHAnsi" w:hAnsiTheme="majorHAnsi"/>
          <w:lang w:val="lv-LV"/>
        </w:rPr>
        <w:t xml:space="preserve">Ņemot vērā to, ka šobrīd 50% no sūdzībām tiek atzītas par nepamatotām, viens no risinājumiem nepamatotu sūdzību iesniegšanai izskan depozīta variants, </w:t>
      </w:r>
      <w:proofErr w:type="spellStart"/>
      <w:r w:rsidRPr="0019406C">
        <w:rPr>
          <w:rFonts w:asciiTheme="majorHAnsi" w:hAnsiTheme="majorHAnsi"/>
          <w:lang w:val="lv-LV"/>
        </w:rPr>
        <w:t>t.i</w:t>
      </w:r>
      <w:proofErr w:type="spellEnd"/>
      <w:r w:rsidRPr="0019406C">
        <w:rPr>
          <w:rFonts w:asciiTheme="majorHAnsi" w:hAnsiTheme="majorHAnsi"/>
          <w:lang w:val="lv-LV"/>
        </w:rPr>
        <w:t>., iesniedzot sūdzību, jāiemaksā depozīts, kas tiek atgriezts tādā gadījumā, ja sūdzība izrādījusies nepamatota;</w:t>
      </w:r>
    </w:p>
    <w:p w:rsidR="00DA1519" w:rsidRPr="0019406C" w:rsidRDefault="00DA1519" w:rsidP="007051AD">
      <w:pPr>
        <w:pStyle w:val="BodyText"/>
        <w:numPr>
          <w:ilvl w:val="0"/>
          <w:numId w:val="64"/>
        </w:numPr>
        <w:spacing w:line="276" w:lineRule="auto"/>
        <w:jc w:val="both"/>
        <w:rPr>
          <w:rFonts w:asciiTheme="majorHAnsi" w:hAnsiTheme="majorHAnsi"/>
          <w:lang w:val="lv-LV"/>
        </w:rPr>
      </w:pPr>
      <w:r w:rsidRPr="0019406C">
        <w:rPr>
          <w:rFonts w:asciiTheme="majorHAnsi" w:hAnsiTheme="majorHAnsi"/>
          <w:lang w:val="lv-LV"/>
        </w:rPr>
        <w:t xml:space="preserve">Iespējami samazināt administratīvo slogu varētu arī e-konkursa ieviešana, kas ietvertu unificētu formu izstrādi uzņēmumiem, standartizētas CV formas </w:t>
      </w:r>
      <w:proofErr w:type="spellStart"/>
      <w:r w:rsidRPr="0019406C">
        <w:rPr>
          <w:rFonts w:asciiTheme="majorHAnsi" w:hAnsiTheme="majorHAnsi"/>
          <w:lang w:val="lv-LV"/>
        </w:rPr>
        <w:t>u.c</w:t>
      </w:r>
      <w:proofErr w:type="spellEnd"/>
      <w:r w:rsidRPr="0019406C">
        <w:rPr>
          <w:rFonts w:asciiTheme="majorHAnsi" w:hAnsiTheme="majorHAnsi"/>
          <w:lang w:val="lv-LV"/>
        </w:rPr>
        <w:t>.;</w:t>
      </w:r>
    </w:p>
    <w:p w:rsidR="00DA1519" w:rsidRPr="0019406C" w:rsidRDefault="00DA1519" w:rsidP="007051AD">
      <w:pPr>
        <w:pStyle w:val="BodyText"/>
        <w:numPr>
          <w:ilvl w:val="0"/>
          <w:numId w:val="64"/>
        </w:numPr>
        <w:spacing w:line="276" w:lineRule="auto"/>
        <w:jc w:val="both"/>
        <w:rPr>
          <w:rFonts w:asciiTheme="majorHAnsi" w:hAnsiTheme="majorHAnsi"/>
          <w:lang w:val="lv-LV"/>
        </w:rPr>
      </w:pPr>
      <w:r w:rsidRPr="0019406C">
        <w:rPr>
          <w:rFonts w:asciiTheme="majorHAnsi" w:hAnsiTheme="majorHAnsi"/>
          <w:lang w:val="lv-LV"/>
        </w:rPr>
        <w:t xml:space="preserve">Būtu jāizskata arī minimālās algas līmeņu sliekšņu ieviešana. </w:t>
      </w:r>
    </w:p>
    <w:p w:rsidR="00AE0CEC" w:rsidRPr="0019406C" w:rsidRDefault="00AE0CEC" w:rsidP="00534CB9">
      <w:pPr>
        <w:pStyle w:val="Heading30"/>
        <w:spacing w:after="240" w:line="240" w:lineRule="atLeast"/>
      </w:pPr>
      <w:r w:rsidRPr="0019406C">
        <w:br w:type="page"/>
      </w:r>
    </w:p>
    <w:p w:rsidR="007274AF" w:rsidRPr="0019406C" w:rsidRDefault="00335007" w:rsidP="00335007">
      <w:pPr>
        <w:pStyle w:val="Heading1"/>
        <w:rPr>
          <w:lang w:val="lv-LV"/>
        </w:rPr>
      </w:pPr>
      <w:bookmarkStart w:id="131" w:name="_Toc389226091"/>
      <w:r w:rsidRPr="0019406C">
        <w:rPr>
          <w:lang w:val="lv-LV"/>
        </w:rPr>
        <w:lastRenderedPageBreak/>
        <w:t>Ziņojuma kopsavilkums</w:t>
      </w:r>
      <w:bookmarkEnd w:id="131"/>
    </w:p>
    <w:p w:rsidR="00B1457B" w:rsidRPr="0019406C" w:rsidRDefault="00B1457B" w:rsidP="002771DE">
      <w:pPr>
        <w:pStyle w:val="BodyText"/>
        <w:spacing w:line="276" w:lineRule="auto"/>
        <w:jc w:val="both"/>
        <w:rPr>
          <w:lang w:val="lv-LV"/>
        </w:rPr>
      </w:pPr>
      <w:bookmarkStart w:id="132" w:name="_Ref381598427"/>
      <w:bookmarkStart w:id="133" w:name="_Ref381598446"/>
      <w:bookmarkStart w:id="134" w:name="_Ref381598462"/>
      <w:bookmarkStart w:id="135" w:name="_Ref381598865"/>
      <w:r w:rsidRPr="0019406C">
        <w:rPr>
          <w:lang w:val="lv-LV"/>
        </w:rPr>
        <w:t>Viens no būtiskiem Latvijas uzņēmējdarbības un investīciju vidi ietekmējošiem faktoriem ir administratīvās procedūras, kuras var vai nu veicināt vai, tieši otrādi, likt šķēršļus Latvijas uzņēmumiem to konkurētspējas paaugstināšanā.</w:t>
      </w:r>
    </w:p>
    <w:p w:rsidR="00B1457B" w:rsidRPr="0019406C" w:rsidRDefault="00B1457B" w:rsidP="002771DE">
      <w:pPr>
        <w:pStyle w:val="BodyText"/>
        <w:spacing w:line="276" w:lineRule="auto"/>
        <w:jc w:val="both"/>
        <w:rPr>
          <w:lang w:val="lv-LV"/>
        </w:rPr>
      </w:pPr>
      <w:r w:rsidRPr="0019406C">
        <w:rPr>
          <w:lang w:val="lv-LV"/>
        </w:rPr>
        <w:t xml:space="preserve">Uzņēmējdarbības vides uzlabošanas mērķis ir pievilcīgas un konkurētspējīgas biznesa vides veidošana, lai stimulētu darba vietu radīšanu, darba ražīguma paaugstināšanu un attīstītu augstas pievienotās vērtības eksportu, ņemot vērā Latvijas ierobežoto cilvēku un finanšu resursu bāzi un specifisko makroekonomisko situāciju. </w:t>
      </w:r>
    </w:p>
    <w:p w:rsidR="00B1457B" w:rsidRPr="0019406C" w:rsidRDefault="00B1457B" w:rsidP="002771DE">
      <w:pPr>
        <w:pStyle w:val="BodyText"/>
        <w:spacing w:line="276" w:lineRule="auto"/>
        <w:jc w:val="both"/>
        <w:rPr>
          <w:lang w:val="lv-LV"/>
        </w:rPr>
      </w:pPr>
      <w:r w:rsidRPr="0019406C">
        <w:rPr>
          <w:lang w:val="lv-LV"/>
        </w:rPr>
        <w:t>Lai objektīvi novērtētu administratīvos procesus valstī, tiek izmantoti tādi instrumenti kā uzņēm</w:t>
      </w:r>
      <w:r w:rsidR="00627B52" w:rsidRPr="0019406C">
        <w:rPr>
          <w:lang w:val="lv-LV"/>
        </w:rPr>
        <w:t xml:space="preserve">ēju </w:t>
      </w:r>
      <w:r w:rsidRPr="0019406C">
        <w:rPr>
          <w:lang w:val="lv-LV"/>
        </w:rPr>
        <w:t>aptauja, Pasaules Bankas Doing Business</w:t>
      </w:r>
      <w:r w:rsidR="00E061A2" w:rsidRPr="0019406C">
        <w:rPr>
          <w:lang w:val="lv-LV"/>
        </w:rPr>
        <w:t xml:space="preserve"> (turpmāk – DB)</w:t>
      </w:r>
      <w:r w:rsidRPr="0019406C">
        <w:rPr>
          <w:lang w:val="lv-LV"/>
        </w:rPr>
        <w:t xml:space="preserve"> pētījums, Globālais konkurētspējas indekss</w:t>
      </w:r>
      <w:r w:rsidR="00E061A2" w:rsidRPr="0019406C">
        <w:rPr>
          <w:lang w:val="lv-LV"/>
        </w:rPr>
        <w:t xml:space="preserve"> (turpmāk – GKI)</w:t>
      </w:r>
      <w:r w:rsidRPr="0019406C">
        <w:rPr>
          <w:lang w:val="lv-LV"/>
        </w:rPr>
        <w:t>, kā arī tiek uzturēts regulārs dialogs ar privāto sektoru.</w:t>
      </w:r>
    </w:p>
    <w:p w:rsidR="00AE0B1D" w:rsidRPr="0019406C" w:rsidRDefault="00AE0B1D" w:rsidP="002771DE">
      <w:pPr>
        <w:pStyle w:val="BodyText"/>
        <w:spacing w:line="276" w:lineRule="auto"/>
        <w:jc w:val="both"/>
        <w:rPr>
          <w:lang w:val="lv-LV"/>
        </w:rPr>
      </w:pPr>
      <w:r w:rsidRPr="0019406C">
        <w:rPr>
          <w:lang w:val="lv-LV"/>
        </w:rPr>
        <w:t xml:space="preserve">Katru otro gadu Latvijā tiek veikta uzņēmēju aptauja, kura pamatā tiek bāzēta uz </w:t>
      </w:r>
      <w:r w:rsidR="00E061A2" w:rsidRPr="0019406C">
        <w:rPr>
          <w:lang w:val="lv-LV"/>
        </w:rPr>
        <w:t>DB</w:t>
      </w:r>
      <w:r w:rsidRPr="0019406C">
        <w:rPr>
          <w:lang w:val="lv-LV"/>
        </w:rPr>
        <w:t xml:space="preserve"> izstrādāto metodiku un kuras mērķis ir uzzināt uzņēmēju viedokli par izmaiņām uzņēmējdarbības vidē Latvijā. Ņemot vērā šīs aptaujas rezultātus, </w:t>
      </w:r>
      <w:r w:rsidR="00C16381" w:rsidRPr="0019406C">
        <w:rPr>
          <w:lang w:val="lv-LV"/>
        </w:rPr>
        <w:t>D</w:t>
      </w:r>
      <w:r w:rsidR="00654AAD" w:rsidRPr="0019406C">
        <w:rPr>
          <w:lang w:val="lv-LV"/>
        </w:rPr>
        <w:t>B</w:t>
      </w:r>
      <w:r w:rsidR="00C16381" w:rsidRPr="0019406C">
        <w:rPr>
          <w:lang w:val="lv-LV"/>
        </w:rPr>
        <w:t xml:space="preserve"> un </w:t>
      </w:r>
      <w:r w:rsidR="00E061A2" w:rsidRPr="0019406C">
        <w:rPr>
          <w:lang w:val="lv-LV"/>
        </w:rPr>
        <w:t>GKI</w:t>
      </w:r>
      <w:r w:rsidRPr="0019406C">
        <w:rPr>
          <w:lang w:val="lv-LV"/>
        </w:rPr>
        <w:t xml:space="preserve"> pētījumus, citu valstu gūto pieredzi un intervijās ar uzņēmējiem iegūto informāciju, ir sagatavots ziņojums ar ieteikumiem Latvijas uzņēmējdarbības vides uzlabošanai ar mērķi atvieglot administratīvās procedūras uzņēmējdarbībā.</w:t>
      </w:r>
    </w:p>
    <w:p w:rsidR="00792502" w:rsidRPr="0019406C" w:rsidRDefault="00792502" w:rsidP="002771DE">
      <w:pPr>
        <w:pStyle w:val="BodyText"/>
        <w:spacing w:line="276" w:lineRule="auto"/>
        <w:jc w:val="both"/>
        <w:rPr>
          <w:lang w:val="lv-LV"/>
        </w:rPr>
      </w:pPr>
      <w:r w:rsidRPr="0019406C">
        <w:rPr>
          <w:lang w:val="lv-LV"/>
        </w:rPr>
        <w:t xml:space="preserve">Šī pētījuma </w:t>
      </w:r>
      <w:r w:rsidR="00C16381" w:rsidRPr="0019406C">
        <w:rPr>
          <w:lang w:val="lv-LV"/>
        </w:rPr>
        <w:t>ietvaros veiktās uzņēm</w:t>
      </w:r>
      <w:r w:rsidR="00627B52" w:rsidRPr="0019406C">
        <w:rPr>
          <w:lang w:val="lv-LV"/>
        </w:rPr>
        <w:t xml:space="preserve">ēju </w:t>
      </w:r>
      <w:r w:rsidRPr="0019406C">
        <w:rPr>
          <w:lang w:val="lv-LV"/>
        </w:rPr>
        <w:t xml:space="preserve">aptaujas rezultātu analīze </w:t>
      </w:r>
      <w:r w:rsidRPr="0019406C">
        <w:rPr>
          <w:rFonts w:cs="Arial"/>
          <w:lang w:val="lv-LV"/>
        </w:rPr>
        <w:t>un to salīdzinājums ar iepriekšējo pētījumu rezultātiem ļauj apgalvot, ka uzņēmējdarbības vide Latvijā uzlabojas. Visas pētījuma instrumentārijā iekļautās regulējošās jomas, administratīvās procedūras, iespējamie uzņēmējdarbības šķēršļi šogad retāk tika vērtēti, kā kavējoši uzņēmumu attīstībai, nekā tas bija iepriekšējos pētījumos (kopš 2001.</w:t>
      </w:r>
      <w:r w:rsidR="00B41F84">
        <w:rPr>
          <w:rFonts w:cs="Arial"/>
          <w:lang w:val="lv-LV"/>
        </w:rPr>
        <w:t xml:space="preserve"> gada</w:t>
      </w:r>
      <w:r w:rsidRPr="0019406C">
        <w:rPr>
          <w:rFonts w:cs="Arial"/>
          <w:lang w:val="lv-LV"/>
        </w:rPr>
        <w:t xml:space="preserve">). Arī uzņēmējdarbības šķēršļu intensitāte (skalā no „neliela” līdz „ļoti augsta”) šogad vairākumā gadījumu tika vērtēta kā mazāk augsta nekā iepriekšējos pētījumos. </w:t>
      </w:r>
    </w:p>
    <w:p w:rsidR="00792502" w:rsidRPr="0019406C" w:rsidRDefault="00792502" w:rsidP="002771DE">
      <w:pPr>
        <w:spacing w:before="120" w:after="0" w:line="276" w:lineRule="auto"/>
        <w:jc w:val="both"/>
        <w:rPr>
          <w:rFonts w:cs="Arial"/>
          <w:lang w:val="lv-LV"/>
        </w:rPr>
      </w:pPr>
      <w:r w:rsidRPr="0019406C">
        <w:rPr>
          <w:rFonts w:cs="Arial"/>
          <w:lang w:val="lv-LV"/>
        </w:rPr>
        <w:t xml:space="preserve">Kopumā nozīmīgākie un izplatītākie uzņēmējdarbības kavēkļi laikā no 2001. </w:t>
      </w:r>
      <w:r w:rsidR="00654AAD" w:rsidRPr="0019406C">
        <w:rPr>
          <w:rFonts w:cs="Arial"/>
          <w:lang w:val="lv-LV"/>
        </w:rPr>
        <w:t>l</w:t>
      </w:r>
      <w:r w:rsidRPr="0019406C">
        <w:rPr>
          <w:rFonts w:cs="Arial"/>
          <w:lang w:val="lv-LV"/>
        </w:rPr>
        <w:t>īdz 2014. gadam (vidējā vērtība no kavēkļa minēšanas īpatsvara (procentos) visos gados, kad attiecīgais kavēklis bija iekļauts aptaujā) ir šādi:</w:t>
      </w:r>
    </w:p>
    <w:p w:rsidR="00792502" w:rsidRPr="0019406C" w:rsidRDefault="00792502" w:rsidP="00792502">
      <w:pPr>
        <w:spacing w:before="120" w:after="0" w:line="288" w:lineRule="auto"/>
        <w:jc w:val="both"/>
        <w:rPr>
          <w:rFonts w:cs="Arial"/>
          <w:lang w:val="lv-LV"/>
        </w:rPr>
      </w:pPr>
      <w:r w:rsidRPr="0019406C">
        <w:rPr>
          <w:noProof/>
          <w:lang w:eastAsia="en-GB"/>
        </w:rPr>
        <w:drawing>
          <wp:inline distT="0" distB="0" distL="0" distR="0" wp14:anchorId="31E154BF" wp14:editId="2C7D0060">
            <wp:extent cx="4572000" cy="2527540"/>
            <wp:effectExtent l="0" t="0" r="0" b="63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792502" w:rsidRPr="0019406C" w:rsidRDefault="00792502" w:rsidP="00792502">
      <w:pPr>
        <w:pStyle w:val="Caption"/>
        <w:jc w:val="both"/>
        <w:rPr>
          <w:rFonts w:cs="Arial"/>
          <w:sz w:val="16"/>
          <w:szCs w:val="16"/>
          <w:lang w:val="lv-LV"/>
        </w:rPr>
      </w:pPr>
      <w:r w:rsidRPr="0019406C">
        <w:rPr>
          <w:sz w:val="16"/>
          <w:szCs w:val="16"/>
          <w:lang w:val="lv-LV"/>
        </w:rPr>
        <w:t xml:space="preserve">Ilustrācija </w:t>
      </w:r>
      <w:r w:rsidRPr="0019406C">
        <w:rPr>
          <w:sz w:val="16"/>
          <w:szCs w:val="16"/>
          <w:lang w:val="lv-LV"/>
        </w:rPr>
        <w:fldChar w:fldCharType="begin"/>
      </w:r>
      <w:r w:rsidRPr="0019406C">
        <w:rPr>
          <w:sz w:val="16"/>
          <w:szCs w:val="16"/>
          <w:lang w:val="lv-LV"/>
        </w:rPr>
        <w:instrText xml:space="preserve"> SEQ Ilustrācija \* ARABIC </w:instrText>
      </w:r>
      <w:r w:rsidRPr="0019406C">
        <w:rPr>
          <w:sz w:val="16"/>
          <w:szCs w:val="16"/>
          <w:lang w:val="lv-LV"/>
        </w:rPr>
        <w:fldChar w:fldCharType="separate"/>
      </w:r>
      <w:r w:rsidR="00410806" w:rsidRPr="0019406C">
        <w:rPr>
          <w:noProof/>
          <w:sz w:val="16"/>
          <w:szCs w:val="16"/>
          <w:lang w:val="lv-LV"/>
        </w:rPr>
        <w:t>13</w:t>
      </w:r>
      <w:r w:rsidRPr="0019406C">
        <w:rPr>
          <w:sz w:val="16"/>
          <w:szCs w:val="16"/>
          <w:lang w:val="lv-LV"/>
        </w:rPr>
        <w:fldChar w:fldCharType="end"/>
      </w:r>
      <w:r w:rsidRPr="0019406C">
        <w:rPr>
          <w:sz w:val="16"/>
          <w:szCs w:val="16"/>
          <w:lang w:val="lv-LV"/>
        </w:rPr>
        <w:t xml:space="preserve"> </w:t>
      </w:r>
      <w:r w:rsidRPr="0019406C">
        <w:rPr>
          <w:rFonts w:cs="Arial"/>
          <w:sz w:val="16"/>
          <w:szCs w:val="16"/>
          <w:lang w:val="lv-LV"/>
        </w:rPr>
        <w:t>Nozīmīgākie un izplatītākie uzņēmējdarbības kavēkļi laikā no 2001. līdz 2014. gadam  (Bāze (n) = visi respondenti katrā no aptaujām)</w:t>
      </w:r>
    </w:p>
    <w:p w:rsidR="00654AAD" w:rsidRPr="0019406C" w:rsidRDefault="00654AAD" w:rsidP="002771DE">
      <w:pPr>
        <w:spacing w:before="120" w:after="0" w:line="276" w:lineRule="auto"/>
        <w:jc w:val="both"/>
        <w:rPr>
          <w:rFonts w:cs="Arial"/>
          <w:lang w:val="lv-LV"/>
        </w:rPr>
      </w:pPr>
      <w:r w:rsidRPr="0019406C">
        <w:rPr>
          <w:rFonts w:cs="Arial"/>
          <w:lang w:val="lv-LV"/>
        </w:rPr>
        <w:t>Kopsavilkums par uzņēmēju norādītajiem uzņēmējdarbības kavēkļiem pēdējā aptaujā 2014.</w:t>
      </w:r>
      <w:r w:rsidR="00B41F84">
        <w:rPr>
          <w:rFonts w:cs="Arial"/>
          <w:lang w:val="lv-LV"/>
        </w:rPr>
        <w:t xml:space="preserve"> </w:t>
      </w:r>
      <w:r w:rsidRPr="0019406C">
        <w:rPr>
          <w:rFonts w:cs="Arial"/>
          <w:lang w:val="lv-LV"/>
        </w:rPr>
        <w:t>gadā norādīts zemāk esošajā attēlā:</w:t>
      </w:r>
    </w:p>
    <w:p w:rsidR="00D448C8" w:rsidRPr="0019406C" w:rsidRDefault="00664463" w:rsidP="00792502">
      <w:pPr>
        <w:spacing w:before="120" w:after="0" w:line="288" w:lineRule="auto"/>
        <w:jc w:val="both"/>
        <w:rPr>
          <w:rFonts w:cs="Arial"/>
          <w:lang w:val="lv-LV"/>
        </w:rPr>
      </w:pPr>
      <w:r w:rsidRPr="0019406C">
        <w:rPr>
          <w:rFonts w:cs="Arial"/>
          <w:noProof/>
          <w:lang w:eastAsia="en-GB"/>
        </w:rPr>
        <w:lastRenderedPageBreak/>
        <w:drawing>
          <wp:inline distT="0" distB="0" distL="0" distR="0" wp14:anchorId="5284264F" wp14:editId="32BE90D2">
            <wp:extent cx="6564292" cy="83781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569938" cy="8385332"/>
                    </a:xfrm>
                    <a:prstGeom prst="rect">
                      <a:avLst/>
                    </a:prstGeom>
                    <a:noFill/>
                  </pic:spPr>
                </pic:pic>
              </a:graphicData>
            </a:graphic>
          </wp:inline>
        </w:drawing>
      </w:r>
    </w:p>
    <w:p w:rsidR="00D448C8" w:rsidRPr="0019406C" w:rsidRDefault="00D448C8" w:rsidP="00D448C8">
      <w:pPr>
        <w:pStyle w:val="Caption"/>
        <w:jc w:val="both"/>
        <w:rPr>
          <w:rFonts w:cs="Arial"/>
          <w:sz w:val="16"/>
          <w:szCs w:val="16"/>
          <w:lang w:val="lv-LV"/>
        </w:rPr>
      </w:pPr>
      <w:r w:rsidRPr="0019406C">
        <w:rPr>
          <w:sz w:val="16"/>
          <w:szCs w:val="16"/>
          <w:lang w:val="lv-LV"/>
        </w:rPr>
        <w:t xml:space="preserve">Ilustrācija </w:t>
      </w:r>
      <w:r w:rsidRPr="0019406C">
        <w:rPr>
          <w:sz w:val="16"/>
          <w:szCs w:val="16"/>
          <w:lang w:val="lv-LV"/>
        </w:rPr>
        <w:fldChar w:fldCharType="begin"/>
      </w:r>
      <w:r w:rsidRPr="0019406C">
        <w:rPr>
          <w:sz w:val="16"/>
          <w:szCs w:val="16"/>
          <w:lang w:val="lv-LV"/>
        </w:rPr>
        <w:instrText xml:space="preserve"> SEQ Ilustrācija \* ARABIC </w:instrText>
      </w:r>
      <w:r w:rsidRPr="0019406C">
        <w:rPr>
          <w:sz w:val="16"/>
          <w:szCs w:val="16"/>
          <w:lang w:val="lv-LV"/>
        </w:rPr>
        <w:fldChar w:fldCharType="separate"/>
      </w:r>
      <w:r w:rsidR="00410806" w:rsidRPr="0019406C">
        <w:rPr>
          <w:noProof/>
          <w:sz w:val="16"/>
          <w:szCs w:val="16"/>
          <w:lang w:val="lv-LV"/>
        </w:rPr>
        <w:t>14</w:t>
      </w:r>
      <w:r w:rsidRPr="0019406C">
        <w:rPr>
          <w:sz w:val="16"/>
          <w:szCs w:val="16"/>
          <w:lang w:val="lv-LV"/>
        </w:rPr>
        <w:fldChar w:fldCharType="end"/>
      </w:r>
      <w:r w:rsidRPr="0019406C">
        <w:rPr>
          <w:sz w:val="16"/>
          <w:szCs w:val="16"/>
          <w:lang w:val="lv-LV"/>
        </w:rPr>
        <w:t xml:space="preserve"> Uzņēmējdarbības kavēkļu izplatība un intensitāte</w:t>
      </w:r>
    </w:p>
    <w:p w:rsidR="00792502" w:rsidRPr="0019406C" w:rsidRDefault="00792502" w:rsidP="002771DE">
      <w:pPr>
        <w:pStyle w:val="BodyText"/>
        <w:spacing w:line="276" w:lineRule="auto"/>
        <w:jc w:val="both"/>
        <w:rPr>
          <w:lang w:val="lv-LV"/>
        </w:rPr>
      </w:pPr>
      <w:r w:rsidRPr="0019406C">
        <w:rPr>
          <w:lang w:val="lv-LV"/>
        </w:rPr>
        <w:lastRenderedPageBreak/>
        <w:t>Līdzīgi kā iepriekšējos pētījumos, arī šogad visbiežāk kā šķēršļus uzņēmējdarbībā aptaujas dalībnieki nosauca:</w:t>
      </w:r>
    </w:p>
    <w:p w:rsidR="00792502" w:rsidRPr="0019406C" w:rsidRDefault="00792502" w:rsidP="002771DE">
      <w:pPr>
        <w:pStyle w:val="BodyText"/>
        <w:numPr>
          <w:ilvl w:val="0"/>
          <w:numId w:val="69"/>
        </w:numPr>
        <w:spacing w:line="276" w:lineRule="auto"/>
        <w:jc w:val="both"/>
        <w:rPr>
          <w:lang w:val="lv-LV"/>
        </w:rPr>
      </w:pPr>
      <w:r w:rsidRPr="0019406C">
        <w:rPr>
          <w:lang w:val="lv-LV"/>
        </w:rPr>
        <w:t>Nodokļu likmes. Tas ir vienīgais faktors, ko, kā kavējošu uzņēmuma attīstībai nosauca vairāk par pusi (59%) aptaujāto uzņēmēju (</w:t>
      </w:r>
      <w:r w:rsidR="00BE234E" w:rsidRPr="0019406C">
        <w:rPr>
          <w:rFonts w:cs="Arial"/>
          <w:lang w:val="lv-LV"/>
        </w:rPr>
        <w:t>2011. gadā</w:t>
      </w:r>
      <w:r w:rsidR="00BE234E" w:rsidRPr="0019406C">
        <w:rPr>
          <w:lang w:val="lv-LV"/>
        </w:rPr>
        <w:t xml:space="preserve"> </w:t>
      </w:r>
      <w:r w:rsidRPr="0019406C">
        <w:rPr>
          <w:lang w:val="lv-LV"/>
        </w:rPr>
        <w:t>– 78%);</w:t>
      </w:r>
    </w:p>
    <w:p w:rsidR="00792502" w:rsidRPr="0019406C" w:rsidRDefault="00792502" w:rsidP="002771DE">
      <w:pPr>
        <w:pStyle w:val="BodyText"/>
        <w:numPr>
          <w:ilvl w:val="0"/>
          <w:numId w:val="69"/>
        </w:numPr>
        <w:spacing w:line="276" w:lineRule="auto"/>
        <w:jc w:val="both"/>
        <w:rPr>
          <w:lang w:val="lv-LV"/>
        </w:rPr>
      </w:pPr>
      <w:r w:rsidRPr="0019406C">
        <w:rPr>
          <w:lang w:val="lv-LV"/>
        </w:rPr>
        <w:t>Likumu un noteikumu izmaiņu biežums – kā šķērsli uzņēmējdarbībā nosauca 44% uzņēmēju (</w:t>
      </w:r>
      <w:r w:rsidR="00BE234E" w:rsidRPr="0019406C">
        <w:rPr>
          <w:rFonts w:cs="Arial"/>
          <w:lang w:val="lv-LV"/>
        </w:rPr>
        <w:t>2011. gadā</w:t>
      </w:r>
      <w:r w:rsidR="00BE234E" w:rsidRPr="0019406C">
        <w:rPr>
          <w:lang w:val="lv-LV"/>
        </w:rPr>
        <w:t xml:space="preserve"> </w:t>
      </w:r>
      <w:r w:rsidRPr="0019406C">
        <w:rPr>
          <w:lang w:val="lv-LV"/>
        </w:rPr>
        <w:t>– 59%);</w:t>
      </w:r>
    </w:p>
    <w:p w:rsidR="00792502" w:rsidRPr="0019406C" w:rsidRDefault="00792502" w:rsidP="002771DE">
      <w:pPr>
        <w:pStyle w:val="BodyText"/>
        <w:numPr>
          <w:ilvl w:val="0"/>
          <w:numId w:val="69"/>
        </w:numPr>
        <w:spacing w:line="276" w:lineRule="auto"/>
        <w:jc w:val="both"/>
        <w:rPr>
          <w:lang w:val="lv-LV"/>
        </w:rPr>
      </w:pPr>
      <w:r w:rsidRPr="0019406C">
        <w:rPr>
          <w:lang w:val="lv-LV"/>
        </w:rPr>
        <w:t>Nodokļu likumi un noteikumi/ nodokļu administrēšana – 42% (</w:t>
      </w:r>
      <w:r w:rsidR="00BE234E" w:rsidRPr="0019406C">
        <w:rPr>
          <w:rFonts w:cs="Arial"/>
          <w:lang w:val="lv-LV"/>
        </w:rPr>
        <w:t>2011. gadā</w:t>
      </w:r>
      <w:r w:rsidR="00BE234E" w:rsidRPr="0019406C">
        <w:rPr>
          <w:lang w:val="lv-LV"/>
        </w:rPr>
        <w:t xml:space="preserve"> </w:t>
      </w:r>
      <w:r w:rsidRPr="0019406C">
        <w:rPr>
          <w:lang w:val="lv-LV"/>
        </w:rPr>
        <w:t>– 59%);</w:t>
      </w:r>
    </w:p>
    <w:p w:rsidR="00792502" w:rsidRPr="0019406C" w:rsidRDefault="00792502" w:rsidP="002771DE">
      <w:pPr>
        <w:pStyle w:val="BodyText"/>
        <w:numPr>
          <w:ilvl w:val="0"/>
          <w:numId w:val="69"/>
        </w:numPr>
        <w:spacing w:line="276" w:lineRule="auto"/>
        <w:jc w:val="both"/>
        <w:rPr>
          <w:lang w:val="lv-LV"/>
        </w:rPr>
      </w:pPr>
      <w:r w:rsidRPr="0019406C">
        <w:rPr>
          <w:lang w:val="lv-LV"/>
        </w:rPr>
        <w:t>Inflācija – 32% (</w:t>
      </w:r>
      <w:r w:rsidR="00BE234E" w:rsidRPr="0019406C">
        <w:rPr>
          <w:rFonts w:cs="Arial"/>
          <w:lang w:val="lv-LV"/>
        </w:rPr>
        <w:t>2011. gadā</w:t>
      </w:r>
      <w:r w:rsidR="00BE234E" w:rsidRPr="0019406C">
        <w:rPr>
          <w:lang w:val="lv-LV"/>
        </w:rPr>
        <w:t xml:space="preserve"> </w:t>
      </w:r>
      <w:r w:rsidRPr="0019406C">
        <w:rPr>
          <w:lang w:val="lv-LV"/>
        </w:rPr>
        <w:t>– 61%);</w:t>
      </w:r>
    </w:p>
    <w:p w:rsidR="00792502" w:rsidRPr="0019406C" w:rsidRDefault="00792502" w:rsidP="002771DE">
      <w:pPr>
        <w:pStyle w:val="BodyText"/>
        <w:numPr>
          <w:ilvl w:val="0"/>
          <w:numId w:val="69"/>
        </w:numPr>
        <w:spacing w:line="276" w:lineRule="auto"/>
        <w:jc w:val="both"/>
        <w:rPr>
          <w:lang w:val="lv-LV"/>
        </w:rPr>
      </w:pPr>
      <w:r w:rsidRPr="0019406C">
        <w:rPr>
          <w:lang w:val="lv-LV"/>
        </w:rPr>
        <w:t>Konkurence ar pelēko / ēnu ekonomiku – 24% (</w:t>
      </w:r>
      <w:r w:rsidR="00BE234E" w:rsidRPr="0019406C">
        <w:rPr>
          <w:rFonts w:cs="Arial"/>
          <w:lang w:val="lv-LV"/>
        </w:rPr>
        <w:t>2011. gadā</w:t>
      </w:r>
      <w:r w:rsidR="00BE234E" w:rsidRPr="0019406C">
        <w:rPr>
          <w:lang w:val="lv-LV"/>
        </w:rPr>
        <w:t xml:space="preserve"> </w:t>
      </w:r>
      <w:r w:rsidRPr="0019406C">
        <w:rPr>
          <w:lang w:val="lv-LV"/>
        </w:rPr>
        <w:t>– 43%);</w:t>
      </w:r>
    </w:p>
    <w:p w:rsidR="00792502" w:rsidRPr="0019406C" w:rsidRDefault="00792502" w:rsidP="002771DE">
      <w:pPr>
        <w:pStyle w:val="BodyText"/>
        <w:numPr>
          <w:ilvl w:val="0"/>
          <w:numId w:val="69"/>
        </w:numPr>
        <w:spacing w:line="276" w:lineRule="auto"/>
        <w:jc w:val="both"/>
        <w:rPr>
          <w:lang w:val="lv-LV"/>
        </w:rPr>
      </w:pPr>
      <w:r w:rsidRPr="0019406C">
        <w:rPr>
          <w:lang w:val="lv-LV"/>
        </w:rPr>
        <w:t>Infrastruktūras pakalpojumu izmaksas (elektrība, ūdens, gāze, autoceļi) – 21% (</w:t>
      </w:r>
      <w:r w:rsidR="00BE234E" w:rsidRPr="0019406C">
        <w:rPr>
          <w:rFonts w:cs="Arial"/>
          <w:lang w:val="lv-LV"/>
        </w:rPr>
        <w:t>2011. gadā</w:t>
      </w:r>
      <w:r w:rsidR="00BE234E" w:rsidRPr="0019406C">
        <w:rPr>
          <w:lang w:val="lv-LV"/>
        </w:rPr>
        <w:t xml:space="preserve"> </w:t>
      </w:r>
      <w:r w:rsidRPr="0019406C">
        <w:rPr>
          <w:lang w:val="lv-LV"/>
        </w:rPr>
        <w:t>– 35%).</w:t>
      </w:r>
    </w:p>
    <w:p w:rsidR="00792502" w:rsidRPr="0019406C" w:rsidRDefault="00792502" w:rsidP="002771DE">
      <w:pPr>
        <w:pStyle w:val="BodyText"/>
        <w:spacing w:line="276" w:lineRule="auto"/>
        <w:jc w:val="both"/>
        <w:rPr>
          <w:rFonts w:asciiTheme="majorHAnsi" w:hAnsiTheme="majorHAnsi"/>
          <w:lang w:val="lv-LV"/>
        </w:rPr>
      </w:pPr>
      <w:r w:rsidRPr="0019406C">
        <w:rPr>
          <w:rFonts w:asciiTheme="majorHAnsi" w:hAnsiTheme="majorHAnsi"/>
          <w:lang w:val="lv-LV"/>
        </w:rPr>
        <w:t>Aptaujas rezultāti liecina, ka uzņēmēju/ vadītāju laika patēriņš, lai veiktu ar valdības vai pašvaldības regulējošām un administratīvām prasībām saistītus jautājumus ir nedaudz palielinājies, salīdzinot ar 2011.</w:t>
      </w:r>
      <w:r w:rsidR="00B41F84">
        <w:rPr>
          <w:rFonts w:asciiTheme="majorHAnsi" w:hAnsiTheme="majorHAnsi"/>
          <w:lang w:val="lv-LV"/>
        </w:rPr>
        <w:t xml:space="preserve"> </w:t>
      </w:r>
      <w:r w:rsidRPr="0019406C">
        <w:rPr>
          <w:rFonts w:asciiTheme="majorHAnsi" w:hAnsiTheme="majorHAnsi"/>
          <w:lang w:val="lv-LV"/>
        </w:rPr>
        <w:t>gadu:</w:t>
      </w:r>
    </w:p>
    <w:p w:rsidR="00792502" w:rsidRPr="0019406C" w:rsidRDefault="00792502" w:rsidP="00792502">
      <w:pPr>
        <w:pStyle w:val="BodyText"/>
        <w:jc w:val="both"/>
        <w:rPr>
          <w:rFonts w:asciiTheme="majorHAnsi" w:hAnsiTheme="majorHAnsi"/>
          <w:lang w:val="lv-LV"/>
        </w:rPr>
      </w:pPr>
      <w:r w:rsidRPr="0019406C">
        <w:rPr>
          <w:noProof/>
          <w:lang w:eastAsia="en-GB"/>
        </w:rPr>
        <w:drawing>
          <wp:inline distT="0" distB="0" distL="0" distR="0" wp14:anchorId="53C6A640" wp14:editId="06E4B68D">
            <wp:extent cx="6241312" cy="2328530"/>
            <wp:effectExtent l="0" t="0" r="762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792502" w:rsidRPr="0019406C" w:rsidRDefault="00792502" w:rsidP="00792502">
      <w:pPr>
        <w:pStyle w:val="Caption"/>
        <w:jc w:val="both"/>
        <w:rPr>
          <w:rFonts w:cs="Arial"/>
          <w:sz w:val="16"/>
          <w:szCs w:val="16"/>
          <w:lang w:val="lv-LV"/>
        </w:rPr>
      </w:pPr>
      <w:r w:rsidRPr="0019406C">
        <w:rPr>
          <w:sz w:val="16"/>
          <w:szCs w:val="16"/>
          <w:lang w:val="lv-LV"/>
        </w:rPr>
        <w:t xml:space="preserve">Ilustrācija </w:t>
      </w:r>
      <w:r w:rsidRPr="0019406C">
        <w:rPr>
          <w:sz w:val="16"/>
          <w:szCs w:val="16"/>
          <w:lang w:val="lv-LV"/>
        </w:rPr>
        <w:fldChar w:fldCharType="begin"/>
      </w:r>
      <w:r w:rsidRPr="0019406C">
        <w:rPr>
          <w:sz w:val="16"/>
          <w:szCs w:val="16"/>
          <w:lang w:val="lv-LV"/>
        </w:rPr>
        <w:instrText xml:space="preserve"> SEQ Ilustrācija \* ARABIC </w:instrText>
      </w:r>
      <w:r w:rsidRPr="0019406C">
        <w:rPr>
          <w:sz w:val="16"/>
          <w:szCs w:val="16"/>
          <w:lang w:val="lv-LV"/>
        </w:rPr>
        <w:fldChar w:fldCharType="separate"/>
      </w:r>
      <w:r w:rsidR="00410806" w:rsidRPr="0019406C">
        <w:rPr>
          <w:noProof/>
          <w:sz w:val="16"/>
          <w:szCs w:val="16"/>
          <w:lang w:val="lv-LV"/>
        </w:rPr>
        <w:t>15</w:t>
      </w:r>
      <w:r w:rsidRPr="0019406C">
        <w:rPr>
          <w:sz w:val="16"/>
          <w:szCs w:val="16"/>
          <w:lang w:val="lv-LV"/>
        </w:rPr>
        <w:fldChar w:fldCharType="end"/>
      </w:r>
      <w:r w:rsidRPr="0019406C">
        <w:rPr>
          <w:sz w:val="16"/>
          <w:szCs w:val="16"/>
          <w:lang w:val="lv-LV"/>
        </w:rPr>
        <w:t xml:space="preserve"> Uzņēmuma vadītāja laika patēriņš, risinot ar administratīvām prasībām saistītus jautājumus, salīdzinājums pa gadiem </w:t>
      </w:r>
    </w:p>
    <w:p w:rsidR="00792502" w:rsidRPr="0019406C" w:rsidRDefault="00792502" w:rsidP="002771DE">
      <w:pPr>
        <w:pStyle w:val="BodyText"/>
        <w:spacing w:line="276" w:lineRule="auto"/>
        <w:jc w:val="both"/>
        <w:rPr>
          <w:rFonts w:asciiTheme="majorHAnsi" w:hAnsiTheme="majorHAnsi"/>
          <w:highlight w:val="yellow"/>
          <w:lang w:val="lv-LV"/>
        </w:rPr>
      </w:pPr>
      <w:r w:rsidRPr="0019406C">
        <w:rPr>
          <w:rFonts w:asciiTheme="majorHAnsi" w:hAnsiTheme="majorHAnsi"/>
          <w:lang w:val="lv-LV"/>
        </w:rPr>
        <w:t>Laika patēriņš ir lielāks SIA kā IU/ IK, respektīvi – 13</w:t>
      </w:r>
      <w:r w:rsidR="00FE622A">
        <w:rPr>
          <w:rFonts w:asciiTheme="majorHAnsi" w:hAnsiTheme="majorHAnsi"/>
          <w:lang w:val="lv-LV"/>
        </w:rPr>
        <w:t>,</w:t>
      </w:r>
      <w:r w:rsidRPr="0019406C">
        <w:rPr>
          <w:rFonts w:asciiTheme="majorHAnsi" w:hAnsiTheme="majorHAnsi"/>
          <w:lang w:val="lv-LV"/>
        </w:rPr>
        <w:t>2% un 8</w:t>
      </w:r>
      <w:r w:rsidR="00BE234E" w:rsidRPr="0019406C">
        <w:rPr>
          <w:rFonts w:asciiTheme="majorHAnsi" w:hAnsiTheme="majorHAnsi"/>
          <w:lang w:val="lv-LV"/>
        </w:rPr>
        <w:t>,</w:t>
      </w:r>
      <w:r w:rsidRPr="0019406C">
        <w:rPr>
          <w:rFonts w:asciiTheme="majorHAnsi" w:hAnsiTheme="majorHAnsi"/>
          <w:lang w:val="lv-LV"/>
        </w:rPr>
        <w:t>0% no kopējā uzņēmēja vadītāju darba laika aizņem jautājumu risināšana, kas saistīta ar administratīvām prasībām. Vērtējot pa sektoriem, nedaudz lielāks laika patēriņš ir ražošanā un rūpniecībā un tirdzniecībā strādājošiem uzņēmumiem. Ievērojami lielāks laiks vajadzīgs lielo uzņēmumu vadītājiem – 26% no kopējā uzņēmēja vadītāju darba laika aizņem jautājumu risināšana, kas saistīta ar administratīvām prasībām. Tomēr administratīvo prasību risināšanai patērēto laiku, kā lielu apgrūtinājumu, vērtēja 11,1% (</w:t>
      </w:r>
      <w:r w:rsidR="00BE234E" w:rsidRPr="0019406C">
        <w:rPr>
          <w:rFonts w:cs="Arial"/>
          <w:lang w:val="lv-LV"/>
        </w:rPr>
        <w:t>2011. gadā</w:t>
      </w:r>
      <w:r w:rsidR="00BE234E" w:rsidRPr="0019406C">
        <w:rPr>
          <w:rFonts w:asciiTheme="majorHAnsi" w:hAnsiTheme="majorHAnsi"/>
          <w:lang w:val="lv-LV"/>
        </w:rPr>
        <w:t xml:space="preserve"> </w:t>
      </w:r>
      <w:r w:rsidRPr="0019406C">
        <w:rPr>
          <w:rFonts w:asciiTheme="majorHAnsi" w:hAnsiTheme="majorHAnsi"/>
          <w:lang w:val="lv-LV"/>
        </w:rPr>
        <w:t>– 17%) uzņēmēju, kā nelielu apgrūtinājumu – 36,3% respondentu, savukārt 36,1% aptaujas dalībnieku pauda viedokli, ka tas nav apgrūtinājums.</w:t>
      </w:r>
    </w:p>
    <w:p w:rsidR="00792502" w:rsidRPr="0019406C" w:rsidRDefault="00792502" w:rsidP="002771DE">
      <w:pPr>
        <w:spacing w:line="276" w:lineRule="auto"/>
        <w:jc w:val="both"/>
        <w:rPr>
          <w:lang w:val="lv-LV"/>
        </w:rPr>
      </w:pPr>
      <w:r w:rsidRPr="0019406C">
        <w:rPr>
          <w:lang w:val="lv-LV"/>
        </w:rPr>
        <w:t>Uzņēmēju vidū valda (pausts 79,4% gadījumu) viedoklis, ka valsts nepalīdz uzņēmējiem uzņēmējdarbības attīstīšanā. Tomēr 2005. – 2011.</w:t>
      </w:r>
      <w:r w:rsidR="00BE234E" w:rsidRPr="0019406C">
        <w:rPr>
          <w:lang w:val="lv-LV"/>
        </w:rPr>
        <w:t xml:space="preserve"> </w:t>
      </w:r>
      <w:r w:rsidRPr="0019406C">
        <w:rPr>
          <w:lang w:val="lv-LV"/>
        </w:rPr>
        <w:t>g</w:t>
      </w:r>
      <w:r w:rsidR="00BE234E" w:rsidRPr="0019406C">
        <w:rPr>
          <w:lang w:val="lv-LV"/>
        </w:rPr>
        <w:t>adā</w:t>
      </w:r>
      <w:r w:rsidRPr="0019406C">
        <w:rPr>
          <w:lang w:val="lv-LV"/>
        </w:rPr>
        <w:t xml:space="preserve"> veikto pētījumu rezultātu dinamika uzrāda pozitīvu tendenci – uzņēmēju viedoklis par valsts un pašvaldību atbalstu uzņēmējdarbības attīstīšanā nedaudz uzlabojas:</w:t>
      </w:r>
    </w:p>
    <w:p w:rsidR="00792502" w:rsidRPr="0019406C" w:rsidRDefault="00792502" w:rsidP="00792502">
      <w:pPr>
        <w:jc w:val="both"/>
        <w:rPr>
          <w:lang w:val="lv-LV"/>
        </w:rPr>
      </w:pPr>
      <w:r w:rsidRPr="0019406C">
        <w:rPr>
          <w:noProof/>
          <w:lang w:eastAsia="en-GB"/>
        </w:rPr>
        <w:lastRenderedPageBreak/>
        <w:drawing>
          <wp:inline distT="0" distB="0" distL="0" distR="0" wp14:anchorId="0F3BF5C6" wp14:editId="0A506967">
            <wp:extent cx="4572000" cy="2073349"/>
            <wp:effectExtent l="0" t="0" r="0" b="3175"/>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792502" w:rsidRPr="0019406C" w:rsidRDefault="00792502" w:rsidP="00792502">
      <w:pPr>
        <w:jc w:val="both"/>
        <w:rPr>
          <w:b/>
          <w:lang w:val="lv-LV"/>
        </w:rPr>
      </w:pPr>
      <w:r w:rsidRPr="0019406C">
        <w:rPr>
          <w:b/>
          <w:sz w:val="16"/>
          <w:szCs w:val="16"/>
          <w:lang w:val="lv-LV"/>
        </w:rPr>
        <w:t xml:space="preserve">Ilustrācija </w:t>
      </w:r>
      <w:r w:rsidRPr="0019406C">
        <w:rPr>
          <w:b/>
          <w:sz w:val="16"/>
          <w:szCs w:val="16"/>
          <w:lang w:val="lv-LV"/>
        </w:rPr>
        <w:fldChar w:fldCharType="begin"/>
      </w:r>
      <w:r w:rsidRPr="0019406C">
        <w:rPr>
          <w:b/>
          <w:sz w:val="16"/>
          <w:szCs w:val="16"/>
          <w:lang w:val="lv-LV"/>
        </w:rPr>
        <w:instrText xml:space="preserve"> SEQ Ilustrācija \* ARABIC </w:instrText>
      </w:r>
      <w:r w:rsidRPr="0019406C">
        <w:rPr>
          <w:b/>
          <w:sz w:val="16"/>
          <w:szCs w:val="16"/>
          <w:lang w:val="lv-LV"/>
        </w:rPr>
        <w:fldChar w:fldCharType="separate"/>
      </w:r>
      <w:r w:rsidR="00410806" w:rsidRPr="0019406C">
        <w:rPr>
          <w:b/>
          <w:noProof/>
          <w:sz w:val="16"/>
          <w:szCs w:val="16"/>
          <w:lang w:val="lv-LV"/>
        </w:rPr>
        <w:t>16</w:t>
      </w:r>
      <w:r w:rsidRPr="0019406C">
        <w:rPr>
          <w:b/>
          <w:sz w:val="16"/>
          <w:szCs w:val="16"/>
          <w:lang w:val="lv-LV"/>
        </w:rPr>
        <w:fldChar w:fldCharType="end"/>
      </w:r>
      <w:r w:rsidRPr="0019406C">
        <w:rPr>
          <w:b/>
          <w:sz w:val="16"/>
          <w:szCs w:val="16"/>
          <w:lang w:val="lv-LV"/>
        </w:rPr>
        <w:t xml:space="preserve"> Uzņēmēji, kuri uzskata, ka valsts palīdz uzņēmējiem uzņēmējdarbības attīstīšanā</w:t>
      </w:r>
    </w:p>
    <w:p w:rsidR="00792502" w:rsidRPr="0019406C" w:rsidRDefault="00792502" w:rsidP="002771DE">
      <w:pPr>
        <w:pStyle w:val="BodyText"/>
        <w:spacing w:line="276" w:lineRule="auto"/>
        <w:jc w:val="both"/>
        <w:rPr>
          <w:rFonts w:cs="Arial"/>
          <w:lang w:val="lv-LV"/>
        </w:rPr>
      </w:pPr>
      <w:r w:rsidRPr="0019406C">
        <w:rPr>
          <w:rFonts w:cs="Arial"/>
          <w:lang w:val="lv-LV"/>
        </w:rPr>
        <w:t>Tikai 6,6% aptaujāto Latvijas uzņēmēju atzina, ka pēdējo 2 gadu laikā ir iesaistījušies kādā diskusijā par likumprojektu un noteikumiem, sniedzot savus komentārus valsts institūcijai vai nozares vai uzņēmēju asociācijā vai apvienībā, un tā ir zemākā uzņēmēju aktivitāte visu veikto pētījumu laikā kopš 2005.</w:t>
      </w:r>
      <w:r w:rsidR="00BE234E" w:rsidRPr="0019406C">
        <w:rPr>
          <w:rFonts w:cs="Arial"/>
          <w:lang w:val="lv-LV"/>
        </w:rPr>
        <w:t xml:space="preserve"> </w:t>
      </w:r>
      <w:r w:rsidRPr="0019406C">
        <w:rPr>
          <w:rFonts w:cs="Arial"/>
          <w:lang w:val="lv-LV"/>
        </w:rPr>
        <w:t>g</w:t>
      </w:r>
      <w:r w:rsidR="00654AAD" w:rsidRPr="0019406C">
        <w:rPr>
          <w:rFonts w:cs="Arial"/>
          <w:lang w:val="lv-LV"/>
        </w:rPr>
        <w:t>ada</w:t>
      </w:r>
      <w:r w:rsidRPr="0019406C">
        <w:rPr>
          <w:rFonts w:cs="Arial"/>
          <w:lang w:val="lv-LV"/>
        </w:rPr>
        <w:t xml:space="preserve">. Tomēr </w:t>
      </w:r>
      <w:r w:rsidR="00BE234E" w:rsidRPr="0019406C">
        <w:rPr>
          <w:rFonts w:cs="Arial"/>
          <w:lang w:val="lv-LV"/>
        </w:rPr>
        <w:t>2009. gada</w:t>
      </w:r>
      <w:r w:rsidRPr="0019406C">
        <w:rPr>
          <w:rFonts w:cs="Arial"/>
          <w:lang w:val="lv-LV"/>
        </w:rPr>
        <w:t xml:space="preserve"> – 2014.</w:t>
      </w:r>
      <w:r w:rsidR="00BE234E" w:rsidRPr="0019406C">
        <w:rPr>
          <w:rFonts w:cs="Arial"/>
          <w:lang w:val="lv-LV"/>
        </w:rPr>
        <w:t xml:space="preserve"> </w:t>
      </w:r>
      <w:r w:rsidRPr="0019406C">
        <w:rPr>
          <w:rFonts w:cs="Arial"/>
          <w:lang w:val="lv-LV"/>
        </w:rPr>
        <w:t>g</w:t>
      </w:r>
      <w:r w:rsidR="00BE234E" w:rsidRPr="0019406C">
        <w:rPr>
          <w:rFonts w:cs="Arial"/>
          <w:lang w:val="lv-LV"/>
        </w:rPr>
        <w:t>ada</w:t>
      </w:r>
      <w:r w:rsidRPr="0019406C">
        <w:rPr>
          <w:rFonts w:cs="Arial"/>
          <w:lang w:val="lv-LV"/>
        </w:rPr>
        <w:t xml:space="preserve"> pētījumu rezultātu dinamika uzrāda pozitīvas tendences uzņēmēju priekšstatos par likumdošanas procesa dažādiem aspektiem – informēšanu, ieviešanu, izmaksām, iespējām to ietekmēt, kaut gan kopumā vērtējumi aizvien vēl ir visai kritiski:</w:t>
      </w:r>
    </w:p>
    <w:p w:rsidR="00792502" w:rsidRPr="0019406C" w:rsidRDefault="00792502" w:rsidP="00792502">
      <w:pPr>
        <w:pStyle w:val="BodyText"/>
        <w:jc w:val="both"/>
        <w:rPr>
          <w:rFonts w:cs="Arial"/>
          <w:lang w:val="lv-LV"/>
        </w:rPr>
      </w:pPr>
      <w:r w:rsidRPr="0019406C">
        <w:rPr>
          <w:noProof/>
          <w:lang w:eastAsia="en-GB"/>
        </w:rPr>
        <w:drawing>
          <wp:inline distT="0" distB="0" distL="0" distR="0" wp14:anchorId="49E837EF" wp14:editId="6CB6A968">
            <wp:extent cx="4572000" cy="1647645"/>
            <wp:effectExtent l="0" t="0" r="0" b="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792502" w:rsidRPr="0019406C" w:rsidRDefault="00792502" w:rsidP="00792502">
      <w:pPr>
        <w:pStyle w:val="Caption"/>
        <w:jc w:val="both"/>
        <w:rPr>
          <w:rFonts w:cs="Arial"/>
          <w:sz w:val="16"/>
          <w:szCs w:val="16"/>
          <w:lang w:val="lv-LV"/>
        </w:rPr>
      </w:pPr>
      <w:r w:rsidRPr="0019406C">
        <w:rPr>
          <w:sz w:val="16"/>
          <w:szCs w:val="16"/>
          <w:lang w:val="lv-LV"/>
        </w:rPr>
        <w:t xml:space="preserve">Ilustrācija </w:t>
      </w:r>
      <w:r w:rsidRPr="0019406C">
        <w:rPr>
          <w:sz w:val="16"/>
          <w:szCs w:val="16"/>
          <w:lang w:val="lv-LV"/>
        </w:rPr>
        <w:fldChar w:fldCharType="begin"/>
      </w:r>
      <w:r w:rsidRPr="0019406C">
        <w:rPr>
          <w:sz w:val="16"/>
          <w:szCs w:val="16"/>
          <w:lang w:val="lv-LV"/>
        </w:rPr>
        <w:instrText xml:space="preserve"> SEQ Ilustrācija \* ARABIC </w:instrText>
      </w:r>
      <w:r w:rsidRPr="0019406C">
        <w:rPr>
          <w:sz w:val="16"/>
          <w:szCs w:val="16"/>
          <w:lang w:val="lv-LV"/>
        </w:rPr>
        <w:fldChar w:fldCharType="separate"/>
      </w:r>
      <w:r w:rsidR="00410806" w:rsidRPr="0019406C">
        <w:rPr>
          <w:noProof/>
          <w:sz w:val="16"/>
          <w:szCs w:val="16"/>
          <w:lang w:val="lv-LV"/>
        </w:rPr>
        <w:t>17</w:t>
      </w:r>
      <w:r w:rsidRPr="0019406C">
        <w:rPr>
          <w:sz w:val="16"/>
          <w:szCs w:val="16"/>
          <w:lang w:val="lv-LV"/>
        </w:rPr>
        <w:fldChar w:fldCharType="end"/>
      </w:r>
      <w:r w:rsidRPr="0019406C">
        <w:rPr>
          <w:sz w:val="16"/>
          <w:szCs w:val="16"/>
          <w:lang w:val="lv-LV"/>
        </w:rPr>
        <w:t xml:space="preserve"> Uzņēmēji, kuri pēdējo 2 gadu laikā iesaistījušies kādā diskusijā par likumprojektu un noteikumiem, sniedzot savus komentārus valsts institūcijai vai nozares vai uzņēmēju asociācijā vai apvienībā </w:t>
      </w:r>
    </w:p>
    <w:p w:rsidR="00792502" w:rsidRPr="0019406C" w:rsidRDefault="00792502" w:rsidP="002771DE">
      <w:pPr>
        <w:pStyle w:val="BodyText"/>
        <w:spacing w:line="276" w:lineRule="auto"/>
        <w:jc w:val="both"/>
        <w:rPr>
          <w:lang w:val="lv-LV"/>
        </w:rPr>
      </w:pPr>
      <w:r w:rsidRPr="0019406C">
        <w:rPr>
          <w:rFonts w:cs="Arial"/>
          <w:lang w:val="lv-LV"/>
        </w:rPr>
        <w:t>Vienlaicīgi var secināt, ka ir uzlabojusies uzņēmēju informētība par iespējām darboties nozaru vai uzņēmēju asociācijās, šogad sasniedzot augstāko atzīmi (65,9%) visu pētījumu (kopš 2005.</w:t>
      </w:r>
      <w:r w:rsidR="00BE234E" w:rsidRPr="0019406C">
        <w:rPr>
          <w:rFonts w:cs="Arial"/>
          <w:lang w:val="lv-LV"/>
        </w:rPr>
        <w:t xml:space="preserve"> </w:t>
      </w:r>
      <w:r w:rsidRPr="0019406C">
        <w:rPr>
          <w:rFonts w:cs="Arial"/>
          <w:lang w:val="lv-LV"/>
        </w:rPr>
        <w:t>g</w:t>
      </w:r>
      <w:r w:rsidR="00BE234E" w:rsidRPr="0019406C">
        <w:rPr>
          <w:rFonts w:cs="Arial"/>
          <w:lang w:val="lv-LV"/>
        </w:rPr>
        <w:t>ada</w:t>
      </w:r>
      <w:r w:rsidRPr="0019406C">
        <w:rPr>
          <w:rFonts w:cs="Arial"/>
          <w:lang w:val="lv-LV"/>
        </w:rPr>
        <w:t>) laikā. Kādās nozaru vai uzņēmēju asociācijās darbojas 19,8% aptaujāto uzņēmēju. Līdzīgi rezultāti bija vērojami arī iepriekšējo pētījumu rezultātos.</w:t>
      </w:r>
    </w:p>
    <w:p w:rsidR="00AE0B1D" w:rsidRDefault="00792502" w:rsidP="002771DE">
      <w:pPr>
        <w:pStyle w:val="BodyText"/>
        <w:spacing w:line="276" w:lineRule="auto"/>
        <w:jc w:val="both"/>
        <w:rPr>
          <w:lang w:val="lv-LV"/>
        </w:rPr>
      </w:pPr>
      <w:r w:rsidRPr="0019406C">
        <w:rPr>
          <w:lang w:val="lv-LV"/>
        </w:rPr>
        <w:t>Attiecībā uz starptautisko pētījumu informāciju, a</w:t>
      </w:r>
      <w:r w:rsidR="00AE0B1D" w:rsidRPr="0019406C">
        <w:rPr>
          <w:lang w:val="lv-LV"/>
        </w:rPr>
        <w:t xml:space="preserve">nalizējot kopējās tendences pēdējo divu gadu laikā, secinām, ka Latvija DB2014 pētījumā ir ieguvusi tādu pašu pozīciju, kā iepriekšējā DB2013 pētījumā, </w:t>
      </w:r>
      <w:proofErr w:type="spellStart"/>
      <w:r w:rsidR="00AE0B1D" w:rsidRPr="0019406C">
        <w:rPr>
          <w:lang w:val="lv-LV"/>
        </w:rPr>
        <w:t>t.i</w:t>
      </w:r>
      <w:proofErr w:type="spellEnd"/>
      <w:r w:rsidR="00AE0B1D" w:rsidRPr="0019406C">
        <w:rPr>
          <w:lang w:val="lv-LV"/>
        </w:rPr>
        <w:t>. 24. vietu starp 189 valstīm. Salīdzinājumā ar konkurējošām Baltijas valstīm, Lietuva pētījumā ierindojas 17. vietā, bet Igaunija 22. vietā, tādējādi Latvija, lai arī ir saglabājusi augsto 24. vietu, tomēr atpaliek no kaimiņvalstīm, ar kurām Latvija konkurē investīciju piesaistē. Jau vairākus gadus pēc DB apkopotās informācijas problemātiskās jomas, kas samazina kopējo reitingu Latvijā, ir būvniecība (</w:t>
      </w:r>
      <w:proofErr w:type="spellStart"/>
      <w:r w:rsidR="00AE0B1D" w:rsidRPr="0019406C">
        <w:rPr>
          <w:lang w:val="lv-LV"/>
        </w:rPr>
        <w:t>t.sk</w:t>
      </w:r>
      <w:proofErr w:type="spellEnd"/>
      <w:r w:rsidR="00AE0B1D" w:rsidRPr="0019406C">
        <w:rPr>
          <w:lang w:val="lv-LV"/>
        </w:rPr>
        <w:t>. elektrības pieslēguma ierīkošana) un investoru aizsardzība.</w:t>
      </w:r>
    </w:p>
    <w:p w:rsidR="00B360A7" w:rsidRPr="0019406C" w:rsidRDefault="00B360A7" w:rsidP="002771DE">
      <w:pPr>
        <w:pStyle w:val="BodyText"/>
        <w:spacing w:line="276" w:lineRule="auto"/>
        <w:jc w:val="both"/>
        <w:rPr>
          <w:lang w:val="lv-LV"/>
        </w:rPr>
      </w:pPr>
    </w:p>
    <w:p w:rsidR="00B1457B" w:rsidRPr="0019406C" w:rsidRDefault="00B1457B" w:rsidP="00B1457B">
      <w:pPr>
        <w:pStyle w:val="Caption"/>
        <w:keepNext/>
        <w:rPr>
          <w:sz w:val="16"/>
          <w:lang w:val="lv-LV"/>
        </w:rPr>
      </w:pPr>
      <w:bookmarkStart w:id="136" w:name="_Toc383540150"/>
      <w:bookmarkStart w:id="137" w:name="_Toc389225104"/>
      <w:r w:rsidRPr="0019406C">
        <w:rPr>
          <w:sz w:val="16"/>
          <w:lang w:val="lv-LV"/>
        </w:rPr>
        <w:lastRenderedPageBreak/>
        <w:t xml:space="preserve">Tabula </w:t>
      </w:r>
      <w:r w:rsidRPr="0019406C">
        <w:rPr>
          <w:sz w:val="16"/>
          <w:lang w:val="lv-LV"/>
        </w:rPr>
        <w:fldChar w:fldCharType="begin"/>
      </w:r>
      <w:r w:rsidRPr="0019406C">
        <w:rPr>
          <w:sz w:val="16"/>
          <w:lang w:val="lv-LV"/>
        </w:rPr>
        <w:instrText xml:space="preserve"> SEQ Tabula \* ARABIC </w:instrText>
      </w:r>
      <w:r w:rsidRPr="0019406C">
        <w:rPr>
          <w:sz w:val="16"/>
          <w:lang w:val="lv-LV"/>
        </w:rPr>
        <w:fldChar w:fldCharType="separate"/>
      </w:r>
      <w:r w:rsidR="00410806" w:rsidRPr="0019406C">
        <w:rPr>
          <w:noProof/>
          <w:sz w:val="16"/>
          <w:lang w:val="lv-LV"/>
        </w:rPr>
        <w:t>30</w:t>
      </w:r>
      <w:r w:rsidRPr="0019406C">
        <w:rPr>
          <w:sz w:val="16"/>
          <w:lang w:val="lv-LV"/>
        </w:rPr>
        <w:fldChar w:fldCharType="end"/>
      </w:r>
      <w:r w:rsidRPr="0019406C">
        <w:rPr>
          <w:sz w:val="16"/>
          <w:lang w:val="lv-LV"/>
        </w:rPr>
        <w:t xml:space="preserve"> Doing Business pētījuma 2014. gada kopsavilkums Latvijai</w:t>
      </w:r>
      <w:bookmarkEnd w:id="136"/>
      <w:bookmarkEnd w:id="137"/>
    </w:p>
    <w:tbl>
      <w:tblPr>
        <w:tblStyle w:val="LightList-Accent11"/>
        <w:tblpPr w:leftFromText="180" w:rightFromText="180" w:vertAnchor="text" w:horzAnchor="margin" w:tblpY="54"/>
        <w:tblW w:w="5000" w:type="pct"/>
        <w:tblLook w:val="04E0" w:firstRow="1" w:lastRow="1" w:firstColumn="1" w:lastColumn="0" w:noHBand="0" w:noVBand="1"/>
      </w:tblPr>
      <w:tblGrid>
        <w:gridCol w:w="4660"/>
        <w:gridCol w:w="1812"/>
        <w:gridCol w:w="1812"/>
        <w:gridCol w:w="1796"/>
      </w:tblGrid>
      <w:tr w:rsidR="00B1457B" w:rsidRPr="0019406C" w:rsidTr="00E061A2">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2311" w:type="pct"/>
          </w:tcPr>
          <w:p w:rsidR="00B1457B" w:rsidRPr="0019406C" w:rsidRDefault="00B1457B" w:rsidP="00E061A2">
            <w:pPr>
              <w:contextualSpacing/>
              <w:rPr>
                <w:rFonts w:asciiTheme="majorHAnsi" w:eastAsia="Times New Roman" w:hAnsiTheme="majorHAnsi"/>
                <w:b w:val="0"/>
                <w:bCs w:val="0"/>
                <w:sz w:val="18"/>
                <w:lang w:val="lv-LV" w:eastAsia="lv-LV"/>
              </w:rPr>
            </w:pPr>
            <w:r w:rsidRPr="0019406C">
              <w:rPr>
                <w:rFonts w:asciiTheme="majorHAnsi" w:eastAsia="Times New Roman" w:hAnsiTheme="majorHAnsi"/>
                <w:sz w:val="18"/>
                <w:lang w:val="lv-LV" w:eastAsia="lv-LV"/>
              </w:rPr>
              <w:t>Rādītāji</w:t>
            </w:r>
          </w:p>
        </w:tc>
        <w:tc>
          <w:tcPr>
            <w:tcW w:w="899" w:type="pct"/>
          </w:tcPr>
          <w:p w:rsidR="00B1457B" w:rsidRPr="0019406C" w:rsidRDefault="00B1457B" w:rsidP="00E061A2">
            <w:pPr>
              <w:contextualSpacing/>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b w:val="0"/>
                <w:bCs w:val="0"/>
                <w:sz w:val="18"/>
                <w:lang w:val="lv-LV" w:eastAsia="lv-LV"/>
              </w:rPr>
            </w:pPr>
            <w:r w:rsidRPr="0019406C">
              <w:rPr>
                <w:rFonts w:asciiTheme="majorHAnsi" w:eastAsia="Times New Roman" w:hAnsiTheme="majorHAnsi"/>
                <w:sz w:val="18"/>
                <w:lang w:val="lv-LV" w:eastAsia="lv-LV"/>
              </w:rPr>
              <w:t>DB2013</w:t>
            </w:r>
          </w:p>
        </w:tc>
        <w:tc>
          <w:tcPr>
            <w:tcW w:w="899" w:type="pct"/>
          </w:tcPr>
          <w:p w:rsidR="00B1457B" w:rsidRPr="0019406C" w:rsidRDefault="00B1457B" w:rsidP="00E061A2">
            <w:pPr>
              <w:contextualSpacing/>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b w:val="0"/>
                <w:bCs w:val="0"/>
                <w:sz w:val="18"/>
                <w:lang w:val="lv-LV" w:eastAsia="lv-LV"/>
              </w:rPr>
            </w:pPr>
            <w:r w:rsidRPr="0019406C">
              <w:rPr>
                <w:rFonts w:asciiTheme="majorHAnsi" w:eastAsia="Times New Roman" w:hAnsiTheme="majorHAnsi"/>
                <w:sz w:val="18"/>
                <w:lang w:val="lv-LV" w:eastAsia="lv-LV"/>
              </w:rPr>
              <w:t>DB2014</w:t>
            </w:r>
          </w:p>
        </w:tc>
        <w:tc>
          <w:tcPr>
            <w:tcW w:w="892" w:type="pct"/>
          </w:tcPr>
          <w:p w:rsidR="00B1457B" w:rsidRPr="0019406C" w:rsidRDefault="00B1457B" w:rsidP="00E061A2">
            <w:pPr>
              <w:contextualSpacing/>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b w:val="0"/>
                <w:bCs w:val="0"/>
                <w:sz w:val="18"/>
                <w:lang w:val="lv-LV" w:eastAsia="lv-LV"/>
              </w:rPr>
            </w:pPr>
            <w:r w:rsidRPr="0019406C">
              <w:rPr>
                <w:rFonts w:asciiTheme="majorHAnsi" w:eastAsia="Times New Roman" w:hAnsiTheme="majorHAnsi"/>
                <w:sz w:val="18"/>
                <w:lang w:val="lv-LV" w:eastAsia="lv-LV"/>
              </w:rPr>
              <w:t>Izmaiņa</w:t>
            </w:r>
          </w:p>
        </w:tc>
      </w:tr>
      <w:tr w:rsidR="00B1457B" w:rsidRPr="0019406C" w:rsidTr="00E061A2">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2311" w:type="pct"/>
          </w:tcPr>
          <w:p w:rsidR="00B1457B" w:rsidRPr="0019406C" w:rsidRDefault="00B1457B" w:rsidP="00E061A2">
            <w:pPr>
              <w:contextualSpacing/>
              <w:jc w:val="both"/>
              <w:rPr>
                <w:rFonts w:asciiTheme="majorHAnsi" w:eastAsia="Times New Roman" w:hAnsiTheme="majorHAnsi"/>
                <w:color w:val="000000" w:themeColor="text1"/>
                <w:sz w:val="18"/>
                <w:lang w:val="lv-LV" w:eastAsia="lv-LV"/>
              </w:rPr>
            </w:pPr>
            <w:r w:rsidRPr="0019406C">
              <w:rPr>
                <w:rFonts w:asciiTheme="majorHAnsi" w:eastAsia="Times New Roman" w:hAnsiTheme="majorHAnsi"/>
                <w:color w:val="000000" w:themeColor="text1"/>
                <w:sz w:val="18"/>
                <w:lang w:val="lv-LV" w:eastAsia="lv-LV"/>
              </w:rPr>
              <w:t>Uzņēmējdarbības uzsākšana</w:t>
            </w:r>
          </w:p>
        </w:tc>
        <w:tc>
          <w:tcPr>
            <w:tcW w:w="899" w:type="pct"/>
          </w:tcPr>
          <w:p w:rsidR="00B1457B" w:rsidRPr="0019406C" w:rsidRDefault="00B1457B" w:rsidP="00E061A2">
            <w:pPr>
              <w:contextualSpacing/>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b/>
                <w:color w:val="000000" w:themeColor="text1"/>
                <w:sz w:val="18"/>
                <w:lang w:val="lv-LV" w:eastAsia="lv-LV"/>
              </w:rPr>
            </w:pPr>
            <w:r w:rsidRPr="0019406C">
              <w:rPr>
                <w:rFonts w:asciiTheme="majorHAnsi" w:eastAsia="Times New Roman" w:hAnsiTheme="majorHAnsi"/>
                <w:b/>
                <w:color w:val="000000" w:themeColor="text1"/>
                <w:sz w:val="18"/>
                <w:lang w:val="lv-LV" w:eastAsia="lv-LV"/>
              </w:rPr>
              <w:t>59</w:t>
            </w:r>
          </w:p>
        </w:tc>
        <w:tc>
          <w:tcPr>
            <w:tcW w:w="899" w:type="pct"/>
          </w:tcPr>
          <w:p w:rsidR="00B1457B" w:rsidRPr="0019406C" w:rsidRDefault="00B1457B" w:rsidP="00E061A2">
            <w:pPr>
              <w:contextualSpacing/>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b/>
                <w:color w:val="000000" w:themeColor="text1"/>
                <w:sz w:val="18"/>
                <w:lang w:val="lv-LV" w:eastAsia="lv-LV"/>
              </w:rPr>
            </w:pPr>
            <w:r w:rsidRPr="0019406C">
              <w:rPr>
                <w:rFonts w:asciiTheme="majorHAnsi" w:eastAsia="Times New Roman" w:hAnsiTheme="majorHAnsi"/>
                <w:b/>
                <w:color w:val="000000" w:themeColor="text1"/>
                <w:sz w:val="18"/>
                <w:lang w:val="lv-LV" w:eastAsia="lv-LV"/>
              </w:rPr>
              <w:t>57</w:t>
            </w:r>
          </w:p>
        </w:tc>
        <w:tc>
          <w:tcPr>
            <w:tcW w:w="892" w:type="pct"/>
          </w:tcPr>
          <w:p w:rsidR="00B1457B" w:rsidRPr="0019406C" w:rsidRDefault="00B1457B" w:rsidP="00E061A2">
            <w:pPr>
              <w:contextualSpacing/>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b/>
                <w:color w:val="000000" w:themeColor="text1"/>
                <w:sz w:val="18"/>
                <w:lang w:val="lv-LV" w:eastAsia="lv-LV"/>
              </w:rPr>
            </w:pPr>
            <w:r w:rsidRPr="0019406C">
              <w:rPr>
                <w:rFonts w:ascii="Times New Roman" w:eastAsia="Cambria" w:hAnsi="Times New Roman" w:cs="Times New Roman"/>
                <w:b/>
                <w:lang w:val="lv-LV"/>
              </w:rPr>
              <w:t xml:space="preserve">↑ </w:t>
            </w:r>
            <w:r w:rsidRPr="0019406C">
              <w:rPr>
                <w:rFonts w:asciiTheme="majorHAnsi" w:eastAsia="Times New Roman" w:hAnsiTheme="majorHAnsi"/>
                <w:b/>
                <w:color w:val="000000" w:themeColor="text1"/>
                <w:sz w:val="18"/>
                <w:lang w:val="lv-LV" w:eastAsia="lv-LV"/>
              </w:rPr>
              <w:t>2</w:t>
            </w:r>
          </w:p>
        </w:tc>
      </w:tr>
      <w:tr w:rsidR="00B1457B" w:rsidRPr="0019406C" w:rsidTr="00E061A2">
        <w:trPr>
          <w:trHeight w:val="227"/>
        </w:trPr>
        <w:tc>
          <w:tcPr>
            <w:cnfStyle w:val="001000000000" w:firstRow="0" w:lastRow="0" w:firstColumn="1" w:lastColumn="0" w:oddVBand="0" w:evenVBand="0" w:oddHBand="0" w:evenHBand="0" w:firstRowFirstColumn="0" w:firstRowLastColumn="0" w:lastRowFirstColumn="0" w:lastRowLastColumn="0"/>
            <w:tcW w:w="2311" w:type="pct"/>
          </w:tcPr>
          <w:p w:rsidR="00B1457B" w:rsidRPr="0019406C" w:rsidRDefault="00B1457B" w:rsidP="00E061A2">
            <w:pPr>
              <w:contextualSpacing/>
              <w:jc w:val="both"/>
              <w:rPr>
                <w:rFonts w:asciiTheme="majorHAnsi" w:eastAsia="Times New Roman" w:hAnsiTheme="majorHAnsi"/>
                <w:color w:val="000000" w:themeColor="text1"/>
                <w:sz w:val="18"/>
                <w:lang w:val="lv-LV" w:eastAsia="lv-LV"/>
              </w:rPr>
            </w:pPr>
            <w:r w:rsidRPr="0019406C">
              <w:rPr>
                <w:rFonts w:asciiTheme="majorHAnsi" w:eastAsia="Times New Roman" w:hAnsiTheme="majorHAnsi"/>
                <w:color w:val="000000" w:themeColor="text1"/>
                <w:sz w:val="18"/>
                <w:lang w:val="lv-LV" w:eastAsia="lv-LV"/>
              </w:rPr>
              <w:t>Būvniecības atļaujas</w:t>
            </w:r>
          </w:p>
        </w:tc>
        <w:tc>
          <w:tcPr>
            <w:tcW w:w="899" w:type="pct"/>
          </w:tcPr>
          <w:p w:rsidR="00B1457B" w:rsidRPr="0019406C" w:rsidRDefault="00B1457B" w:rsidP="00E061A2">
            <w:pPr>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
                <w:color w:val="000000" w:themeColor="text1"/>
                <w:sz w:val="18"/>
                <w:lang w:val="lv-LV" w:eastAsia="lv-LV"/>
              </w:rPr>
            </w:pPr>
            <w:r w:rsidRPr="0019406C">
              <w:rPr>
                <w:rFonts w:asciiTheme="majorHAnsi" w:eastAsia="Times New Roman" w:hAnsiTheme="majorHAnsi"/>
                <w:b/>
                <w:color w:val="000000" w:themeColor="text1"/>
                <w:sz w:val="18"/>
                <w:lang w:val="lv-LV" w:eastAsia="lv-LV"/>
              </w:rPr>
              <w:t>118</w:t>
            </w:r>
          </w:p>
        </w:tc>
        <w:tc>
          <w:tcPr>
            <w:tcW w:w="899" w:type="pct"/>
          </w:tcPr>
          <w:p w:rsidR="00B1457B" w:rsidRPr="0019406C" w:rsidRDefault="00B1457B" w:rsidP="00E061A2">
            <w:pPr>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
                <w:color w:val="000000" w:themeColor="text1"/>
                <w:sz w:val="18"/>
                <w:lang w:val="lv-LV" w:eastAsia="lv-LV"/>
              </w:rPr>
            </w:pPr>
            <w:r w:rsidRPr="0019406C">
              <w:rPr>
                <w:rFonts w:asciiTheme="majorHAnsi" w:eastAsia="Times New Roman" w:hAnsiTheme="majorHAnsi"/>
                <w:b/>
                <w:color w:val="000000" w:themeColor="text1"/>
                <w:sz w:val="18"/>
                <w:lang w:val="lv-LV" w:eastAsia="lv-LV"/>
              </w:rPr>
              <w:t>79</w:t>
            </w:r>
          </w:p>
        </w:tc>
        <w:tc>
          <w:tcPr>
            <w:tcW w:w="892" w:type="pct"/>
          </w:tcPr>
          <w:p w:rsidR="00B1457B" w:rsidRPr="0019406C" w:rsidRDefault="00B1457B" w:rsidP="00E061A2">
            <w:pPr>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
                <w:color w:val="000000" w:themeColor="text1"/>
                <w:sz w:val="18"/>
                <w:lang w:val="lv-LV" w:eastAsia="lv-LV"/>
              </w:rPr>
            </w:pPr>
            <w:r w:rsidRPr="0019406C">
              <w:rPr>
                <w:rFonts w:ascii="Times New Roman" w:eastAsia="Cambria" w:hAnsi="Times New Roman" w:cs="Times New Roman"/>
                <w:b/>
                <w:lang w:val="lv-LV"/>
              </w:rPr>
              <w:t xml:space="preserve">↑ </w:t>
            </w:r>
            <w:r w:rsidRPr="0019406C">
              <w:rPr>
                <w:rFonts w:asciiTheme="majorHAnsi" w:eastAsia="Times New Roman" w:hAnsiTheme="majorHAnsi"/>
                <w:b/>
                <w:color w:val="000000" w:themeColor="text1"/>
                <w:sz w:val="18"/>
                <w:lang w:val="lv-LV" w:eastAsia="lv-LV"/>
              </w:rPr>
              <w:t>39</w:t>
            </w:r>
          </w:p>
        </w:tc>
      </w:tr>
      <w:tr w:rsidR="00B1457B" w:rsidRPr="0019406C" w:rsidTr="00E061A2">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2311" w:type="pct"/>
          </w:tcPr>
          <w:p w:rsidR="00B1457B" w:rsidRPr="0019406C" w:rsidRDefault="00B1457B" w:rsidP="00E061A2">
            <w:pPr>
              <w:contextualSpacing/>
              <w:jc w:val="both"/>
              <w:rPr>
                <w:rFonts w:asciiTheme="majorHAnsi" w:eastAsia="Times New Roman" w:hAnsiTheme="majorHAnsi"/>
                <w:b w:val="0"/>
                <w:color w:val="000000" w:themeColor="text1"/>
                <w:sz w:val="18"/>
                <w:lang w:val="lv-LV" w:eastAsia="lv-LV"/>
              </w:rPr>
            </w:pPr>
            <w:r w:rsidRPr="0019406C">
              <w:rPr>
                <w:rFonts w:asciiTheme="majorHAnsi" w:eastAsia="Times New Roman" w:hAnsiTheme="majorHAnsi"/>
                <w:b w:val="0"/>
                <w:color w:val="000000" w:themeColor="text1"/>
                <w:sz w:val="18"/>
                <w:lang w:val="lv-LV" w:eastAsia="lv-LV"/>
              </w:rPr>
              <w:t>Elektrības pieslēgums</w:t>
            </w:r>
          </w:p>
        </w:tc>
        <w:tc>
          <w:tcPr>
            <w:tcW w:w="899" w:type="pct"/>
          </w:tcPr>
          <w:p w:rsidR="00B1457B" w:rsidRPr="0019406C" w:rsidRDefault="00B1457B" w:rsidP="00E061A2">
            <w:pPr>
              <w:contextualSpacing/>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themeColor="text1"/>
                <w:sz w:val="18"/>
                <w:lang w:val="lv-LV" w:eastAsia="lv-LV"/>
              </w:rPr>
            </w:pPr>
            <w:r w:rsidRPr="0019406C">
              <w:rPr>
                <w:rFonts w:asciiTheme="majorHAnsi" w:eastAsia="Times New Roman" w:hAnsiTheme="majorHAnsi"/>
                <w:color w:val="000000" w:themeColor="text1"/>
                <w:sz w:val="18"/>
                <w:lang w:val="lv-LV" w:eastAsia="lv-LV"/>
              </w:rPr>
              <w:t>89</w:t>
            </w:r>
          </w:p>
        </w:tc>
        <w:tc>
          <w:tcPr>
            <w:tcW w:w="899" w:type="pct"/>
          </w:tcPr>
          <w:p w:rsidR="00B1457B" w:rsidRPr="0019406C" w:rsidRDefault="00B1457B" w:rsidP="00E061A2">
            <w:pPr>
              <w:contextualSpacing/>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themeColor="text1"/>
                <w:sz w:val="18"/>
                <w:lang w:val="lv-LV" w:eastAsia="lv-LV"/>
              </w:rPr>
            </w:pPr>
            <w:r w:rsidRPr="0019406C">
              <w:rPr>
                <w:rFonts w:asciiTheme="majorHAnsi" w:eastAsia="Times New Roman" w:hAnsiTheme="majorHAnsi"/>
                <w:color w:val="000000" w:themeColor="text1"/>
                <w:sz w:val="18"/>
                <w:lang w:val="lv-LV" w:eastAsia="lv-LV"/>
              </w:rPr>
              <w:t>83</w:t>
            </w:r>
          </w:p>
        </w:tc>
        <w:tc>
          <w:tcPr>
            <w:tcW w:w="892" w:type="pct"/>
          </w:tcPr>
          <w:p w:rsidR="00B1457B" w:rsidRPr="0019406C" w:rsidRDefault="00B1457B" w:rsidP="00E061A2">
            <w:pPr>
              <w:contextualSpacing/>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themeColor="text1"/>
                <w:sz w:val="18"/>
                <w:lang w:val="lv-LV" w:eastAsia="lv-LV"/>
              </w:rPr>
            </w:pPr>
            <w:r w:rsidRPr="0019406C">
              <w:rPr>
                <w:rFonts w:ascii="Times New Roman" w:eastAsia="Cambria" w:hAnsi="Times New Roman" w:cs="Times New Roman"/>
                <w:b/>
                <w:lang w:val="lv-LV"/>
              </w:rPr>
              <w:t xml:space="preserve">↑ </w:t>
            </w:r>
            <w:r w:rsidRPr="0019406C">
              <w:rPr>
                <w:rFonts w:asciiTheme="majorHAnsi" w:eastAsia="Times New Roman" w:hAnsiTheme="majorHAnsi"/>
                <w:color w:val="000000" w:themeColor="text1"/>
                <w:sz w:val="18"/>
                <w:lang w:val="lv-LV" w:eastAsia="lv-LV"/>
              </w:rPr>
              <w:t>6</w:t>
            </w:r>
          </w:p>
        </w:tc>
      </w:tr>
      <w:tr w:rsidR="00B1457B" w:rsidRPr="0019406C" w:rsidTr="00E061A2">
        <w:trPr>
          <w:trHeight w:val="227"/>
        </w:trPr>
        <w:tc>
          <w:tcPr>
            <w:cnfStyle w:val="001000000000" w:firstRow="0" w:lastRow="0" w:firstColumn="1" w:lastColumn="0" w:oddVBand="0" w:evenVBand="0" w:oddHBand="0" w:evenHBand="0" w:firstRowFirstColumn="0" w:firstRowLastColumn="0" w:lastRowFirstColumn="0" w:lastRowLastColumn="0"/>
            <w:tcW w:w="2311" w:type="pct"/>
          </w:tcPr>
          <w:p w:rsidR="00B1457B" w:rsidRPr="0019406C" w:rsidRDefault="00B1457B" w:rsidP="00E061A2">
            <w:pPr>
              <w:contextualSpacing/>
              <w:jc w:val="both"/>
              <w:rPr>
                <w:rFonts w:asciiTheme="majorHAnsi" w:eastAsia="Times New Roman" w:hAnsiTheme="majorHAnsi"/>
                <w:color w:val="000000" w:themeColor="text1"/>
                <w:sz w:val="18"/>
                <w:lang w:val="lv-LV" w:eastAsia="lv-LV"/>
              </w:rPr>
            </w:pPr>
            <w:r w:rsidRPr="0019406C">
              <w:rPr>
                <w:rFonts w:asciiTheme="majorHAnsi" w:eastAsia="Times New Roman" w:hAnsiTheme="majorHAnsi"/>
                <w:color w:val="000000" w:themeColor="text1"/>
                <w:sz w:val="18"/>
                <w:lang w:val="lv-LV" w:eastAsia="lv-LV"/>
              </w:rPr>
              <w:t>Īpašuma reģistrācija</w:t>
            </w:r>
          </w:p>
        </w:tc>
        <w:tc>
          <w:tcPr>
            <w:tcW w:w="899" w:type="pct"/>
          </w:tcPr>
          <w:p w:rsidR="00B1457B" w:rsidRPr="0019406C" w:rsidRDefault="00B1457B" w:rsidP="00E061A2">
            <w:pPr>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
                <w:color w:val="000000" w:themeColor="text1"/>
                <w:sz w:val="18"/>
                <w:lang w:val="lv-LV" w:eastAsia="lv-LV"/>
              </w:rPr>
            </w:pPr>
            <w:r w:rsidRPr="0019406C">
              <w:rPr>
                <w:rFonts w:asciiTheme="majorHAnsi" w:eastAsia="Times New Roman" w:hAnsiTheme="majorHAnsi"/>
                <w:b/>
                <w:color w:val="000000" w:themeColor="text1"/>
                <w:sz w:val="18"/>
                <w:lang w:val="lv-LV" w:eastAsia="lv-LV"/>
              </w:rPr>
              <w:t>29</w:t>
            </w:r>
          </w:p>
        </w:tc>
        <w:tc>
          <w:tcPr>
            <w:tcW w:w="899" w:type="pct"/>
          </w:tcPr>
          <w:p w:rsidR="00B1457B" w:rsidRPr="0019406C" w:rsidRDefault="00B1457B" w:rsidP="00E061A2">
            <w:pPr>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
                <w:color w:val="000000" w:themeColor="text1"/>
                <w:sz w:val="18"/>
                <w:lang w:val="lv-LV" w:eastAsia="lv-LV"/>
              </w:rPr>
            </w:pPr>
            <w:r w:rsidRPr="0019406C">
              <w:rPr>
                <w:rFonts w:asciiTheme="majorHAnsi" w:eastAsia="Times New Roman" w:hAnsiTheme="majorHAnsi"/>
                <w:b/>
                <w:color w:val="000000" w:themeColor="text1"/>
                <w:sz w:val="18"/>
                <w:lang w:val="lv-LV" w:eastAsia="lv-LV"/>
              </w:rPr>
              <w:t>33</w:t>
            </w:r>
          </w:p>
        </w:tc>
        <w:tc>
          <w:tcPr>
            <w:tcW w:w="892" w:type="pct"/>
          </w:tcPr>
          <w:p w:rsidR="00B1457B" w:rsidRPr="0019406C" w:rsidRDefault="00B1457B" w:rsidP="00E061A2">
            <w:pPr>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
                <w:color w:val="000000" w:themeColor="text1"/>
                <w:sz w:val="18"/>
                <w:lang w:val="lv-LV" w:eastAsia="lv-LV"/>
              </w:rPr>
            </w:pPr>
            <w:r w:rsidRPr="0019406C">
              <w:rPr>
                <w:rFonts w:ascii="Times New Roman" w:eastAsia="Cambria" w:hAnsi="Times New Roman" w:cs="Times New Roman"/>
                <w:b/>
                <w:lang w:val="lv-LV"/>
              </w:rPr>
              <w:t>↓ -</w:t>
            </w:r>
            <w:r w:rsidRPr="0019406C">
              <w:rPr>
                <w:rFonts w:asciiTheme="majorHAnsi" w:eastAsia="Times New Roman" w:hAnsiTheme="majorHAnsi"/>
                <w:b/>
                <w:color w:val="000000" w:themeColor="text1"/>
                <w:sz w:val="18"/>
                <w:lang w:val="lv-LV" w:eastAsia="lv-LV"/>
              </w:rPr>
              <w:t>4</w:t>
            </w:r>
          </w:p>
        </w:tc>
      </w:tr>
      <w:tr w:rsidR="00B1457B" w:rsidRPr="0019406C" w:rsidTr="00E061A2">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2311" w:type="pct"/>
          </w:tcPr>
          <w:p w:rsidR="00B1457B" w:rsidRPr="0019406C" w:rsidRDefault="00B1457B" w:rsidP="00E061A2">
            <w:pPr>
              <w:contextualSpacing/>
              <w:jc w:val="both"/>
              <w:rPr>
                <w:rFonts w:asciiTheme="majorHAnsi" w:eastAsia="Times New Roman" w:hAnsiTheme="majorHAnsi"/>
                <w:b w:val="0"/>
                <w:color w:val="000000" w:themeColor="text1"/>
                <w:sz w:val="18"/>
                <w:lang w:val="lv-LV" w:eastAsia="lv-LV"/>
              </w:rPr>
            </w:pPr>
            <w:r w:rsidRPr="0019406C">
              <w:rPr>
                <w:rFonts w:asciiTheme="majorHAnsi" w:eastAsia="Times New Roman" w:hAnsiTheme="majorHAnsi"/>
                <w:b w:val="0"/>
                <w:color w:val="000000" w:themeColor="text1"/>
                <w:sz w:val="18"/>
                <w:lang w:val="lv-LV" w:eastAsia="lv-LV"/>
              </w:rPr>
              <w:t>Kredītu reģistrs</w:t>
            </w:r>
          </w:p>
        </w:tc>
        <w:tc>
          <w:tcPr>
            <w:tcW w:w="899" w:type="pct"/>
          </w:tcPr>
          <w:p w:rsidR="00B1457B" w:rsidRPr="0019406C" w:rsidRDefault="00B1457B" w:rsidP="00E061A2">
            <w:pPr>
              <w:contextualSpacing/>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themeColor="text1"/>
                <w:sz w:val="18"/>
                <w:lang w:val="lv-LV" w:eastAsia="lv-LV"/>
              </w:rPr>
            </w:pPr>
            <w:r w:rsidRPr="0019406C">
              <w:rPr>
                <w:rFonts w:asciiTheme="majorHAnsi" w:eastAsia="Times New Roman" w:hAnsiTheme="majorHAnsi"/>
                <w:color w:val="000000" w:themeColor="text1"/>
                <w:sz w:val="18"/>
                <w:lang w:val="lv-LV" w:eastAsia="lv-LV"/>
              </w:rPr>
              <w:t>3</w:t>
            </w:r>
          </w:p>
        </w:tc>
        <w:tc>
          <w:tcPr>
            <w:tcW w:w="899" w:type="pct"/>
          </w:tcPr>
          <w:p w:rsidR="00B1457B" w:rsidRPr="0019406C" w:rsidRDefault="00B1457B" w:rsidP="00E061A2">
            <w:pPr>
              <w:contextualSpacing/>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themeColor="text1"/>
                <w:sz w:val="18"/>
                <w:lang w:val="lv-LV" w:eastAsia="lv-LV"/>
              </w:rPr>
            </w:pPr>
            <w:r w:rsidRPr="0019406C">
              <w:rPr>
                <w:rFonts w:asciiTheme="majorHAnsi" w:eastAsia="Times New Roman" w:hAnsiTheme="majorHAnsi"/>
                <w:color w:val="000000" w:themeColor="text1"/>
                <w:sz w:val="18"/>
                <w:lang w:val="lv-LV" w:eastAsia="lv-LV"/>
              </w:rPr>
              <w:t>3</w:t>
            </w:r>
          </w:p>
        </w:tc>
        <w:tc>
          <w:tcPr>
            <w:tcW w:w="892" w:type="pct"/>
          </w:tcPr>
          <w:p w:rsidR="00B1457B" w:rsidRPr="0019406C" w:rsidRDefault="00B1457B" w:rsidP="00E061A2">
            <w:pPr>
              <w:contextualSpacing/>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themeColor="text1"/>
                <w:sz w:val="18"/>
                <w:lang w:val="lv-LV" w:eastAsia="lv-LV"/>
              </w:rPr>
            </w:pPr>
            <w:r w:rsidRPr="0019406C">
              <w:rPr>
                <w:rFonts w:asciiTheme="majorHAnsi" w:eastAsia="Times New Roman" w:hAnsiTheme="majorHAnsi"/>
                <w:color w:val="000000" w:themeColor="text1"/>
                <w:sz w:val="18"/>
                <w:lang w:val="lv-LV" w:eastAsia="lv-LV"/>
              </w:rPr>
              <w:t>0</w:t>
            </w:r>
          </w:p>
        </w:tc>
      </w:tr>
      <w:tr w:rsidR="00B1457B" w:rsidRPr="0019406C" w:rsidTr="00E061A2">
        <w:trPr>
          <w:trHeight w:val="227"/>
        </w:trPr>
        <w:tc>
          <w:tcPr>
            <w:cnfStyle w:val="001000000000" w:firstRow="0" w:lastRow="0" w:firstColumn="1" w:lastColumn="0" w:oddVBand="0" w:evenVBand="0" w:oddHBand="0" w:evenHBand="0" w:firstRowFirstColumn="0" w:firstRowLastColumn="0" w:lastRowFirstColumn="0" w:lastRowLastColumn="0"/>
            <w:tcW w:w="2311" w:type="pct"/>
          </w:tcPr>
          <w:p w:rsidR="00B1457B" w:rsidRPr="0019406C" w:rsidRDefault="00B1457B" w:rsidP="00E061A2">
            <w:pPr>
              <w:contextualSpacing/>
              <w:jc w:val="both"/>
              <w:rPr>
                <w:rFonts w:asciiTheme="majorHAnsi" w:eastAsia="Times New Roman" w:hAnsiTheme="majorHAnsi"/>
                <w:b w:val="0"/>
                <w:color w:val="000000" w:themeColor="text1"/>
                <w:sz w:val="18"/>
                <w:lang w:val="lv-LV" w:eastAsia="lv-LV"/>
              </w:rPr>
            </w:pPr>
            <w:r w:rsidRPr="0019406C">
              <w:rPr>
                <w:rFonts w:asciiTheme="majorHAnsi" w:eastAsia="Times New Roman" w:hAnsiTheme="majorHAnsi"/>
                <w:b w:val="0"/>
                <w:color w:val="000000" w:themeColor="text1"/>
                <w:sz w:val="18"/>
                <w:lang w:val="lv-LV" w:eastAsia="lv-LV"/>
              </w:rPr>
              <w:t>Investoru aizsardzība</w:t>
            </w:r>
          </w:p>
        </w:tc>
        <w:tc>
          <w:tcPr>
            <w:tcW w:w="899" w:type="pct"/>
          </w:tcPr>
          <w:p w:rsidR="00B1457B" w:rsidRPr="0019406C" w:rsidRDefault="00B1457B" w:rsidP="00E061A2">
            <w:pPr>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themeColor="text1"/>
                <w:sz w:val="18"/>
                <w:lang w:val="lv-LV" w:eastAsia="lv-LV"/>
              </w:rPr>
            </w:pPr>
            <w:r w:rsidRPr="0019406C">
              <w:rPr>
                <w:rFonts w:asciiTheme="majorHAnsi" w:eastAsia="Times New Roman" w:hAnsiTheme="majorHAnsi"/>
                <w:color w:val="000000" w:themeColor="text1"/>
                <w:sz w:val="18"/>
                <w:lang w:val="lv-LV" w:eastAsia="lv-LV"/>
              </w:rPr>
              <w:t>67</w:t>
            </w:r>
          </w:p>
        </w:tc>
        <w:tc>
          <w:tcPr>
            <w:tcW w:w="899" w:type="pct"/>
          </w:tcPr>
          <w:p w:rsidR="00B1457B" w:rsidRPr="0019406C" w:rsidRDefault="00B1457B" w:rsidP="00E061A2">
            <w:pPr>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themeColor="text1"/>
                <w:sz w:val="18"/>
                <w:lang w:val="lv-LV" w:eastAsia="lv-LV"/>
              </w:rPr>
            </w:pPr>
            <w:r w:rsidRPr="0019406C">
              <w:rPr>
                <w:rFonts w:asciiTheme="majorHAnsi" w:eastAsia="Times New Roman" w:hAnsiTheme="majorHAnsi"/>
                <w:color w:val="000000" w:themeColor="text1"/>
                <w:sz w:val="18"/>
                <w:lang w:val="lv-LV" w:eastAsia="lv-LV"/>
              </w:rPr>
              <w:t>68</w:t>
            </w:r>
          </w:p>
        </w:tc>
        <w:tc>
          <w:tcPr>
            <w:tcW w:w="892" w:type="pct"/>
          </w:tcPr>
          <w:p w:rsidR="00B1457B" w:rsidRPr="0019406C" w:rsidRDefault="00B1457B" w:rsidP="00E061A2">
            <w:pPr>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themeColor="text1"/>
                <w:sz w:val="18"/>
                <w:lang w:val="lv-LV" w:eastAsia="lv-LV"/>
              </w:rPr>
            </w:pPr>
            <w:r w:rsidRPr="0019406C">
              <w:rPr>
                <w:rFonts w:ascii="Times New Roman" w:eastAsia="Cambria" w:hAnsi="Times New Roman" w:cs="Times New Roman"/>
                <w:lang w:val="lv-LV"/>
              </w:rPr>
              <w:t>↓ -1</w:t>
            </w:r>
          </w:p>
        </w:tc>
      </w:tr>
      <w:tr w:rsidR="00B1457B" w:rsidRPr="0019406C" w:rsidTr="00E061A2">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2311" w:type="pct"/>
          </w:tcPr>
          <w:p w:rsidR="00B1457B" w:rsidRPr="0019406C" w:rsidRDefault="00B1457B" w:rsidP="00E061A2">
            <w:pPr>
              <w:contextualSpacing/>
              <w:jc w:val="both"/>
              <w:rPr>
                <w:rFonts w:asciiTheme="majorHAnsi" w:eastAsia="Times New Roman" w:hAnsiTheme="majorHAnsi"/>
                <w:color w:val="000000" w:themeColor="text1"/>
                <w:sz w:val="18"/>
                <w:lang w:val="lv-LV" w:eastAsia="lv-LV"/>
              </w:rPr>
            </w:pPr>
            <w:r w:rsidRPr="0019406C">
              <w:rPr>
                <w:rFonts w:asciiTheme="majorHAnsi" w:eastAsia="Times New Roman" w:hAnsiTheme="majorHAnsi"/>
                <w:color w:val="000000" w:themeColor="text1"/>
                <w:sz w:val="18"/>
                <w:lang w:val="lv-LV" w:eastAsia="lv-LV"/>
              </w:rPr>
              <w:t>Nodokļu maksāšana</w:t>
            </w:r>
          </w:p>
        </w:tc>
        <w:tc>
          <w:tcPr>
            <w:tcW w:w="899" w:type="pct"/>
          </w:tcPr>
          <w:p w:rsidR="00B1457B" w:rsidRPr="0019406C" w:rsidRDefault="00B1457B" w:rsidP="00E061A2">
            <w:pPr>
              <w:contextualSpacing/>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b/>
                <w:color w:val="000000"/>
                <w:sz w:val="18"/>
                <w:lang w:val="lv-LV" w:eastAsia="lv-LV"/>
              </w:rPr>
            </w:pPr>
            <w:r w:rsidRPr="0019406C">
              <w:rPr>
                <w:rFonts w:asciiTheme="majorHAnsi" w:eastAsia="Times New Roman" w:hAnsiTheme="majorHAnsi"/>
                <w:b/>
                <w:color w:val="000000"/>
                <w:sz w:val="18"/>
                <w:lang w:val="lv-LV" w:eastAsia="lv-LV"/>
              </w:rPr>
              <w:t>52</w:t>
            </w:r>
          </w:p>
        </w:tc>
        <w:tc>
          <w:tcPr>
            <w:tcW w:w="899" w:type="pct"/>
          </w:tcPr>
          <w:p w:rsidR="00B1457B" w:rsidRPr="0019406C" w:rsidRDefault="00B1457B" w:rsidP="00E061A2">
            <w:pPr>
              <w:contextualSpacing/>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b/>
                <w:color w:val="000000" w:themeColor="text1"/>
                <w:sz w:val="18"/>
                <w:lang w:val="lv-LV" w:eastAsia="lv-LV"/>
              </w:rPr>
            </w:pPr>
            <w:r w:rsidRPr="0019406C">
              <w:rPr>
                <w:rFonts w:asciiTheme="majorHAnsi" w:eastAsia="Times New Roman" w:hAnsiTheme="majorHAnsi"/>
                <w:b/>
                <w:color w:val="000000" w:themeColor="text1"/>
                <w:sz w:val="18"/>
                <w:lang w:val="lv-LV" w:eastAsia="lv-LV"/>
              </w:rPr>
              <w:t>49</w:t>
            </w:r>
          </w:p>
        </w:tc>
        <w:tc>
          <w:tcPr>
            <w:tcW w:w="892" w:type="pct"/>
          </w:tcPr>
          <w:p w:rsidR="00B1457B" w:rsidRPr="0019406C" w:rsidRDefault="00B1457B" w:rsidP="00E061A2">
            <w:pPr>
              <w:contextualSpacing/>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b/>
                <w:color w:val="000000" w:themeColor="text1"/>
                <w:sz w:val="18"/>
                <w:lang w:val="lv-LV" w:eastAsia="lv-LV"/>
              </w:rPr>
            </w:pPr>
            <w:r w:rsidRPr="0019406C">
              <w:rPr>
                <w:rFonts w:ascii="Times New Roman" w:eastAsia="Cambria" w:hAnsi="Times New Roman" w:cs="Times New Roman"/>
                <w:b/>
                <w:lang w:val="lv-LV"/>
              </w:rPr>
              <w:t xml:space="preserve">↑ </w:t>
            </w:r>
            <w:r w:rsidRPr="0019406C">
              <w:rPr>
                <w:rFonts w:asciiTheme="majorHAnsi" w:eastAsia="Times New Roman" w:hAnsiTheme="majorHAnsi"/>
                <w:b/>
                <w:color w:val="000000" w:themeColor="text1"/>
                <w:sz w:val="18"/>
                <w:lang w:val="lv-LV" w:eastAsia="lv-LV"/>
              </w:rPr>
              <w:t>3</w:t>
            </w:r>
          </w:p>
        </w:tc>
      </w:tr>
      <w:tr w:rsidR="00B1457B" w:rsidRPr="0019406C" w:rsidTr="00E061A2">
        <w:trPr>
          <w:trHeight w:val="227"/>
        </w:trPr>
        <w:tc>
          <w:tcPr>
            <w:cnfStyle w:val="001000000000" w:firstRow="0" w:lastRow="0" w:firstColumn="1" w:lastColumn="0" w:oddVBand="0" w:evenVBand="0" w:oddHBand="0" w:evenHBand="0" w:firstRowFirstColumn="0" w:firstRowLastColumn="0" w:lastRowFirstColumn="0" w:lastRowLastColumn="0"/>
            <w:tcW w:w="2311" w:type="pct"/>
          </w:tcPr>
          <w:p w:rsidR="00B1457B" w:rsidRPr="0019406C" w:rsidRDefault="00B1457B" w:rsidP="00E061A2">
            <w:pPr>
              <w:contextualSpacing/>
              <w:jc w:val="both"/>
              <w:rPr>
                <w:rFonts w:asciiTheme="majorHAnsi" w:eastAsia="Times New Roman" w:hAnsiTheme="majorHAnsi"/>
                <w:b w:val="0"/>
                <w:color w:val="000000"/>
                <w:sz w:val="18"/>
                <w:lang w:val="lv-LV" w:eastAsia="lv-LV"/>
              </w:rPr>
            </w:pPr>
            <w:r w:rsidRPr="0019406C">
              <w:rPr>
                <w:rFonts w:asciiTheme="majorHAnsi" w:eastAsia="Times New Roman" w:hAnsiTheme="majorHAnsi"/>
                <w:b w:val="0"/>
                <w:color w:val="000000"/>
                <w:sz w:val="18"/>
                <w:lang w:val="lv-LV" w:eastAsia="lv-LV"/>
              </w:rPr>
              <w:t>Pārrobežu tirdzniecība</w:t>
            </w:r>
          </w:p>
        </w:tc>
        <w:tc>
          <w:tcPr>
            <w:tcW w:w="899" w:type="pct"/>
          </w:tcPr>
          <w:p w:rsidR="00B1457B" w:rsidRPr="0019406C" w:rsidRDefault="00B1457B" w:rsidP="00E061A2">
            <w:pPr>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sz w:val="18"/>
                <w:lang w:val="lv-LV" w:eastAsia="lv-LV"/>
              </w:rPr>
            </w:pPr>
            <w:r w:rsidRPr="0019406C">
              <w:rPr>
                <w:rFonts w:asciiTheme="majorHAnsi" w:eastAsia="Times New Roman" w:hAnsiTheme="majorHAnsi"/>
                <w:color w:val="000000"/>
                <w:sz w:val="18"/>
                <w:lang w:val="lv-LV" w:eastAsia="lv-LV"/>
              </w:rPr>
              <w:t>23</w:t>
            </w:r>
          </w:p>
        </w:tc>
        <w:tc>
          <w:tcPr>
            <w:tcW w:w="899" w:type="pct"/>
          </w:tcPr>
          <w:p w:rsidR="00B1457B" w:rsidRPr="0019406C" w:rsidRDefault="00B1457B" w:rsidP="00E061A2">
            <w:pPr>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sz w:val="18"/>
                <w:lang w:val="lv-LV" w:eastAsia="lv-LV"/>
              </w:rPr>
            </w:pPr>
            <w:r w:rsidRPr="0019406C">
              <w:rPr>
                <w:rFonts w:asciiTheme="majorHAnsi" w:eastAsia="Times New Roman" w:hAnsiTheme="majorHAnsi"/>
                <w:color w:val="000000"/>
                <w:sz w:val="18"/>
                <w:lang w:val="lv-LV" w:eastAsia="lv-LV"/>
              </w:rPr>
              <w:t>17</w:t>
            </w:r>
          </w:p>
        </w:tc>
        <w:tc>
          <w:tcPr>
            <w:tcW w:w="892" w:type="pct"/>
          </w:tcPr>
          <w:p w:rsidR="00B1457B" w:rsidRPr="0019406C" w:rsidRDefault="00B1457B" w:rsidP="00E061A2">
            <w:pPr>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sz w:val="18"/>
                <w:lang w:val="lv-LV" w:eastAsia="lv-LV"/>
              </w:rPr>
            </w:pPr>
            <w:r w:rsidRPr="0019406C">
              <w:rPr>
                <w:rFonts w:ascii="Times New Roman" w:eastAsia="Cambria" w:hAnsi="Times New Roman" w:cs="Times New Roman"/>
                <w:b/>
                <w:lang w:val="lv-LV"/>
              </w:rPr>
              <w:t xml:space="preserve">↑ </w:t>
            </w:r>
            <w:r w:rsidRPr="0019406C">
              <w:rPr>
                <w:rFonts w:asciiTheme="majorHAnsi" w:eastAsia="Times New Roman" w:hAnsiTheme="majorHAnsi"/>
                <w:color w:val="000000"/>
                <w:sz w:val="18"/>
                <w:lang w:val="lv-LV" w:eastAsia="lv-LV"/>
              </w:rPr>
              <w:t>6</w:t>
            </w:r>
          </w:p>
        </w:tc>
      </w:tr>
      <w:tr w:rsidR="00B1457B" w:rsidRPr="0019406C" w:rsidTr="00E061A2">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2311" w:type="pct"/>
          </w:tcPr>
          <w:p w:rsidR="00B1457B" w:rsidRPr="0019406C" w:rsidRDefault="00B1457B" w:rsidP="00E061A2">
            <w:pPr>
              <w:contextualSpacing/>
              <w:jc w:val="both"/>
              <w:rPr>
                <w:rFonts w:asciiTheme="majorHAnsi" w:eastAsia="Times New Roman" w:hAnsiTheme="majorHAnsi"/>
                <w:b w:val="0"/>
                <w:color w:val="000000"/>
                <w:sz w:val="18"/>
                <w:lang w:val="lv-LV" w:eastAsia="lv-LV"/>
              </w:rPr>
            </w:pPr>
            <w:r w:rsidRPr="0019406C">
              <w:rPr>
                <w:rFonts w:asciiTheme="majorHAnsi" w:eastAsia="Times New Roman" w:hAnsiTheme="majorHAnsi"/>
                <w:b w:val="0"/>
                <w:color w:val="000000"/>
                <w:sz w:val="18"/>
                <w:lang w:val="lv-LV" w:eastAsia="lv-LV"/>
              </w:rPr>
              <w:t>Līgumu izpilde</w:t>
            </w:r>
          </w:p>
        </w:tc>
        <w:tc>
          <w:tcPr>
            <w:tcW w:w="899" w:type="pct"/>
          </w:tcPr>
          <w:p w:rsidR="00B1457B" w:rsidRPr="0019406C" w:rsidRDefault="00B1457B" w:rsidP="00E061A2">
            <w:pPr>
              <w:contextualSpacing/>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sz w:val="18"/>
                <w:lang w:val="lv-LV" w:eastAsia="lv-LV"/>
              </w:rPr>
            </w:pPr>
            <w:r w:rsidRPr="0019406C">
              <w:rPr>
                <w:rFonts w:asciiTheme="majorHAnsi" w:eastAsia="Times New Roman" w:hAnsiTheme="majorHAnsi"/>
                <w:color w:val="000000"/>
                <w:sz w:val="18"/>
                <w:lang w:val="lv-LV" w:eastAsia="lv-LV"/>
              </w:rPr>
              <w:t>21</w:t>
            </w:r>
          </w:p>
        </w:tc>
        <w:tc>
          <w:tcPr>
            <w:tcW w:w="899" w:type="pct"/>
          </w:tcPr>
          <w:p w:rsidR="00B1457B" w:rsidRPr="0019406C" w:rsidRDefault="00B1457B" w:rsidP="00E061A2">
            <w:pPr>
              <w:contextualSpacing/>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sz w:val="18"/>
                <w:lang w:val="lv-LV" w:eastAsia="lv-LV"/>
              </w:rPr>
            </w:pPr>
            <w:r w:rsidRPr="0019406C">
              <w:rPr>
                <w:rFonts w:asciiTheme="majorHAnsi" w:eastAsia="Times New Roman" w:hAnsiTheme="majorHAnsi"/>
                <w:color w:val="000000"/>
                <w:sz w:val="18"/>
                <w:lang w:val="lv-LV" w:eastAsia="lv-LV"/>
              </w:rPr>
              <w:t>21</w:t>
            </w:r>
          </w:p>
        </w:tc>
        <w:tc>
          <w:tcPr>
            <w:tcW w:w="892" w:type="pct"/>
          </w:tcPr>
          <w:p w:rsidR="00B1457B" w:rsidRPr="0019406C" w:rsidRDefault="00B1457B" w:rsidP="00E061A2">
            <w:pPr>
              <w:contextualSpacing/>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sz w:val="18"/>
                <w:lang w:val="lv-LV" w:eastAsia="lv-LV"/>
              </w:rPr>
            </w:pPr>
            <w:r w:rsidRPr="0019406C">
              <w:rPr>
                <w:rFonts w:asciiTheme="majorHAnsi" w:eastAsia="Times New Roman" w:hAnsiTheme="majorHAnsi"/>
                <w:color w:val="000000"/>
                <w:sz w:val="18"/>
                <w:lang w:val="lv-LV" w:eastAsia="lv-LV"/>
              </w:rPr>
              <w:t>0</w:t>
            </w:r>
          </w:p>
        </w:tc>
      </w:tr>
      <w:tr w:rsidR="00B1457B" w:rsidRPr="0019406C" w:rsidTr="00E061A2">
        <w:trPr>
          <w:trHeight w:val="227"/>
        </w:trPr>
        <w:tc>
          <w:tcPr>
            <w:cnfStyle w:val="001000000000" w:firstRow="0" w:lastRow="0" w:firstColumn="1" w:lastColumn="0" w:oddVBand="0" w:evenVBand="0" w:oddHBand="0" w:evenHBand="0" w:firstRowFirstColumn="0" w:firstRowLastColumn="0" w:lastRowFirstColumn="0" w:lastRowLastColumn="0"/>
            <w:tcW w:w="2311" w:type="pct"/>
          </w:tcPr>
          <w:p w:rsidR="00B1457B" w:rsidRPr="0019406C" w:rsidRDefault="00B1457B" w:rsidP="00E061A2">
            <w:pPr>
              <w:contextualSpacing/>
              <w:jc w:val="both"/>
              <w:rPr>
                <w:rFonts w:asciiTheme="majorHAnsi" w:eastAsia="Times New Roman" w:hAnsiTheme="majorHAnsi"/>
                <w:color w:val="000000"/>
                <w:sz w:val="18"/>
                <w:lang w:val="lv-LV" w:eastAsia="lv-LV"/>
              </w:rPr>
            </w:pPr>
            <w:r w:rsidRPr="0019406C">
              <w:rPr>
                <w:rFonts w:asciiTheme="majorHAnsi" w:eastAsia="Times New Roman" w:hAnsiTheme="majorHAnsi"/>
                <w:color w:val="000000"/>
                <w:sz w:val="18"/>
                <w:lang w:val="lv-LV" w:eastAsia="lv-LV"/>
              </w:rPr>
              <w:t>Uzņēmējdarbības izbeigšana</w:t>
            </w:r>
          </w:p>
        </w:tc>
        <w:tc>
          <w:tcPr>
            <w:tcW w:w="899" w:type="pct"/>
          </w:tcPr>
          <w:p w:rsidR="00B1457B" w:rsidRPr="0019406C" w:rsidRDefault="00B1457B" w:rsidP="00E061A2">
            <w:pPr>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
                <w:color w:val="000000"/>
                <w:sz w:val="18"/>
                <w:lang w:val="lv-LV" w:eastAsia="lv-LV"/>
              </w:rPr>
            </w:pPr>
            <w:r w:rsidRPr="0019406C">
              <w:rPr>
                <w:rFonts w:asciiTheme="majorHAnsi" w:eastAsia="Times New Roman" w:hAnsiTheme="majorHAnsi"/>
                <w:b/>
                <w:color w:val="000000"/>
                <w:sz w:val="18"/>
                <w:lang w:val="lv-LV" w:eastAsia="lv-LV"/>
              </w:rPr>
              <w:t>46</w:t>
            </w:r>
          </w:p>
        </w:tc>
        <w:tc>
          <w:tcPr>
            <w:tcW w:w="899" w:type="pct"/>
          </w:tcPr>
          <w:p w:rsidR="00B1457B" w:rsidRPr="0019406C" w:rsidRDefault="00B1457B" w:rsidP="00E061A2">
            <w:pPr>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
                <w:color w:val="000000"/>
                <w:sz w:val="18"/>
                <w:lang w:val="lv-LV" w:eastAsia="lv-LV"/>
              </w:rPr>
            </w:pPr>
            <w:r w:rsidRPr="0019406C">
              <w:rPr>
                <w:rFonts w:asciiTheme="majorHAnsi" w:eastAsia="Times New Roman" w:hAnsiTheme="majorHAnsi"/>
                <w:b/>
                <w:color w:val="000000"/>
                <w:sz w:val="18"/>
                <w:lang w:val="lv-LV" w:eastAsia="lv-LV"/>
              </w:rPr>
              <w:t>43</w:t>
            </w:r>
          </w:p>
        </w:tc>
        <w:tc>
          <w:tcPr>
            <w:tcW w:w="892" w:type="pct"/>
          </w:tcPr>
          <w:p w:rsidR="00B1457B" w:rsidRPr="0019406C" w:rsidRDefault="00B1457B" w:rsidP="00E061A2">
            <w:pPr>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b/>
                <w:color w:val="000000"/>
                <w:sz w:val="18"/>
                <w:lang w:val="lv-LV" w:eastAsia="lv-LV"/>
              </w:rPr>
            </w:pPr>
            <w:r w:rsidRPr="0019406C">
              <w:rPr>
                <w:rFonts w:ascii="Times New Roman" w:eastAsia="Cambria" w:hAnsi="Times New Roman" w:cs="Times New Roman"/>
                <w:b/>
                <w:lang w:val="lv-LV"/>
              </w:rPr>
              <w:t xml:space="preserve">↑ </w:t>
            </w:r>
            <w:r w:rsidRPr="0019406C">
              <w:rPr>
                <w:rFonts w:asciiTheme="majorHAnsi" w:eastAsia="Times New Roman" w:hAnsiTheme="majorHAnsi"/>
                <w:b/>
                <w:color w:val="000000"/>
                <w:sz w:val="18"/>
                <w:lang w:val="lv-LV" w:eastAsia="lv-LV"/>
              </w:rPr>
              <w:t>3</w:t>
            </w:r>
          </w:p>
        </w:tc>
      </w:tr>
      <w:tr w:rsidR="00B1457B" w:rsidRPr="0019406C" w:rsidTr="00E061A2">
        <w:trPr>
          <w:cnfStyle w:val="010000000000" w:firstRow="0" w:lastRow="1"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2311" w:type="pct"/>
          </w:tcPr>
          <w:p w:rsidR="00B1457B" w:rsidRPr="0019406C" w:rsidRDefault="00B1457B" w:rsidP="00E061A2">
            <w:pPr>
              <w:contextualSpacing/>
              <w:rPr>
                <w:rFonts w:asciiTheme="majorHAnsi" w:eastAsia="Times New Roman" w:hAnsiTheme="majorHAnsi"/>
                <w:b w:val="0"/>
                <w:bCs w:val="0"/>
                <w:color w:val="000000"/>
                <w:sz w:val="18"/>
                <w:lang w:val="lv-LV" w:eastAsia="lv-LV"/>
              </w:rPr>
            </w:pPr>
            <w:r w:rsidRPr="0019406C">
              <w:rPr>
                <w:rFonts w:asciiTheme="majorHAnsi" w:eastAsia="Times New Roman" w:hAnsiTheme="majorHAnsi"/>
                <w:b w:val="0"/>
                <w:color w:val="000000"/>
                <w:sz w:val="18"/>
                <w:lang w:val="lv-LV" w:eastAsia="lv-LV"/>
              </w:rPr>
              <w:t>Vieta pētījumā</w:t>
            </w:r>
          </w:p>
        </w:tc>
        <w:tc>
          <w:tcPr>
            <w:tcW w:w="899" w:type="pct"/>
          </w:tcPr>
          <w:p w:rsidR="00B1457B" w:rsidRPr="0019406C" w:rsidRDefault="00B1457B" w:rsidP="00E061A2">
            <w:pPr>
              <w:contextualSpacing/>
              <w:jc w:val="center"/>
              <w:cnfStyle w:val="010000000000" w:firstRow="0" w:lastRow="1" w:firstColumn="0" w:lastColumn="0" w:oddVBand="0" w:evenVBand="0" w:oddHBand="0" w:evenHBand="0" w:firstRowFirstColumn="0" w:firstRowLastColumn="0" w:lastRowFirstColumn="0" w:lastRowLastColumn="0"/>
              <w:rPr>
                <w:rFonts w:asciiTheme="majorHAnsi" w:eastAsia="Times New Roman" w:hAnsiTheme="majorHAnsi"/>
                <w:b w:val="0"/>
                <w:bCs w:val="0"/>
                <w:color w:val="000000"/>
                <w:sz w:val="18"/>
                <w:lang w:val="lv-LV" w:eastAsia="lv-LV"/>
              </w:rPr>
            </w:pPr>
            <w:r w:rsidRPr="0019406C">
              <w:rPr>
                <w:rFonts w:asciiTheme="majorHAnsi" w:eastAsia="Times New Roman" w:hAnsiTheme="majorHAnsi"/>
                <w:b w:val="0"/>
                <w:color w:val="000000"/>
                <w:sz w:val="18"/>
                <w:lang w:val="lv-LV" w:eastAsia="lv-LV"/>
              </w:rPr>
              <w:t>24</w:t>
            </w:r>
          </w:p>
        </w:tc>
        <w:tc>
          <w:tcPr>
            <w:tcW w:w="899" w:type="pct"/>
          </w:tcPr>
          <w:p w:rsidR="00B1457B" w:rsidRPr="0019406C" w:rsidRDefault="00B1457B" w:rsidP="00E061A2">
            <w:pPr>
              <w:contextualSpacing/>
              <w:jc w:val="center"/>
              <w:cnfStyle w:val="010000000000" w:firstRow="0" w:lastRow="1" w:firstColumn="0" w:lastColumn="0" w:oddVBand="0" w:evenVBand="0" w:oddHBand="0" w:evenHBand="0" w:firstRowFirstColumn="0" w:firstRowLastColumn="0" w:lastRowFirstColumn="0" w:lastRowLastColumn="0"/>
              <w:rPr>
                <w:rFonts w:asciiTheme="majorHAnsi" w:eastAsia="Times New Roman" w:hAnsiTheme="majorHAnsi"/>
                <w:b w:val="0"/>
                <w:bCs w:val="0"/>
                <w:color w:val="000000"/>
                <w:sz w:val="18"/>
                <w:lang w:val="lv-LV" w:eastAsia="lv-LV"/>
              </w:rPr>
            </w:pPr>
            <w:r w:rsidRPr="0019406C">
              <w:rPr>
                <w:rFonts w:asciiTheme="majorHAnsi" w:eastAsia="Times New Roman" w:hAnsiTheme="majorHAnsi"/>
                <w:b w:val="0"/>
                <w:color w:val="000000"/>
                <w:sz w:val="18"/>
                <w:lang w:val="lv-LV" w:eastAsia="lv-LV"/>
              </w:rPr>
              <w:t>24</w:t>
            </w:r>
          </w:p>
        </w:tc>
        <w:tc>
          <w:tcPr>
            <w:tcW w:w="892" w:type="pct"/>
          </w:tcPr>
          <w:p w:rsidR="00B1457B" w:rsidRPr="0019406C" w:rsidRDefault="00B1457B" w:rsidP="00E061A2">
            <w:pPr>
              <w:contextualSpacing/>
              <w:jc w:val="center"/>
              <w:cnfStyle w:val="010000000000" w:firstRow="0" w:lastRow="1" w:firstColumn="0" w:lastColumn="0" w:oddVBand="0" w:evenVBand="0" w:oddHBand="0" w:evenHBand="0" w:firstRowFirstColumn="0" w:firstRowLastColumn="0" w:lastRowFirstColumn="0" w:lastRowLastColumn="0"/>
              <w:rPr>
                <w:rFonts w:asciiTheme="majorHAnsi" w:eastAsia="Times New Roman" w:hAnsiTheme="majorHAnsi"/>
                <w:b w:val="0"/>
                <w:bCs w:val="0"/>
                <w:color w:val="000000"/>
                <w:sz w:val="18"/>
                <w:lang w:val="lv-LV" w:eastAsia="lv-LV"/>
              </w:rPr>
            </w:pPr>
            <w:r w:rsidRPr="0019406C">
              <w:rPr>
                <w:rFonts w:ascii="Times New Roman" w:eastAsia="Cambria" w:hAnsi="Times New Roman" w:cs="Times New Roman"/>
                <w:b w:val="0"/>
                <w:lang w:val="lv-LV"/>
              </w:rPr>
              <w:t>0</w:t>
            </w:r>
          </w:p>
        </w:tc>
      </w:tr>
    </w:tbl>
    <w:p w:rsidR="00942B95" w:rsidRPr="0019406C" w:rsidRDefault="00942B95" w:rsidP="002771DE">
      <w:pPr>
        <w:pStyle w:val="BodyText"/>
        <w:spacing w:line="276" w:lineRule="auto"/>
        <w:jc w:val="both"/>
        <w:rPr>
          <w:lang w:val="lv-LV"/>
        </w:rPr>
      </w:pPr>
    </w:p>
    <w:p w:rsidR="00A37AE4" w:rsidRPr="0019406C" w:rsidRDefault="00E26665" w:rsidP="002771DE">
      <w:pPr>
        <w:pStyle w:val="BodyText"/>
        <w:spacing w:line="276" w:lineRule="auto"/>
        <w:jc w:val="both"/>
        <w:rPr>
          <w:lang w:val="lv-LV"/>
        </w:rPr>
      </w:pPr>
      <w:r w:rsidRPr="0019406C">
        <w:rPr>
          <w:lang w:val="lv-LV"/>
        </w:rPr>
        <w:t>Savukārt n</w:t>
      </w:r>
      <w:r w:rsidR="00AE0B1D" w:rsidRPr="0019406C">
        <w:rPr>
          <w:lang w:val="lv-LV"/>
        </w:rPr>
        <w:t>o GKI pētījuma rezultātiem var secināt, ka Latvija ierindojas 52. vietā no 148 valstīm, salīdzinot ar iepriekšējā gada pētījumā iegūto 55. vietu, kā galveno negatīvo faktoru uzsverot lielā birokrātiskais „aparāta” esam</w:t>
      </w:r>
      <w:r w:rsidR="00F4425B" w:rsidRPr="0019406C">
        <w:rPr>
          <w:lang w:val="lv-LV"/>
        </w:rPr>
        <w:t>ību publiskajā sektorā Latvijā.</w:t>
      </w:r>
    </w:p>
    <w:p w:rsidR="00F4425B" w:rsidRPr="0019406C" w:rsidRDefault="00A37AE4" w:rsidP="00A37AE4">
      <w:pPr>
        <w:rPr>
          <w:lang w:val="lv-LV"/>
        </w:rPr>
      </w:pPr>
      <w:r w:rsidRPr="0019406C">
        <w:rPr>
          <w:lang w:val="lv-LV"/>
        </w:rPr>
        <w:br w:type="page"/>
      </w:r>
    </w:p>
    <w:p w:rsidR="00D448C8" w:rsidRPr="0019406C" w:rsidRDefault="00D448C8" w:rsidP="000857A7">
      <w:pPr>
        <w:pStyle w:val="Caption"/>
        <w:keepNext/>
        <w:spacing w:after="0"/>
        <w:rPr>
          <w:sz w:val="16"/>
          <w:lang w:val="lv-LV"/>
        </w:rPr>
      </w:pPr>
      <w:bookmarkStart w:id="138" w:name="_Toc389225105"/>
      <w:r w:rsidRPr="0019406C">
        <w:rPr>
          <w:sz w:val="16"/>
          <w:lang w:val="lv-LV"/>
        </w:rPr>
        <w:lastRenderedPageBreak/>
        <w:t xml:space="preserve">Tabula </w:t>
      </w:r>
      <w:r w:rsidRPr="0019406C">
        <w:rPr>
          <w:sz w:val="16"/>
          <w:lang w:val="lv-LV"/>
        </w:rPr>
        <w:fldChar w:fldCharType="begin"/>
      </w:r>
      <w:r w:rsidRPr="0019406C">
        <w:rPr>
          <w:sz w:val="16"/>
          <w:lang w:val="lv-LV"/>
        </w:rPr>
        <w:instrText xml:space="preserve"> SEQ Tabula \* ARABIC </w:instrText>
      </w:r>
      <w:r w:rsidRPr="0019406C">
        <w:rPr>
          <w:sz w:val="16"/>
          <w:lang w:val="lv-LV"/>
        </w:rPr>
        <w:fldChar w:fldCharType="separate"/>
      </w:r>
      <w:r w:rsidR="00410806" w:rsidRPr="0019406C">
        <w:rPr>
          <w:noProof/>
          <w:sz w:val="16"/>
          <w:lang w:val="lv-LV"/>
        </w:rPr>
        <w:t>31</w:t>
      </w:r>
      <w:r w:rsidRPr="0019406C">
        <w:rPr>
          <w:sz w:val="16"/>
          <w:lang w:val="lv-LV"/>
        </w:rPr>
        <w:fldChar w:fldCharType="end"/>
      </w:r>
      <w:r w:rsidRPr="0019406C">
        <w:rPr>
          <w:sz w:val="16"/>
          <w:lang w:val="lv-LV"/>
        </w:rPr>
        <w:t xml:space="preserve"> Globālās konkurētspējas indekss Latvijai</w:t>
      </w:r>
      <w:bookmarkEnd w:id="138"/>
    </w:p>
    <w:tbl>
      <w:tblPr>
        <w:tblStyle w:val="LightList-Accent11"/>
        <w:tblW w:w="10031" w:type="dxa"/>
        <w:tblLook w:val="0020" w:firstRow="1" w:lastRow="0" w:firstColumn="0" w:lastColumn="0" w:noHBand="0" w:noVBand="0"/>
      </w:tblPr>
      <w:tblGrid>
        <w:gridCol w:w="3227"/>
        <w:gridCol w:w="992"/>
        <w:gridCol w:w="992"/>
        <w:gridCol w:w="2835"/>
        <w:gridCol w:w="993"/>
        <w:gridCol w:w="992"/>
      </w:tblGrid>
      <w:tr w:rsidR="00D448C8" w:rsidRPr="0019406C" w:rsidTr="000857A7">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Indikators</w:t>
            </w:r>
          </w:p>
        </w:tc>
        <w:tc>
          <w:tcPr>
            <w:tcW w:w="992" w:type="dxa"/>
            <w:hideMark/>
          </w:tcPr>
          <w:p w:rsidR="00D448C8" w:rsidRPr="0019406C" w:rsidRDefault="00D448C8" w:rsidP="00D448C8">
            <w:pPr>
              <w:jc w:val="both"/>
              <w:cnfStyle w:val="100000000000" w:firstRow="1"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2012-13</w:t>
            </w:r>
          </w:p>
        </w:tc>
        <w:tc>
          <w:tcPr>
            <w:cnfStyle w:val="000010000000" w:firstRow="0" w:lastRow="0" w:firstColumn="0" w:lastColumn="0" w:oddVBand="1" w:evenVBand="0" w:oddHBand="0" w:evenHBand="0" w:firstRowFirstColumn="0" w:firstRowLastColumn="0" w:lastRowFirstColumn="0" w:lastRowLastColumn="0"/>
            <w:tcW w:w="992"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2013-14</w:t>
            </w:r>
          </w:p>
        </w:tc>
        <w:tc>
          <w:tcPr>
            <w:tcW w:w="2835" w:type="dxa"/>
            <w:hideMark/>
          </w:tcPr>
          <w:p w:rsidR="00D448C8" w:rsidRPr="0019406C" w:rsidRDefault="00D448C8" w:rsidP="00D448C8">
            <w:pPr>
              <w:jc w:val="both"/>
              <w:cnfStyle w:val="100000000000" w:firstRow="1"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Indikators</w:t>
            </w:r>
          </w:p>
        </w:tc>
        <w:tc>
          <w:tcPr>
            <w:cnfStyle w:val="000010000000" w:firstRow="0" w:lastRow="0" w:firstColumn="0" w:lastColumn="0" w:oddVBand="1" w:evenVBand="0" w:oddHBand="0" w:evenHBand="0" w:firstRowFirstColumn="0" w:firstRowLastColumn="0" w:lastRowFirstColumn="0" w:lastRowLastColumn="0"/>
            <w:tcW w:w="993"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2012-13</w:t>
            </w:r>
          </w:p>
        </w:tc>
        <w:tc>
          <w:tcPr>
            <w:tcW w:w="992" w:type="dxa"/>
            <w:hideMark/>
          </w:tcPr>
          <w:p w:rsidR="00D448C8" w:rsidRPr="0019406C" w:rsidRDefault="00D448C8" w:rsidP="00D448C8">
            <w:pPr>
              <w:jc w:val="both"/>
              <w:cnfStyle w:val="100000000000" w:firstRow="1"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2013-14</w:t>
            </w:r>
          </w:p>
        </w:tc>
      </w:tr>
      <w:tr w:rsidR="00D448C8" w:rsidRPr="0019406C" w:rsidTr="000857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211" w:type="dxa"/>
            <w:gridSpan w:val="3"/>
            <w:hideMark/>
          </w:tcPr>
          <w:p w:rsidR="00D448C8" w:rsidRPr="0019406C" w:rsidRDefault="00D448C8" w:rsidP="00D448C8">
            <w:pPr>
              <w:jc w:val="both"/>
              <w:rPr>
                <w:rFonts w:eastAsia="Cambria" w:cs="Times New Roman"/>
                <w:b/>
                <w:sz w:val="17"/>
                <w:szCs w:val="17"/>
                <w:lang w:val="lv-LV"/>
              </w:rPr>
            </w:pPr>
            <w:r w:rsidRPr="0019406C">
              <w:rPr>
                <w:rFonts w:eastAsia="Cambria" w:cs="Times New Roman"/>
                <w:b/>
                <w:sz w:val="17"/>
                <w:szCs w:val="17"/>
                <w:lang w:val="lv-LV"/>
              </w:rPr>
              <w:t>1.Institūcijas</w:t>
            </w:r>
          </w:p>
        </w:tc>
        <w:tc>
          <w:tcPr>
            <w:tcW w:w="2835" w:type="dxa"/>
            <w:hideMark/>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Efektīvi konkurences noteikumi</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70</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75</w:t>
            </w:r>
          </w:p>
        </w:tc>
      </w:tr>
      <w:tr w:rsidR="00D448C8" w:rsidRPr="0019406C" w:rsidTr="000857A7">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Īpašuma tiesības</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70</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62</w:t>
            </w:r>
          </w:p>
        </w:tc>
        <w:tc>
          <w:tcPr>
            <w:tcW w:w="2835" w:type="dxa"/>
            <w:hideMark/>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Nodokļu bāze un ietekme</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107</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83</w:t>
            </w:r>
          </w:p>
        </w:tc>
      </w:tr>
      <w:tr w:rsidR="00D448C8" w:rsidRPr="0019406C" w:rsidTr="000857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Intelektuālā īpašuma aizsardzība</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57</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51</w:t>
            </w:r>
          </w:p>
        </w:tc>
        <w:tc>
          <w:tcPr>
            <w:tcW w:w="2835" w:type="dxa"/>
            <w:hideMark/>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Kopējā nodokļu likme</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70</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69</w:t>
            </w:r>
          </w:p>
        </w:tc>
      </w:tr>
      <w:tr w:rsidR="00D448C8" w:rsidRPr="0019406C" w:rsidTr="000857A7">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Publiskās naudas izmantošana</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68</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61</w:t>
            </w:r>
          </w:p>
        </w:tc>
        <w:tc>
          <w:tcPr>
            <w:tcW w:w="2835" w:type="dxa"/>
            <w:hideMark/>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Procedūras biznesa uzsākšanai</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20</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20</w:t>
            </w:r>
          </w:p>
        </w:tc>
      </w:tr>
      <w:tr w:rsidR="00D448C8" w:rsidRPr="0019406C" w:rsidTr="000857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Uzticēšanās politiķiem</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84</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89</w:t>
            </w:r>
          </w:p>
        </w:tc>
        <w:tc>
          <w:tcPr>
            <w:tcW w:w="2835" w:type="dxa"/>
            <w:hideMark/>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Laiks biznesa uzsākšanai</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74</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73</w:t>
            </w:r>
          </w:p>
        </w:tc>
      </w:tr>
      <w:tr w:rsidR="00D448C8" w:rsidRPr="0019406C" w:rsidTr="000857A7">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Dāvanas un kukuļi</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58</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55</w:t>
            </w:r>
          </w:p>
        </w:tc>
        <w:tc>
          <w:tcPr>
            <w:tcW w:w="2835" w:type="dxa"/>
            <w:hideMark/>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Lauksaimniecības izmaksas</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78</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73</w:t>
            </w:r>
          </w:p>
        </w:tc>
      </w:tr>
      <w:tr w:rsidR="00D448C8" w:rsidRPr="0019406C" w:rsidTr="000857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Tiesu varas neatkarība</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61</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63</w:t>
            </w:r>
          </w:p>
        </w:tc>
        <w:tc>
          <w:tcPr>
            <w:tcW w:w="2835" w:type="dxa"/>
            <w:hideMark/>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Tirdzniecības barjeras</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36</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33</w:t>
            </w:r>
          </w:p>
        </w:tc>
      </w:tr>
      <w:tr w:rsidR="00D448C8" w:rsidRPr="0019406C" w:rsidTr="000857A7">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“Blats” ierēdņu lēmumos</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63</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63</w:t>
            </w:r>
          </w:p>
        </w:tc>
        <w:tc>
          <w:tcPr>
            <w:tcW w:w="2835" w:type="dxa"/>
            <w:hideMark/>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Tarifi</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6</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4</w:t>
            </w:r>
          </w:p>
        </w:tc>
      </w:tr>
      <w:tr w:rsidR="00D448C8" w:rsidRPr="0019406C" w:rsidTr="000857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Valsts tēriņu izšķērdīgums</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88</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85</w:t>
            </w:r>
          </w:p>
        </w:tc>
        <w:tc>
          <w:tcPr>
            <w:tcW w:w="2835" w:type="dxa"/>
            <w:hideMark/>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Ārvalstu investoru īpašumi</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60</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37</w:t>
            </w:r>
          </w:p>
        </w:tc>
      </w:tr>
      <w:tr w:rsidR="00D448C8" w:rsidRPr="0019406C" w:rsidTr="000857A7">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Administratīvais slogs</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67</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79</w:t>
            </w:r>
          </w:p>
        </w:tc>
        <w:tc>
          <w:tcPr>
            <w:tcW w:w="2835" w:type="dxa"/>
            <w:hideMark/>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Barjeras investīcijām (FDI)</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131</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70</w:t>
            </w:r>
          </w:p>
        </w:tc>
      </w:tr>
      <w:tr w:rsidR="00D448C8" w:rsidRPr="0019406C" w:rsidTr="000857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Efektivitāte strīdu risināšanā</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106</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117</w:t>
            </w:r>
          </w:p>
        </w:tc>
        <w:tc>
          <w:tcPr>
            <w:tcW w:w="2835" w:type="dxa"/>
            <w:hideMark/>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Muitas procedūru slogs</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136</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54</w:t>
            </w:r>
          </w:p>
        </w:tc>
      </w:tr>
      <w:tr w:rsidR="00D448C8" w:rsidRPr="0019406C" w:rsidTr="000857A7">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Iespējas apstrīdēt lēmumus</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92</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97</w:t>
            </w:r>
          </w:p>
        </w:tc>
        <w:tc>
          <w:tcPr>
            <w:tcW w:w="2835" w:type="dxa"/>
            <w:hideMark/>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Imports (% no IKP)</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13</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33</w:t>
            </w:r>
          </w:p>
        </w:tc>
      </w:tr>
      <w:tr w:rsidR="00D448C8" w:rsidRPr="0019406C" w:rsidTr="000857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Politikas veidošanas caurspīdīgums</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74</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45</w:t>
            </w:r>
          </w:p>
        </w:tc>
        <w:tc>
          <w:tcPr>
            <w:tcW w:w="2835" w:type="dxa"/>
            <w:hideMark/>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Orientācija uz klientu</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112</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37</w:t>
            </w:r>
          </w:p>
        </w:tc>
      </w:tr>
      <w:tr w:rsidR="00D448C8" w:rsidRPr="0019406C" w:rsidTr="000857A7">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Terorisma izmaksas biznesam</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41</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25</w:t>
            </w:r>
          </w:p>
        </w:tc>
        <w:tc>
          <w:tcPr>
            <w:tcW w:w="2835" w:type="dxa"/>
            <w:hideMark/>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Pircēju izglītotība</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97</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99</w:t>
            </w:r>
          </w:p>
        </w:tc>
      </w:tr>
      <w:tr w:rsidR="00D448C8" w:rsidRPr="0019406C" w:rsidTr="000857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Noziedzības izmaksas biznesam</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46</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33</w:t>
            </w:r>
          </w:p>
        </w:tc>
        <w:tc>
          <w:tcPr>
            <w:tcW w:w="4820" w:type="dxa"/>
            <w:gridSpan w:val="3"/>
            <w:hideMark/>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b/>
                <w:sz w:val="17"/>
                <w:szCs w:val="17"/>
                <w:lang w:val="lv-LV"/>
              </w:rPr>
              <w:t>7.Darba tirgus efektivitāte</w:t>
            </w:r>
          </w:p>
        </w:tc>
      </w:tr>
      <w:tr w:rsidR="00D448C8" w:rsidRPr="0019406C" w:rsidTr="000857A7">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 xml:space="preserve">Organizētā </w:t>
            </w:r>
            <w:r w:rsidR="0072729F" w:rsidRPr="0019406C">
              <w:rPr>
                <w:rFonts w:eastAsia="Cambria" w:cs="Times New Roman"/>
                <w:sz w:val="17"/>
                <w:szCs w:val="17"/>
                <w:lang w:val="lv-LV"/>
              </w:rPr>
              <w:t>noziedzība</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49</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40</w:t>
            </w:r>
          </w:p>
        </w:tc>
        <w:tc>
          <w:tcPr>
            <w:tcW w:w="2835" w:type="dxa"/>
            <w:hideMark/>
          </w:tcPr>
          <w:p w:rsidR="00D448C8" w:rsidRPr="0019406C" w:rsidRDefault="00D448C8" w:rsidP="00D448C8">
            <w:pPr>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Darba ņēmēju/devēju attiecības</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68</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51</w:t>
            </w:r>
          </w:p>
        </w:tc>
      </w:tr>
      <w:tr w:rsidR="00D448C8" w:rsidRPr="0019406C" w:rsidTr="000857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Uzticība policijai</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65</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62</w:t>
            </w:r>
          </w:p>
        </w:tc>
        <w:tc>
          <w:tcPr>
            <w:tcW w:w="2835" w:type="dxa"/>
            <w:hideMark/>
          </w:tcPr>
          <w:p w:rsidR="00D448C8" w:rsidRPr="0019406C" w:rsidRDefault="00D448C8" w:rsidP="00D448C8">
            <w:pPr>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Elastība samaksas noteikšanā</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7</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13</w:t>
            </w:r>
          </w:p>
        </w:tc>
      </w:tr>
      <w:tr w:rsidR="00D448C8" w:rsidRPr="0019406C" w:rsidTr="000857A7">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Firmu darbības godprātīgums</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65</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60</w:t>
            </w:r>
          </w:p>
        </w:tc>
        <w:tc>
          <w:tcPr>
            <w:tcW w:w="2835" w:type="dxa"/>
            <w:hideMark/>
          </w:tcPr>
          <w:p w:rsidR="00D448C8" w:rsidRPr="0019406C" w:rsidRDefault="00D448C8" w:rsidP="00D448C8">
            <w:pPr>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Pieņemšanas/atlaišanas prakse</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19</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45</w:t>
            </w:r>
          </w:p>
        </w:tc>
      </w:tr>
      <w:tr w:rsidR="00D448C8" w:rsidRPr="0019406C" w:rsidTr="000857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Revīzijas un atskaišu noteikumi</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61</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51</w:t>
            </w:r>
          </w:p>
        </w:tc>
        <w:tc>
          <w:tcPr>
            <w:tcW w:w="2835" w:type="dxa"/>
          </w:tcPr>
          <w:p w:rsidR="00D448C8" w:rsidRPr="0019406C" w:rsidRDefault="00D448C8" w:rsidP="00D448C8">
            <w:pPr>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Atlaišanas izmaksas</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rPr>
                <w:rFonts w:eastAsia="Cambria" w:cs="Times New Roman"/>
                <w:sz w:val="17"/>
                <w:szCs w:val="17"/>
                <w:lang w:val="lv-LV"/>
              </w:rPr>
            </w:pPr>
            <w:r w:rsidRPr="0019406C">
              <w:rPr>
                <w:rFonts w:eastAsia="Cambria" w:cs="Times New Roman"/>
                <w:sz w:val="17"/>
                <w:szCs w:val="17"/>
                <w:lang w:val="lv-LV"/>
              </w:rPr>
              <w:t>81</w:t>
            </w:r>
          </w:p>
        </w:tc>
        <w:tc>
          <w:tcPr>
            <w:tcW w:w="992" w:type="dxa"/>
          </w:tcPr>
          <w:p w:rsidR="00D448C8" w:rsidRPr="0019406C" w:rsidRDefault="00D448C8" w:rsidP="00D448C8">
            <w:pPr>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37</w:t>
            </w:r>
          </w:p>
        </w:tc>
      </w:tr>
      <w:tr w:rsidR="00D448C8" w:rsidRPr="0019406C" w:rsidTr="000857A7">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Valdes darbības efektivitāte</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86</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52</w:t>
            </w:r>
          </w:p>
        </w:tc>
        <w:tc>
          <w:tcPr>
            <w:tcW w:w="2835"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Samaksa un darba ražīgums</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17</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20</w:t>
            </w:r>
          </w:p>
        </w:tc>
      </w:tr>
      <w:tr w:rsidR="00D448C8" w:rsidRPr="0019406C" w:rsidTr="000857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Mazākuma</w:t>
            </w:r>
            <w:r w:rsidR="0072729F">
              <w:rPr>
                <w:rFonts w:eastAsia="Cambria" w:cs="Times New Roman"/>
                <w:sz w:val="17"/>
                <w:szCs w:val="17"/>
                <w:lang w:val="lv-LV"/>
              </w:rPr>
              <w:t xml:space="preserve"> a</w:t>
            </w:r>
            <w:r w:rsidRPr="0019406C">
              <w:rPr>
                <w:rFonts w:eastAsia="Cambria" w:cs="Times New Roman"/>
                <w:sz w:val="17"/>
                <w:szCs w:val="17"/>
                <w:lang w:val="lv-LV"/>
              </w:rPr>
              <w:t>kcionāru aizstāvība</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77</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88</w:t>
            </w:r>
          </w:p>
        </w:tc>
        <w:tc>
          <w:tcPr>
            <w:tcW w:w="2835" w:type="dxa"/>
          </w:tcPr>
          <w:p w:rsidR="00D448C8" w:rsidRPr="0019406C" w:rsidRDefault="00D448C8" w:rsidP="00D448C8">
            <w:pPr>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Vadības profesionalitāte</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128</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42</w:t>
            </w:r>
          </w:p>
        </w:tc>
      </w:tr>
      <w:tr w:rsidR="00D448C8" w:rsidRPr="0019406C" w:rsidTr="000857A7">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Investoru aizstāvība</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52</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57</w:t>
            </w:r>
          </w:p>
        </w:tc>
        <w:tc>
          <w:tcPr>
            <w:tcW w:w="2835" w:type="dxa"/>
          </w:tcPr>
          <w:p w:rsidR="00D448C8" w:rsidRPr="0019406C" w:rsidRDefault="00D448C8" w:rsidP="00D448C8">
            <w:pPr>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Sieviešu līdzdalība darba tirgū</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93</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17</w:t>
            </w:r>
          </w:p>
        </w:tc>
      </w:tr>
      <w:tr w:rsidR="00D448C8" w:rsidRPr="0019406C" w:rsidTr="000857A7">
        <w:trPr>
          <w:cnfStyle w:val="000000100000" w:firstRow="0" w:lastRow="0" w:firstColumn="0" w:lastColumn="0" w:oddVBand="0" w:evenVBand="0" w:oddHBand="1" w:evenHBand="0" w:firstRowFirstColumn="0" w:firstRowLastColumn="0" w:lastRowFirstColumn="0" w:lastRowLastColumn="0"/>
          <w:trHeight w:val="135"/>
        </w:trPr>
        <w:tc>
          <w:tcPr>
            <w:cnfStyle w:val="000010000000" w:firstRow="0" w:lastRow="0" w:firstColumn="0" w:lastColumn="0" w:oddVBand="1" w:evenVBand="0" w:oddHBand="0" w:evenHBand="0" w:firstRowFirstColumn="0" w:firstRowLastColumn="0" w:lastRowFirstColumn="0" w:lastRowLastColumn="0"/>
            <w:tcW w:w="5211" w:type="dxa"/>
            <w:gridSpan w:val="3"/>
            <w:hideMark/>
          </w:tcPr>
          <w:p w:rsidR="00D448C8" w:rsidRPr="0019406C" w:rsidRDefault="00D448C8" w:rsidP="00D448C8">
            <w:pPr>
              <w:rPr>
                <w:rFonts w:eastAsia="Cambria" w:cs="Times New Roman"/>
                <w:b/>
                <w:sz w:val="17"/>
                <w:szCs w:val="17"/>
                <w:lang w:val="lv-LV"/>
              </w:rPr>
            </w:pPr>
            <w:r w:rsidRPr="0019406C">
              <w:rPr>
                <w:rFonts w:eastAsia="Cambria" w:cs="Times New Roman"/>
                <w:b/>
                <w:sz w:val="17"/>
                <w:szCs w:val="17"/>
                <w:lang w:val="lv-LV"/>
              </w:rPr>
              <w:t>2.Infrastruktūra</w:t>
            </w:r>
          </w:p>
        </w:tc>
        <w:tc>
          <w:tcPr>
            <w:tcW w:w="2835" w:type="dxa"/>
            <w:hideMark/>
          </w:tcPr>
          <w:p w:rsidR="00D448C8" w:rsidRPr="0019406C" w:rsidRDefault="00D448C8" w:rsidP="00D448C8">
            <w:pPr>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p>
        </w:tc>
      </w:tr>
      <w:tr w:rsidR="00D448C8" w:rsidRPr="0019406C" w:rsidTr="000857A7">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Kopējā infrastruktūras kvalitāte</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57</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50</w:t>
            </w:r>
          </w:p>
        </w:tc>
        <w:tc>
          <w:tcPr>
            <w:tcW w:w="2835" w:type="dxa"/>
          </w:tcPr>
          <w:p w:rsidR="00D448C8" w:rsidRPr="0019406C" w:rsidRDefault="00D448C8" w:rsidP="00D448C8">
            <w:pPr>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p>
        </w:tc>
      </w:tr>
      <w:tr w:rsidR="00D448C8" w:rsidRPr="0019406C" w:rsidTr="000857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Ceļu kvalitāte</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99</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110</w:t>
            </w:r>
          </w:p>
        </w:tc>
        <w:tc>
          <w:tcPr>
            <w:tcW w:w="4820" w:type="dxa"/>
            <w:gridSpan w:val="3"/>
            <w:hideMark/>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b/>
                <w:sz w:val="17"/>
                <w:szCs w:val="17"/>
                <w:lang w:val="lv-LV"/>
              </w:rPr>
              <w:t>8.Finanšu tirgus attīstība</w:t>
            </w:r>
          </w:p>
        </w:tc>
      </w:tr>
      <w:tr w:rsidR="00D448C8" w:rsidRPr="0019406C" w:rsidTr="000857A7">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Dzelzceļu infrastruktūras kvalitāte</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33</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32</w:t>
            </w:r>
          </w:p>
        </w:tc>
        <w:tc>
          <w:tcPr>
            <w:tcW w:w="2835" w:type="dxa"/>
            <w:hideMark/>
          </w:tcPr>
          <w:p w:rsidR="00D448C8" w:rsidRPr="0019406C" w:rsidRDefault="00D448C8" w:rsidP="00D448C8">
            <w:pPr>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Finanšu pakalpojumu pieejam.</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136</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47</w:t>
            </w:r>
          </w:p>
        </w:tc>
      </w:tr>
      <w:tr w:rsidR="00D448C8" w:rsidRPr="0019406C" w:rsidTr="000857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Ostu infrastruktūras kvalitāte</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50</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37</w:t>
            </w:r>
          </w:p>
        </w:tc>
        <w:tc>
          <w:tcPr>
            <w:tcW w:w="2835" w:type="dxa"/>
            <w:hideMark/>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Finanšu pakalpojumu cena</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137</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42</w:t>
            </w:r>
          </w:p>
        </w:tc>
      </w:tr>
      <w:tr w:rsidR="00D448C8" w:rsidRPr="0019406C" w:rsidTr="000857A7">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Lidostu infrastruktūras kvalitāte</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47</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40</w:t>
            </w:r>
          </w:p>
        </w:tc>
        <w:tc>
          <w:tcPr>
            <w:tcW w:w="2835" w:type="dxa"/>
            <w:hideMark/>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Vietējais fondu tirgus</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139</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99</w:t>
            </w:r>
          </w:p>
        </w:tc>
      </w:tr>
      <w:tr w:rsidR="00D448C8" w:rsidRPr="0019406C" w:rsidTr="000857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Aviolīniju km/nedēļā (miljonos)</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86</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89</w:t>
            </w:r>
          </w:p>
        </w:tc>
        <w:tc>
          <w:tcPr>
            <w:tcW w:w="2835" w:type="dxa"/>
            <w:hideMark/>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Kredītu pieejamība</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137</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96</w:t>
            </w:r>
          </w:p>
        </w:tc>
      </w:tr>
      <w:tr w:rsidR="00D448C8" w:rsidRPr="0019406C" w:rsidTr="000857A7">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Elektrības piegādes kvalitāte</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65</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54</w:t>
            </w:r>
          </w:p>
        </w:tc>
        <w:tc>
          <w:tcPr>
            <w:tcW w:w="2835" w:type="dxa"/>
            <w:hideMark/>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Riska kapitāla pieejamība</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133</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58</w:t>
            </w:r>
          </w:p>
        </w:tc>
      </w:tr>
      <w:tr w:rsidR="00D448C8" w:rsidRPr="0019406C" w:rsidTr="000857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 xml:space="preserve">Fiksētās telefonlīnijas (uz 100 </w:t>
            </w:r>
            <w:proofErr w:type="spellStart"/>
            <w:r w:rsidRPr="0019406C">
              <w:rPr>
                <w:rFonts w:eastAsia="Cambria" w:cs="Times New Roman"/>
                <w:sz w:val="17"/>
                <w:szCs w:val="17"/>
                <w:lang w:val="lv-LV"/>
              </w:rPr>
              <w:t>cilv</w:t>
            </w:r>
            <w:proofErr w:type="spellEnd"/>
            <w:r w:rsidRPr="0019406C">
              <w:rPr>
                <w:rFonts w:eastAsia="Cambria" w:cs="Times New Roman"/>
                <w:sz w:val="17"/>
                <w:szCs w:val="17"/>
                <w:lang w:val="lv-LV"/>
              </w:rPr>
              <w:t>.)</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52</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51</w:t>
            </w:r>
          </w:p>
        </w:tc>
        <w:tc>
          <w:tcPr>
            <w:tcW w:w="2835" w:type="dxa"/>
            <w:hideMark/>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Banku stabilitāte un drošība</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131</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80</w:t>
            </w:r>
          </w:p>
        </w:tc>
      </w:tr>
      <w:tr w:rsidR="00D448C8" w:rsidRPr="0019406C" w:rsidTr="000857A7">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Mobilā telefona abonenti</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81</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85</w:t>
            </w:r>
          </w:p>
        </w:tc>
        <w:tc>
          <w:tcPr>
            <w:tcW w:w="2835" w:type="dxa"/>
            <w:hideMark/>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Vērtspapīru regulējums</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134</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64</w:t>
            </w:r>
          </w:p>
        </w:tc>
      </w:tr>
      <w:tr w:rsidR="00D448C8" w:rsidRPr="0019406C" w:rsidTr="000857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211" w:type="dxa"/>
            <w:gridSpan w:val="3"/>
            <w:hideMark/>
          </w:tcPr>
          <w:p w:rsidR="00D448C8" w:rsidRPr="0019406C" w:rsidRDefault="00D448C8" w:rsidP="00D448C8">
            <w:pPr>
              <w:jc w:val="both"/>
              <w:rPr>
                <w:rFonts w:eastAsia="Cambria" w:cs="Times New Roman"/>
                <w:b/>
                <w:sz w:val="17"/>
                <w:szCs w:val="17"/>
                <w:lang w:val="lv-LV"/>
              </w:rPr>
            </w:pPr>
            <w:r w:rsidRPr="0019406C">
              <w:rPr>
                <w:rFonts w:eastAsia="Cambria" w:cs="Times New Roman"/>
                <w:b/>
                <w:sz w:val="17"/>
                <w:szCs w:val="17"/>
                <w:lang w:val="lv-LV"/>
              </w:rPr>
              <w:t>3.Makroekonomiskā vide</w:t>
            </w:r>
          </w:p>
        </w:tc>
        <w:tc>
          <w:tcPr>
            <w:tcW w:w="2835" w:type="dxa"/>
            <w:hideMark/>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Juridisko tiesību indekss</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1</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1</w:t>
            </w:r>
          </w:p>
        </w:tc>
      </w:tr>
      <w:tr w:rsidR="00D448C8" w:rsidRPr="0019406C" w:rsidTr="000857A7">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Budžeta deficīts (% no IKP)</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77</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29</w:t>
            </w:r>
          </w:p>
        </w:tc>
        <w:tc>
          <w:tcPr>
            <w:tcW w:w="2835"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p>
        </w:tc>
      </w:tr>
      <w:tr w:rsidR="00D448C8" w:rsidRPr="0019406C" w:rsidTr="000857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Uzkrātie depozīti (% no IKP)</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44</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50</w:t>
            </w:r>
          </w:p>
        </w:tc>
        <w:tc>
          <w:tcPr>
            <w:tcW w:w="4820" w:type="dxa"/>
            <w:gridSpan w:val="3"/>
            <w:hideMark/>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b/>
                <w:sz w:val="17"/>
                <w:szCs w:val="17"/>
                <w:lang w:val="lv-LV"/>
              </w:rPr>
              <w:t>9.Tehnoloģiskā gatavība</w:t>
            </w:r>
          </w:p>
        </w:tc>
      </w:tr>
      <w:tr w:rsidR="00D448C8" w:rsidRPr="0019406C" w:rsidTr="000857A7">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Inflācija (g-g, % izmaiņas)</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62</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1</w:t>
            </w:r>
          </w:p>
        </w:tc>
        <w:tc>
          <w:tcPr>
            <w:tcW w:w="2835" w:type="dxa"/>
            <w:hideMark/>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Jaunāko tehnoloģiju pieejamība</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136</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45</w:t>
            </w:r>
          </w:p>
        </w:tc>
      </w:tr>
      <w:tr w:rsidR="00D448C8" w:rsidRPr="0019406C" w:rsidTr="000857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227"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Valdības parāds (% no IKP)</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65</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57</w:t>
            </w:r>
          </w:p>
        </w:tc>
        <w:tc>
          <w:tcPr>
            <w:tcW w:w="2835" w:type="dxa"/>
            <w:hideMark/>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Tehnoloģiju izmantošana firmās</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136</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68</w:t>
            </w:r>
          </w:p>
        </w:tc>
      </w:tr>
      <w:tr w:rsidR="00D448C8" w:rsidRPr="0019406C" w:rsidTr="000857A7">
        <w:tc>
          <w:tcPr>
            <w:cnfStyle w:val="000010000000" w:firstRow="0" w:lastRow="0" w:firstColumn="0" w:lastColumn="0" w:oddVBand="1" w:evenVBand="0" w:oddHBand="0" w:evenHBand="0" w:firstRowFirstColumn="0" w:firstRowLastColumn="0" w:lastRowFirstColumn="0" w:lastRowLastColumn="0"/>
            <w:tcW w:w="3227"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Valsts kredītreitings</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62</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57</w:t>
            </w:r>
          </w:p>
        </w:tc>
        <w:tc>
          <w:tcPr>
            <w:tcW w:w="2835" w:type="dxa"/>
            <w:hideMark/>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FDI un tehnoloģiju pārnese</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143</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85</w:t>
            </w:r>
          </w:p>
        </w:tc>
      </w:tr>
      <w:tr w:rsidR="00D448C8" w:rsidRPr="0019406C" w:rsidTr="000857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227" w:type="dxa"/>
          </w:tcPr>
          <w:p w:rsidR="00D448C8" w:rsidRPr="0019406C" w:rsidRDefault="00D448C8" w:rsidP="00D448C8">
            <w:pPr>
              <w:jc w:val="both"/>
              <w:rPr>
                <w:rFonts w:eastAsia="Cambria" w:cs="Times New Roman"/>
                <w:sz w:val="17"/>
                <w:szCs w:val="17"/>
                <w:lang w:val="lv-LV"/>
              </w:rPr>
            </w:pP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p>
        </w:tc>
        <w:tc>
          <w:tcPr>
            <w:tcW w:w="2835" w:type="dxa"/>
            <w:hideMark/>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 xml:space="preserve">Interneta lietotāji (uz 100 </w:t>
            </w:r>
            <w:proofErr w:type="spellStart"/>
            <w:r w:rsidRPr="0019406C">
              <w:rPr>
                <w:rFonts w:eastAsia="Cambria" w:cs="Times New Roman"/>
                <w:sz w:val="17"/>
                <w:szCs w:val="17"/>
                <w:lang w:val="lv-LV"/>
              </w:rPr>
              <w:t>iedz</w:t>
            </w:r>
            <w:proofErr w:type="spellEnd"/>
            <w:r w:rsidRPr="0019406C">
              <w:rPr>
                <w:rFonts w:eastAsia="Cambria" w:cs="Times New Roman"/>
                <w:sz w:val="17"/>
                <w:szCs w:val="17"/>
                <w:lang w:val="lv-LV"/>
              </w:rPr>
              <w:t>.)</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86</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29</w:t>
            </w:r>
          </w:p>
        </w:tc>
      </w:tr>
      <w:tr w:rsidR="00D448C8" w:rsidRPr="0019406C" w:rsidTr="000857A7">
        <w:tc>
          <w:tcPr>
            <w:cnfStyle w:val="000010000000" w:firstRow="0" w:lastRow="0" w:firstColumn="0" w:lastColumn="0" w:oddVBand="1" w:evenVBand="0" w:oddHBand="0" w:evenHBand="0" w:firstRowFirstColumn="0" w:firstRowLastColumn="0" w:lastRowFirstColumn="0" w:lastRowLastColumn="0"/>
            <w:tcW w:w="5211" w:type="dxa"/>
            <w:gridSpan w:val="3"/>
            <w:hideMark/>
          </w:tcPr>
          <w:p w:rsidR="00D448C8" w:rsidRPr="0019406C" w:rsidRDefault="00D448C8" w:rsidP="00D448C8">
            <w:pPr>
              <w:jc w:val="both"/>
              <w:rPr>
                <w:rFonts w:eastAsia="Cambria" w:cs="Times New Roman"/>
                <w:b/>
                <w:sz w:val="17"/>
                <w:szCs w:val="17"/>
                <w:lang w:val="lv-LV"/>
              </w:rPr>
            </w:pPr>
            <w:r w:rsidRPr="0019406C">
              <w:rPr>
                <w:rFonts w:eastAsia="Cambria" w:cs="Times New Roman"/>
                <w:b/>
                <w:sz w:val="17"/>
                <w:szCs w:val="17"/>
                <w:lang w:val="lv-LV"/>
              </w:rPr>
              <w:t>4.Veselība un pamatskolas izglītība</w:t>
            </w:r>
          </w:p>
        </w:tc>
        <w:tc>
          <w:tcPr>
            <w:tcW w:w="2835" w:type="dxa"/>
            <w:hideMark/>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 xml:space="preserve">Platjoslas lietotāji (uz 100 </w:t>
            </w:r>
            <w:proofErr w:type="spellStart"/>
            <w:r w:rsidRPr="0019406C">
              <w:rPr>
                <w:rFonts w:eastAsia="Cambria" w:cs="Times New Roman"/>
                <w:sz w:val="17"/>
                <w:szCs w:val="17"/>
                <w:lang w:val="lv-LV"/>
              </w:rPr>
              <w:t>iedz</w:t>
            </w:r>
            <w:proofErr w:type="spellEnd"/>
            <w:r w:rsidRPr="0019406C">
              <w:rPr>
                <w:rFonts w:eastAsia="Cambria" w:cs="Times New Roman"/>
                <w:sz w:val="17"/>
                <w:szCs w:val="17"/>
                <w:lang w:val="lv-LV"/>
              </w:rPr>
              <w:t xml:space="preserve">.) </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111</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34</w:t>
            </w:r>
          </w:p>
        </w:tc>
      </w:tr>
      <w:tr w:rsidR="00D448C8" w:rsidRPr="0019406C" w:rsidTr="000857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Malārijas ietekme uz biznesu</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1</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1</w:t>
            </w:r>
          </w:p>
        </w:tc>
        <w:tc>
          <w:tcPr>
            <w:tcW w:w="2835" w:type="dxa"/>
            <w:hideMark/>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Interneta caurlaidība (</w:t>
            </w:r>
            <w:proofErr w:type="spellStart"/>
            <w:r w:rsidRPr="0019406C">
              <w:rPr>
                <w:rFonts w:eastAsia="Cambria" w:cs="Times New Roman"/>
                <w:sz w:val="17"/>
                <w:szCs w:val="17"/>
                <w:lang w:val="lv-LV"/>
              </w:rPr>
              <w:t>kb</w:t>
            </w:r>
            <w:proofErr w:type="spellEnd"/>
            <w:r w:rsidRPr="0019406C">
              <w:rPr>
                <w:rFonts w:eastAsia="Cambria" w:cs="Times New Roman"/>
                <w:sz w:val="17"/>
                <w:szCs w:val="17"/>
                <w:lang w:val="lv-LV"/>
              </w:rPr>
              <w:t>/s)</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135</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39</w:t>
            </w:r>
          </w:p>
        </w:tc>
      </w:tr>
      <w:tr w:rsidR="00D448C8" w:rsidRPr="0019406C" w:rsidTr="000857A7">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Malārijas gadījumu skaits</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1</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1</w:t>
            </w:r>
          </w:p>
        </w:tc>
        <w:tc>
          <w:tcPr>
            <w:tcW w:w="4820" w:type="dxa"/>
            <w:gridSpan w:val="3"/>
            <w:hideMark/>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b/>
                <w:sz w:val="17"/>
                <w:szCs w:val="17"/>
                <w:lang w:val="lv-LV"/>
              </w:rPr>
              <w:t>10.Tirgus lielums</w:t>
            </w:r>
          </w:p>
        </w:tc>
      </w:tr>
      <w:tr w:rsidR="00D448C8" w:rsidRPr="0019406C" w:rsidTr="000857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72729F" w:rsidP="00D448C8">
            <w:pPr>
              <w:jc w:val="both"/>
              <w:rPr>
                <w:rFonts w:eastAsia="Cambria" w:cs="Times New Roman"/>
                <w:sz w:val="17"/>
                <w:szCs w:val="17"/>
                <w:lang w:val="lv-LV"/>
              </w:rPr>
            </w:pPr>
            <w:r w:rsidRPr="0019406C">
              <w:rPr>
                <w:rFonts w:eastAsia="Cambria" w:cs="Times New Roman"/>
                <w:sz w:val="17"/>
                <w:szCs w:val="17"/>
                <w:lang w:val="lv-LV"/>
              </w:rPr>
              <w:t>Tuberkulozes</w:t>
            </w:r>
            <w:r w:rsidR="00D448C8" w:rsidRPr="0019406C">
              <w:rPr>
                <w:rFonts w:eastAsia="Cambria" w:cs="Times New Roman"/>
                <w:sz w:val="17"/>
                <w:szCs w:val="17"/>
                <w:lang w:val="lv-LV"/>
              </w:rPr>
              <w:t xml:space="preserve"> ietekme uz biznesu</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64</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66</w:t>
            </w:r>
          </w:p>
        </w:tc>
        <w:tc>
          <w:tcPr>
            <w:tcW w:w="2835" w:type="dxa"/>
            <w:hideMark/>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Mājas tirgus lielums</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118</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98</w:t>
            </w:r>
          </w:p>
        </w:tc>
      </w:tr>
      <w:tr w:rsidR="00D448C8" w:rsidRPr="0019406C" w:rsidTr="000857A7">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72729F" w:rsidP="00D448C8">
            <w:pPr>
              <w:jc w:val="both"/>
              <w:rPr>
                <w:rFonts w:eastAsia="Cambria" w:cs="Times New Roman"/>
                <w:sz w:val="17"/>
                <w:szCs w:val="17"/>
                <w:lang w:val="lv-LV"/>
              </w:rPr>
            </w:pPr>
            <w:r w:rsidRPr="0019406C">
              <w:rPr>
                <w:rFonts w:eastAsia="Cambria" w:cs="Times New Roman"/>
                <w:sz w:val="17"/>
                <w:szCs w:val="17"/>
                <w:lang w:val="lv-LV"/>
              </w:rPr>
              <w:t>Tuberkulozes</w:t>
            </w:r>
            <w:r w:rsidR="00D448C8" w:rsidRPr="0019406C">
              <w:rPr>
                <w:rFonts w:eastAsia="Cambria" w:cs="Times New Roman"/>
                <w:sz w:val="17"/>
                <w:szCs w:val="17"/>
                <w:lang w:val="lv-LV"/>
              </w:rPr>
              <w:t xml:space="preserve"> gadījumu skaits</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63</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C25078" w:rsidP="00D448C8">
            <w:pPr>
              <w:jc w:val="both"/>
              <w:rPr>
                <w:rFonts w:eastAsia="Cambria" w:cs="Times New Roman"/>
                <w:sz w:val="17"/>
                <w:szCs w:val="17"/>
                <w:lang w:val="lv-LV"/>
              </w:rPr>
            </w:pPr>
            <w:r>
              <w:rPr>
                <w:rFonts w:eastAsia="Cambria" w:cs="Times New Roman"/>
                <w:sz w:val="17"/>
                <w:szCs w:val="17"/>
                <w:lang w:val="lv-LV"/>
              </w:rPr>
              <w:t>6</w:t>
            </w:r>
            <w:r w:rsidR="00D448C8" w:rsidRPr="0019406C">
              <w:rPr>
                <w:rFonts w:eastAsia="Cambria" w:cs="Times New Roman"/>
                <w:sz w:val="17"/>
                <w:szCs w:val="17"/>
                <w:lang w:val="lv-LV"/>
              </w:rPr>
              <w:t>8</w:t>
            </w:r>
          </w:p>
        </w:tc>
        <w:tc>
          <w:tcPr>
            <w:tcW w:w="2835" w:type="dxa"/>
            <w:hideMark/>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Ārvalstu tirgus lielums</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115</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83</w:t>
            </w:r>
          </w:p>
        </w:tc>
      </w:tr>
      <w:tr w:rsidR="00D448C8" w:rsidRPr="0019406C" w:rsidTr="000857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HIV/AIDS ietekme uz biznesu</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95</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62</w:t>
            </w:r>
          </w:p>
        </w:tc>
        <w:tc>
          <w:tcPr>
            <w:tcW w:w="4820" w:type="dxa"/>
            <w:gridSpan w:val="3"/>
            <w:hideMark/>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b/>
                <w:sz w:val="17"/>
                <w:szCs w:val="17"/>
                <w:lang w:val="lv-LV"/>
              </w:rPr>
            </w:pPr>
            <w:r w:rsidRPr="0019406C">
              <w:rPr>
                <w:rFonts w:eastAsia="Cambria" w:cs="Times New Roman"/>
                <w:b/>
                <w:sz w:val="17"/>
                <w:szCs w:val="17"/>
                <w:lang w:val="lv-LV"/>
              </w:rPr>
              <w:t>11.Firmu attīstības līmenis</w:t>
            </w:r>
          </w:p>
        </w:tc>
      </w:tr>
      <w:tr w:rsidR="00D448C8" w:rsidRPr="0019406C" w:rsidTr="000857A7">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HIV izplatība (% no pieaug.)</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48</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97</w:t>
            </w:r>
          </w:p>
        </w:tc>
        <w:tc>
          <w:tcPr>
            <w:tcW w:w="2835" w:type="dxa"/>
            <w:hideMark/>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Vietējo piegādātāju skaits</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114</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114</w:t>
            </w:r>
          </w:p>
        </w:tc>
      </w:tr>
      <w:tr w:rsidR="00D448C8" w:rsidRPr="0019406C" w:rsidTr="000857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 xml:space="preserve">Zīdaiņu mirstība (uz 1000 </w:t>
            </w:r>
            <w:proofErr w:type="spellStart"/>
            <w:r w:rsidRPr="0019406C">
              <w:rPr>
                <w:rFonts w:eastAsia="Cambria" w:cs="Times New Roman"/>
                <w:sz w:val="17"/>
                <w:szCs w:val="17"/>
                <w:lang w:val="lv-LV"/>
              </w:rPr>
              <w:t>dzim</w:t>
            </w:r>
            <w:proofErr w:type="spellEnd"/>
            <w:r w:rsidRPr="0019406C">
              <w:rPr>
                <w:rFonts w:eastAsia="Cambria" w:cs="Times New Roman"/>
                <w:sz w:val="17"/>
                <w:szCs w:val="17"/>
                <w:lang w:val="lv-LV"/>
              </w:rPr>
              <w:t>.)</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48</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46</w:t>
            </w:r>
          </w:p>
        </w:tc>
        <w:tc>
          <w:tcPr>
            <w:tcW w:w="2835" w:type="dxa"/>
            <w:hideMark/>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Vietējo piegādātāju kvalitāte</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53</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53</w:t>
            </w:r>
          </w:p>
        </w:tc>
      </w:tr>
      <w:tr w:rsidR="00D448C8" w:rsidRPr="0019406C" w:rsidTr="000857A7">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Dzīves ilgums (gados)</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70</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73</w:t>
            </w:r>
          </w:p>
        </w:tc>
        <w:tc>
          <w:tcPr>
            <w:tcW w:w="2835" w:type="dxa"/>
            <w:hideMark/>
          </w:tcPr>
          <w:p w:rsidR="00D448C8" w:rsidRPr="0019406C" w:rsidRDefault="0072729F"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b/>
                <w:sz w:val="17"/>
                <w:szCs w:val="17"/>
                <w:lang w:val="lv-LV"/>
              </w:rPr>
            </w:pPr>
            <w:r w:rsidRPr="0019406C">
              <w:rPr>
                <w:rFonts w:eastAsia="Cambria" w:cs="Times New Roman"/>
                <w:sz w:val="17"/>
                <w:szCs w:val="17"/>
                <w:lang w:val="lv-LV"/>
              </w:rPr>
              <w:t>Klasteru</w:t>
            </w:r>
            <w:r w:rsidR="00D448C8" w:rsidRPr="0019406C">
              <w:rPr>
                <w:rFonts w:eastAsia="Cambria" w:cs="Times New Roman"/>
                <w:sz w:val="17"/>
                <w:szCs w:val="17"/>
                <w:lang w:val="lv-LV"/>
              </w:rPr>
              <w:t xml:space="preserve"> attīstība</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103</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103</w:t>
            </w:r>
          </w:p>
        </w:tc>
      </w:tr>
      <w:tr w:rsidR="00D448C8" w:rsidRPr="0019406C" w:rsidTr="000857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Pamatizglītības kvalitāte</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46</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34</w:t>
            </w:r>
          </w:p>
        </w:tc>
        <w:tc>
          <w:tcPr>
            <w:tcW w:w="2835" w:type="dxa"/>
            <w:hideMark/>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Salīdzinošās priekšrocības</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63</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63</w:t>
            </w:r>
          </w:p>
        </w:tc>
      </w:tr>
      <w:tr w:rsidR="00D448C8" w:rsidRPr="0019406C" w:rsidTr="000857A7">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Pamatizglītībā iesaistītie (%)</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54</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62</w:t>
            </w:r>
          </w:p>
        </w:tc>
        <w:tc>
          <w:tcPr>
            <w:tcW w:w="2835" w:type="dxa"/>
            <w:hideMark/>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Piegāžu ķēžu plašums</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72</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72</w:t>
            </w:r>
          </w:p>
        </w:tc>
      </w:tr>
      <w:tr w:rsidR="00D448C8" w:rsidRPr="0019406C" w:rsidTr="000857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211" w:type="dxa"/>
            <w:gridSpan w:val="3"/>
            <w:hideMark/>
          </w:tcPr>
          <w:p w:rsidR="00D448C8" w:rsidRPr="0019406C" w:rsidRDefault="00D448C8" w:rsidP="00D448C8">
            <w:pPr>
              <w:jc w:val="both"/>
              <w:rPr>
                <w:rFonts w:eastAsia="Cambria" w:cs="Times New Roman"/>
                <w:b/>
                <w:sz w:val="17"/>
                <w:szCs w:val="17"/>
                <w:lang w:val="lv-LV"/>
              </w:rPr>
            </w:pPr>
            <w:r w:rsidRPr="0019406C">
              <w:rPr>
                <w:rFonts w:eastAsia="Cambria" w:cs="Times New Roman"/>
                <w:b/>
                <w:sz w:val="17"/>
                <w:szCs w:val="17"/>
                <w:lang w:val="lv-LV"/>
              </w:rPr>
              <w:t>5.Augstākā izglītība un apmācība</w:t>
            </w:r>
          </w:p>
        </w:tc>
        <w:tc>
          <w:tcPr>
            <w:tcW w:w="2835" w:type="dxa"/>
            <w:hideMark/>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 xml:space="preserve">Kontrole pār izplatīšanas tīklu </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62</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62</w:t>
            </w:r>
          </w:p>
        </w:tc>
      </w:tr>
      <w:tr w:rsidR="00D448C8" w:rsidRPr="0019406C" w:rsidTr="000857A7">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Vidējā izglītībā iesaistītie (%)</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51</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50</w:t>
            </w:r>
          </w:p>
        </w:tc>
        <w:tc>
          <w:tcPr>
            <w:tcW w:w="2835" w:type="dxa"/>
            <w:hideMark/>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Ražošanas procesu attīstība</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66</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66</w:t>
            </w:r>
          </w:p>
        </w:tc>
      </w:tr>
      <w:tr w:rsidR="00D448C8" w:rsidRPr="0019406C" w:rsidTr="000857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Augstākajā izglītībā iesaistītie  (%)</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34</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42</w:t>
            </w:r>
          </w:p>
        </w:tc>
        <w:tc>
          <w:tcPr>
            <w:tcW w:w="2835" w:type="dxa"/>
            <w:hideMark/>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Mārketinga līmenis</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63</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63</w:t>
            </w:r>
          </w:p>
        </w:tc>
      </w:tr>
      <w:tr w:rsidR="00D448C8" w:rsidRPr="0019406C" w:rsidTr="000857A7">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Izglītības sistēmas kvalitāte</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74</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68</w:t>
            </w:r>
          </w:p>
        </w:tc>
        <w:tc>
          <w:tcPr>
            <w:tcW w:w="2835" w:type="dxa"/>
            <w:hideMark/>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Gatavība deleģēt vadību</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46</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46</w:t>
            </w:r>
          </w:p>
        </w:tc>
      </w:tr>
      <w:tr w:rsidR="00D448C8" w:rsidRPr="0019406C" w:rsidTr="000857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 xml:space="preserve">Matemātikas/zinātnes </w:t>
            </w:r>
            <w:proofErr w:type="spellStart"/>
            <w:r w:rsidRPr="0019406C">
              <w:rPr>
                <w:rFonts w:eastAsia="Cambria" w:cs="Times New Roman"/>
                <w:sz w:val="17"/>
                <w:szCs w:val="17"/>
                <w:lang w:val="lv-LV"/>
              </w:rPr>
              <w:t>izgl</w:t>
            </w:r>
            <w:proofErr w:type="spellEnd"/>
            <w:r w:rsidRPr="0019406C">
              <w:rPr>
                <w:rFonts w:eastAsia="Cambria" w:cs="Times New Roman"/>
                <w:sz w:val="17"/>
                <w:szCs w:val="17"/>
                <w:lang w:val="lv-LV"/>
              </w:rPr>
              <w:t xml:space="preserve">. </w:t>
            </w:r>
            <w:proofErr w:type="spellStart"/>
            <w:r w:rsidRPr="0019406C">
              <w:rPr>
                <w:rFonts w:eastAsia="Cambria" w:cs="Times New Roman"/>
                <w:sz w:val="17"/>
                <w:szCs w:val="17"/>
                <w:lang w:val="lv-LV"/>
              </w:rPr>
              <w:t>kval</w:t>
            </w:r>
            <w:proofErr w:type="spellEnd"/>
            <w:r w:rsidRPr="0019406C">
              <w:rPr>
                <w:rFonts w:eastAsia="Cambria" w:cs="Times New Roman"/>
                <w:sz w:val="17"/>
                <w:szCs w:val="17"/>
                <w:lang w:val="lv-LV"/>
              </w:rPr>
              <w:t>.</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48</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33</w:t>
            </w:r>
          </w:p>
        </w:tc>
        <w:tc>
          <w:tcPr>
            <w:tcW w:w="4820" w:type="dxa"/>
            <w:gridSpan w:val="3"/>
            <w:hideMark/>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b/>
                <w:sz w:val="17"/>
                <w:szCs w:val="17"/>
                <w:lang w:val="lv-LV"/>
              </w:rPr>
              <w:t>12.Inovācijas</w:t>
            </w:r>
          </w:p>
        </w:tc>
      </w:tr>
      <w:tr w:rsidR="00D448C8" w:rsidRPr="0019406C" w:rsidTr="000857A7">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Biznesa skolu kvalitāte</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67</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59</w:t>
            </w:r>
          </w:p>
        </w:tc>
        <w:tc>
          <w:tcPr>
            <w:tcW w:w="2835" w:type="dxa"/>
            <w:hideMark/>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Inovāciju kapacitāte</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66</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66</w:t>
            </w:r>
          </w:p>
        </w:tc>
      </w:tr>
      <w:tr w:rsidR="00D448C8" w:rsidRPr="0019406C" w:rsidTr="000857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Pieeja internetam skolās</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32</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27</w:t>
            </w:r>
          </w:p>
        </w:tc>
        <w:tc>
          <w:tcPr>
            <w:tcW w:w="2835" w:type="dxa"/>
            <w:hideMark/>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Zinātnisko institūtu kvalitāte</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58</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58</w:t>
            </w:r>
          </w:p>
        </w:tc>
      </w:tr>
      <w:tr w:rsidR="00D448C8" w:rsidRPr="0019406C" w:rsidTr="000857A7">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Pieeja zinātnes centriem</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69</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67</w:t>
            </w:r>
          </w:p>
        </w:tc>
        <w:tc>
          <w:tcPr>
            <w:tcW w:w="2835" w:type="dxa"/>
            <w:hideMark/>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Firmu izdevumi R&amp;D</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70</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70</w:t>
            </w:r>
          </w:p>
        </w:tc>
      </w:tr>
      <w:tr w:rsidR="00D448C8" w:rsidRPr="0019406C" w:rsidTr="000857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Apmācību personāla kvalitāte</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53</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47</w:t>
            </w:r>
          </w:p>
        </w:tc>
        <w:tc>
          <w:tcPr>
            <w:tcW w:w="2835" w:type="dxa"/>
            <w:hideMark/>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Pētnieku-firmu sadarbība R&amp;D</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67</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67</w:t>
            </w:r>
          </w:p>
        </w:tc>
      </w:tr>
      <w:tr w:rsidR="00D448C8" w:rsidRPr="0019406C" w:rsidTr="000857A7">
        <w:tc>
          <w:tcPr>
            <w:cnfStyle w:val="000010000000" w:firstRow="0" w:lastRow="0" w:firstColumn="0" w:lastColumn="0" w:oddVBand="1" w:evenVBand="0" w:oddHBand="0" w:evenHBand="0" w:firstRowFirstColumn="0" w:firstRowLastColumn="0" w:lastRowFirstColumn="0" w:lastRowLastColumn="0"/>
            <w:tcW w:w="5211" w:type="dxa"/>
            <w:gridSpan w:val="3"/>
            <w:hideMark/>
          </w:tcPr>
          <w:p w:rsidR="00D448C8" w:rsidRPr="0019406C" w:rsidRDefault="00D448C8" w:rsidP="00D448C8">
            <w:pPr>
              <w:jc w:val="both"/>
              <w:rPr>
                <w:rFonts w:eastAsia="Cambria" w:cs="Times New Roman"/>
                <w:sz w:val="17"/>
                <w:szCs w:val="17"/>
                <w:lang w:val="lv-LV"/>
              </w:rPr>
            </w:pPr>
            <w:r w:rsidRPr="0019406C">
              <w:rPr>
                <w:rFonts w:eastAsia="Cambria" w:cs="Times New Roman"/>
                <w:b/>
                <w:sz w:val="17"/>
                <w:szCs w:val="17"/>
                <w:lang w:val="lv-LV"/>
              </w:rPr>
              <w:t>6.Preču tirgus efektivitāte</w:t>
            </w:r>
          </w:p>
        </w:tc>
        <w:tc>
          <w:tcPr>
            <w:tcW w:w="2835" w:type="dxa"/>
            <w:hideMark/>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proofErr w:type="spellStart"/>
            <w:r w:rsidRPr="0019406C">
              <w:rPr>
                <w:rFonts w:eastAsia="Cambria" w:cs="Times New Roman"/>
                <w:sz w:val="17"/>
                <w:szCs w:val="17"/>
                <w:lang w:val="lv-LV"/>
              </w:rPr>
              <w:t>Hi-tech</w:t>
            </w:r>
            <w:proofErr w:type="spellEnd"/>
            <w:r w:rsidRPr="0019406C">
              <w:rPr>
                <w:rFonts w:eastAsia="Cambria" w:cs="Times New Roman"/>
                <w:sz w:val="17"/>
                <w:szCs w:val="17"/>
                <w:lang w:val="lv-LV"/>
              </w:rPr>
              <w:t xml:space="preserve"> produktu iepirkums</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101</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101</w:t>
            </w:r>
          </w:p>
        </w:tc>
      </w:tr>
      <w:tr w:rsidR="00D448C8" w:rsidRPr="0019406C" w:rsidTr="000857A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Vietējās konkurences intensitāte</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69</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34</w:t>
            </w:r>
          </w:p>
        </w:tc>
        <w:tc>
          <w:tcPr>
            <w:tcW w:w="2835" w:type="dxa"/>
            <w:hideMark/>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Zinātnieku un inženieru skaits</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105</w:t>
            </w:r>
          </w:p>
        </w:tc>
        <w:tc>
          <w:tcPr>
            <w:tcW w:w="992" w:type="dxa"/>
          </w:tcPr>
          <w:p w:rsidR="00D448C8" w:rsidRPr="0019406C" w:rsidRDefault="00D448C8" w:rsidP="00D448C8">
            <w:pPr>
              <w:jc w:val="both"/>
              <w:cnfStyle w:val="000000100000" w:firstRow="0" w:lastRow="0" w:firstColumn="0" w:lastColumn="0" w:oddVBand="0" w:evenVBand="0" w:oddHBand="1"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105</w:t>
            </w:r>
          </w:p>
        </w:tc>
      </w:tr>
      <w:tr w:rsidR="00D448C8" w:rsidRPr="0019406C" w:rsidTr="000857A7">
        <w:tc>
          <w:tcPr>
            <w:cnfStyle w:val="000010000000" w:firstRow="0" w:lastRow="0" w:firstColumn="0" w:lastColumn="0" w:oddVBand="1" w:evenVBand="0" w:oddHBand="0" w:evenHBand="0" w:firstRowFirstColumn="0" w:firstRowLastColumn="0" w:lastRowFirstColumn="0" w:lastRowLastColumn="0"/>
            <w:tcW w:w="3227" w:type="dxa"/>
            <w:hideMark/>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Tirgus dominance</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51</w:t>
            </w:r>
          </w:p>
        </w:tc>
        <w:tc>
          <w:tcPr>
            <w:cnfStyle w:val="000010000000" w:firstRow="0" w:lastRow="0" w:firstColumn="0" w:lastColumn="0" w:oddVBand="1" w:evenVBand="0" w:oddHBand="0" w:evenHBand="0" w:firstRowFirstColumn="0" w:firstRowLastColumn="0" w:lastRowFirstColumn="0" w:lastRowLastColumn="0"/>
            <w:tcW w:w="992"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62</w:t>
            </w:r>
          </w:p>
        </w:tc>
        <w:tc>
          <w:tcPr>
            <w:tcW w:w="2835" w:type="dxa"/>
            <w:hideMark/>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 xml:space="preserve">Patentu skaits (uz 1 </w:t>
            </w:r>
            <w:proofErr w:type="spellStart"/>
            <w:r w:rsidRPr="0019406C">
              <w:rPr>
                <w:rFonts w:eastAsia="Cambria" w:cs="Times New Roman"/>
                <w:sz w:val="17"/>
                <w:szCs w:val="17"/>
                <w:lang w:val="lv-LV"/>
              </w:rPr>
              <w:t>mlj</w:t>
            </w:r>
            <w:proofErr w:type="spellEnd"/>
            <w:r w:rsidRPr="0019406C">
              <w:rPr>
                <w:rFonts w:eastAsia="Cambria" w:cs="Times New Roman"/>
                <w:sz w:val="17"/>
                <w:szCs w:val="17"/>
                <w:lang w:val="lv-LV"/>
              </w:rPr>
              <w:t xml:space="preserve">. </w:t>
            </w:r>
            <w:proofErr w:type="spellStart"/>
            <w:r w:rsidRPr="0019406C">
              <w:rPr>
                <w:rFonts w:eastAsia="Cambria" w:cs="Times New Roman"/>
                <w:sz w:val="17"/>
                <w:szCs w:val="17"/>
                <w:lang w:val="lv-LV"/>
              </w:rPr>
              <w:t>iedz</w:t>
            </w:r>
            <w:proofErr w:type="spellEnd"/>
            <w:r w:rsidRPr="0019406C">
              <w:rPr>
                <w:rFonts w:eastAsia="Cambria" w:cs="Times New Roman"/>
                <w:sz w:val="17"/>
                <w:szCs w:val="17"/>
                <w:lang w:val="lv-LV"/>
              </w:rPr>
              <w:t>.)</w:t>
            </w:r>
          </w:p>
        </w:tc>
        <w:tc>
          <w:tcPr>
            <w:cnfStyle w:val="000010000000" w:firstRow="0" w:lastRow="0" w:firstColumn="0" w:lastColumn="0" w:oddVBand="1" w:evenVBand="0" w:oddHBand="0" w:evenHBand="0" w:firstRowFirstColumn="0" w:firstRowLastColumn="0" w:lastRowFirstColumn="0" w:lastRowLastColumn="0"/>
            <w:tcW w:w="993" w:type="dxa"/>
          </w:tcPr>
          <w:p w:rsidR="00D448C8" w:rsidRPr="0019406C" w:rsidRDefault="00D448C8" w:rsidP="00D448C8">
            <w:pPr>
              <w:jc w:val="both"/>
              <w:rPr>
                <w:rFonts w:eastAsia="Cambria" w:cs="Times New Roman"/>
                <w:sz w:val="17"/>
                <w:szCs w:val="17"/>
                <w:lang w:val="lv-LV"/>
              </w:rPr>
            </w:pPr>
            <w:r w:rsidRPr="0019406C">
              <w:rPr>
                <w:rFonts w:eastAsia="Cambria" w:cs="Times New Roman"/>
                <w:sz w:val="17"/>
                <w:szCs w:val="17"/>
                <w:lang w:val="lv-LV"/>
              </w:rPr>
              <w:t>34</w:t>
            </w:r>
          </w:p>
        </w:tc>
        <w:tc>
          <w:tcPr>
            <w:tcW w:w="992" w:type="dxa"/>
          </w:tcPr>
          <w:p w:rsidR="00D448C8" w:rsidRPr="0019406C" w:rsidRDefault="00D448C8" w:rsidP="00D448C8">
            <w:pPr>
              <w:jc w:val="both"/>
              <w:cnfStyle w:val="000000000000" w:firstRow="0" w:lastRow="0" w:firstColumn="0" w:lastColumn="0" w:oddVBand="0" w:evenVBand="0" w:oddHBand="0" w:evenHBand="0" w:firstRowFirstColumn="0" w:firstRowLastColumn="0" w:lastRowFirstColumn="0" w:lastRowLastColumn="0"/>
              <w:rPr>
                <w:rFonts w:eastAsia="Cambria" w:cs="Times New Roman"/>
                <w:sz w:val="17"/>
                <w:szCs w:val="17"/>
                <w:lang w:val="lv-LV"/>
              </w:rPr>
            </w:pPr>
            <w:r w:rsidRPr="0019406C">
              <w:rPr>
                <w:rFonts w:eastAsia="Cambria" w:cs="Times New Roman"/>
                <w:sz w:val="17"/>
                <w:szCs w:val="17"/>
                <w:lang w:val="lv-LV"/>
              </w:rPr>
              <w:t>34</w:t>
            </w:r>
          </w:p>
        </w:tc>
      </w:tr>
    </w:tbl>
    <w:p w:rsidR="00830D27" w:rsidRPr="0019406C" w:rsidRDefault="002E3B0E" w:rsidP="002771DE">
      <w:pPr>
        <w:pStyle w:val="BodyText"/>
        <w:spacing w:line="276" w:lineRule="auto"/>
        <w:jc w:val="both"/>
        <w:rPr>
          <w:lang w:val="lv-LV"/>
        </w:rPr>
      </w:pPr>
      <w:r w:rsidRPr="0019406C">
        <w:rPr>
          <w:lang w:val="lv-LV"/>
        </w:rPr>
        <w:lastRenderedPageBreak/>
        <w:t>Pētījumā</w:t>
      </w:r>
      <w:r w:rsidR="00AE0B1D" w:rsidRPr="0019406C">
        <w:rPr>
          <w:lang w:val="lv-LV"/>
        </w:rPr>
        <w:t xml:space="preserve"> kopumā ir analizētas 12 uzņēmējdarbības jomas</w:t>
      </w:r>
      <w:r w:rsidR="00830D27" w:rsidRPr="0019406C">
        <w:rPr>
          <w:lang w:val="lv-LV"/>
        </w:rPr>
        <w:t xml:space="preserve"> un izstrādāti priekšlikumi 7 jomās. Priekšlikumu jomu noteikšana balstījās gan uz uzņēmēju aptauju, gan citiem informācijas avotiem. Priekšlikum</w:t>
      </w:r>
      <w:r w:rsidR="00843551" w:rsidRPr="0019406C">
        <w:rPr>
          <w:lang w:val="lv-LV"/>
        </w:rPr>
        <w:t>u</w:t>
      </w:r>
      <w:r w:rsidR="00830D27" w:rsidRPr="0019406C">
        <w:rPr>
          <w:lang w:val="lv-LV"/>
        </w:rPr>
        <w:t xml:space="preserve"> izstrād</w:t>
      </w:r>
      <w:r w:rsidR="00843551" w:rsidRPr="0019406C">
        <w:rPr>
          <w:lang w:val="lv-LV"/>
        </w:rPr>
        <w:t>ē</w:t>
      </w:r>
      <w:r w:rsidR="00830D27" w:rsidRPr="0019406C">
        <w:rPr>
          <w:lang w:val="lv-LV"/>
        </w:rPr>
        <w:t xml:space="preserve"> </w:t>
      </w:r>
      <w:r w:rsidR="00843551" w:rsidRPr="0019406C">
        <w:rPr>
          <w:lang w:val="lv-LV"/>
        </w:rPr>
        <w:t xml:space="preserve">tika izmantoti </w:t>
      </w:r>
      <w:r w:rsidR="00830D27" w:rsidRPr="0019406C">
        <w:rPr>
          <w:lang w:val="lv-LV"/>
        </w:rPr>
        <w:t>šādi informācijas avoti:</w:t>
      </w:r>
    </w:p>
    <w:p w:rsidR="00D806DC" w:rsidRPr="0019406C" w:rsidRDefault="00D806DC" w:rsidP="002771DE">
      <w:pPr>
        <w:pStyle w:val="BodyText"/>
        <w:numPr>
          <w:ilvl w:val="0"/>
          <w:numId w:val="62"/>
        </w:numPr>
        <w:spacing w:line="276" w:lineRule="auto"/>
        <w:jc w:val="both"/>
        <w:rPr>
          <w:lang w:val="lv-LV"/>
        </w:rPr>
      </w:pPr>
      <w:r w:rsidRPr="0019406C">
        <w:rPr>
          <w:lang w:val="lv-LV"/>
        </w:rPr>
        <w:t>Uzņēm</w:t>
      </w:r>
      <w:r w:rsidR="00627B52" w:rsidRPr="0019406C">
        <w:rPr>
          <w:lang w:val="lv-LV"/>
        </w:rPr>
        <w:t xml:space="preserve">ēju </w:t>
      </w:r>
      <w:r w:rsidRPr="0019406C">
        <w:rPr>
          <w:lang w:val="lv-LV"/>
        </w:rPr>
        <w:t xml:space="preserve">aptaujas rezultāti 2001. </w:t>
      </w:r>
      <w:r w:rsidR="00FE622A">
        <w:rPr>
          <w:lang w:val="lv-LV"/>
        </w:rPr>
        <w:t>–</w:t>
      </w:r>
      <w:r w:rsidRPr="0019406C">
        <w:rPr>
          <w:lang w:val="lv-LV"/>
        </w:rPr>
        <w:t xml:space="preserve"> 2014.</w:t>
      </w:r>
      <w:r w:rsidR="00BE234E" w:rsidRPr="0019406C">
        <w:rPr>
          <w:lang w:val="lv-LV"/>
        </w:rPr>
        <w:t xml:space="preserve"> </w:t>
      </w:r>
      <w:r w:rsidRPr="0019406C">
        <w:rPr>
          <w:lang w:val="lv-LV"/>
        </w:rPr>
        <w:t>gadam,</w:t>
      </w:r>
    </w:p>
    <w:p w:rsidR="00830D27" w:rsidRPr="0019406C" w:rsidRDefault="00830D27" w:rsidP="002771DE">
      <w:pPr>
        <w:pStyle w:val="BodyText"/>
        <w:numPr>
          <w:ilvl w:val="0"/>
          <w:numId w:val="62"/>
        </w:numPr>
        <w:spacing w:line="276" w:lineRule="auto"/>
        <w:jc w:val="both"/>
        <w:rPr>
          <w:lang w:val="lv-LV"/>
        </w:rPr>
      </w:pPr>
      <w:r w:rsidRPr="0019406C">
        <w:rPr>
          <w:lang w:val="lv-LV"/>
        </w:rPr>
        <w:t>Pasaules Bankas pētījums „Doing Business” 2013 un 2014.</w:t>
      </w:r>
      <w:r w:rsidR="00BE234E" w:rsidRPr="0019406C">
        <w:rPr>
          <w:lang w:val="lv-LV"/>
        </w:rPr>
        <w:t xml:space="preserve"> </w:t>
      </w:r>
      <w:r w:rsidRPr="0019406C">
        <w:rPr>
          <w:lang w:val="lv-LV"/>
        </w:rPr>
        <w:t>gada ziņojums, kā arī D</w:t>
      </w:r>
      <w:r w:rsidR="00843551" w:rsidRPr="0019406C">
        <w:rPr>
          <w:lang w:val="lv-LV"/>
        </w:rPr>
        <w:t>B</w:t>
      </w:r>
      <w:r w:rsidR="00843551" w:rsidRPr="0019406C">
        <w:rPr>
          <w:rStyle w:val="FootnoteReference"/>
          <w:lang w:val="lv-LV"/>
        </w:rPr>
        <w:footnoteReference w:id="4"/>
      </w:r>
      <w:r w:rsidRPr="0019406C">
        <w:rPr>
          <w:lang w:val="lv-LV"/>
        </w:rPr>
        <w:t xml:space="preserve"> mājas lapā atrodamā informācija,</w:t>
      </w:r>
    </w:p>
    <w:p w:rsidR="00830D27" w:rsidRPr="0019406C" w:rsidRDefault="00830D27" w:rsidP="002771DE">
      <w:pPr>
        <w:pStyle w:val="BodyText"/>
        <w:numPr>
          <w:ilvl w:val="0"/>
          <w:numId w:val="62"/>
        </w:numPr>
        <w:spacing w:line="276" w:lineRule="auto"/>
        <w:jc w:val="both"/>
        <w:rPr>
          <w:lang w:val="lv-LV"/>
        </w:rPr>
      </w:pPr>
      <w:r w:rsidRPr="0019406C">
        <w:rPr>
          <w:lang w:val="lv-LV"/>
        </w:rPr>
        <w:t>Pasaules Ekonomikas foruma pētījums „Globālās konkurētspējas ziņojums 2013</w:t>
      </w:r>
      <w:r w:rsidR="00FE622A">
        <w:rPr>
          <w:lang w:val="lv-LV"/>
        </w:rPr>
        <w:t xml:space="preserve"> – </w:t>
      </w:r>
      <w:r w:rsidRPr="0019406C">
        <w:rPr>
          <w:lang w:val="lv-LV"/>
        </w:rPr>
        <w:t>2014”,</w:t>
      </w:r>
    </w:p>
    <w:p w:rsidR="00830D27" w:rsidRPr="0019406C" w:rsidRDefault="00830D27" w:rsidP="002771DE">
      <w:pPr>
        <w:pStyle w:val="BodyText"/>
        <w:numPr>
          <w:ilvl w:val="0"/>
          <w:numId w:val="62"/>
        </w:numPr>
        <w:spacing w:line="276" w:lineRule="auto"/>
        <w:jc w:val="both"/>
        <w:rPr>
          <w:lang w:val="lv-LV"/>
        </w:rPr>
      </w:pPr>
      <w:r w:rsidRPr="0019406C">
        <w:rPr>
          <w:lang w:val="lv-LV"/>
        </w:rPr>
        <w:t>Uzņēmējdarbības vides uzlabošanas pasākumu plāns 2013.</w:t>
      </w:r>
      <w:r w:rsidR="00BE234E" w:rsidRPr="0019406C">
        <w:rPr>
          <w:lang w:val="lv-LV"/>
        </w:rPr>
        <w:t xml:space="preserve"> – </w:t>
      </w:r>
      <w:r w:rsidRPr="0019406C">
        <w:rPr>
          <w:lang w:val="lv-LV"/>
        </w:rPr>
        <w:t>2014.</w:t>
      </w:r>
      <w:r w:rsidR="00BE234E" w:rsidRPr="0019406C">
        <w:rPr>
          <w:lang w:val="lv-LV"/>
        </w:rPr>
        <w:t xml:space="preserve"> </w:t>
      </w:r>
      <w:r w:rsidRPr="0019406C">
        <w:rPr>
          <w:lang w:val="lv-LV"/>
        </w:rPr>
        <w:t>gadam un tā izpilde,</w:t>
      </w:r>
    </w:p>
    <w:p w:rsidR="00830D27" w:rsidRPr="0019406C" w:rsidRDefault="00830D27" w:rsidP="002771DE">
      <w:pPr>
        <w:pStyle w:val="BodyText"/>
        <w:numPr>
          <w:ilvl w:val="0"/>
          <w:numId w:val="62"/>
        </w:numPr>
        <w:spacing w:line="276" w:lineRule="auto"/>
        <w:jc w:val="both"/>
        <w:rPr>
          <w:lang w:val="lv-LV"/>
        </w:rPr>
      </w:pPr>
      <w:r w:rsidRPr="0019406C">
        <w:rPr>
          <w:lang w:val="lv-LV"/>
        </w:rPr>
        <w:t>Ārvalstu investoru padomes Latvijā darba grupu pozīciju ziņojumi,</w:t>
      </w:r>
    </w:p>
    <w:p w:rsidR="00830D27" w:rsidRPr="0019406C" w:rsidRDefault="00830D27" w:rsidP="002771DE">
      <w:pPr>
        <w:pStyle w:val="BodyText"/>
        <w:numPr>
          <w:ilvl w:val="0"/>
          <w:numId w:val="62"/>
        </w:numPr>
        <w:spacing w:line="276" w:lineRule="auto"/>
        <w:jc w:val="both"/>
        <w:rPr>
          <w:lang w:val="lv-LV"/>
        </w:rPr>
      </w:pPr>
      <w:r w:rsidRPr="0019406C">
        <w:rPr>
          <w:lang w:val="lv-LV"/>
        </w:rPr>
        <w:t>Valsts iestāžu un publisko pakalpojumu mājas lapās atrodamā informācija,</w:t>
      </w:r>
    </w:p>
    <w:p w:rsidR="00830D27" w:rsidRPr="0019406C" w:rsidRDefault="00830D27" w:rsidP="002771DE">
      <w:pPr>
        <w:pStyle w:val="BodyText"/>
        <w:numPr>
          <w:ilvl w:val="0"/>
          <w:numId w:val="62"/>
        </w:numPr>
        <w:spacing w:line="276" w:lineRule="auto"/>
        <w:jc w:val="both"/>
        <w:rPr>
          <w:lang w:val="lv-LV"/>
        </w:rPr>
      </w:pPr>
      <w:r w:rsidRPr="0019406C">
        <w:rPr>
          <w:lang w:val="lv-LV"/>
        </w:rPr>
        <w:t>Latvijas un ārvalstu ekspertu intervijas,</w:t>
      </w:r>
    </w:p>
    <w:p w:rsidR="00830D27" w:rsidRPr="0019406C" w:rsidRDefault="00830D27" w:rsidP="002771DE">
      <w:pPr>
        <w:pStyle w:val="BodyText"/>
        <w:numPr>
          <w:ilvl w:val="0"/>
          <w:numId w:val="62"/>
        </w:numPr>
        <w:spacing w:line="276" w:lineRule="auto"/>
        <w:jc w:val="both"/>
        <w:rPr>
          <w:lang w:val="lv-LV"/>
        </w:rPr>
      </w:pPr>
      <w:r w:rsidRPr="0019406C">
        <w:rPr>
          <w:lang w:val="lv-LV"/>
        </w:rPr>
        <w:t xml:space="preserve">cita informācija (piemēram, reformu ziņojumi, iepriekš gatavotās koncepcijas, informācija par dažādu Latvijā pašlaik īstenotu IT projektu attīstības plāniem </w:t>
      </w:r>
      <w:proofErr w:type="spellStart"/>
      <w:r w:rsidRPr="0019406C">
        <w:rPr>
          <w:lang w:val="lv-LV"/>
        </w:rPr>
        <w:t>utt</w:t>
      </w:r>
      <w:proofErr w:type="spellEnd"/>
      <w:r w:rsidRPr="0019406C">
        <w:rPr>
          <w:lang w:val="lv-LV"/>
        </w:rPr>
        <w:t>.)</w:t>
      </w:r>
    </w:p>
    <w:p w:rsidR="008809A9" w:rsidRPr="0019406C" w:rsidRDefault="008809A9" w:rsidP="002771DE">
      <w:pPr>
        <w:pStyle w:val="BodyText"/>
        <w:spacing w:line="276" w:lineRule="auto"/>
        <w:jc w:val="both"/>
        <w:rPr>
          <w:lang w:val="lv-LV"/>
        </w:rPr>
      </w:pPr>
      <w:r w:rsidRPr="0019406C">
        <w:rPr>
          <w:lang w:val="lv-LV"/>
        </w:rPr>
        <w:t>Pēc ziņojuma projekta izstrādes tika organizētas sešas ekspertu diskusijas šādās jomās: elektroenerģijas pieslēgums, būvniecība, nodokļu administrēšana, valsts un pašvaldību iepirkumi, uzņēmējdarbības uzsākšana (</w:t>
      </w:r>
      <w:proofErr w:type="spellStart"/>
      <w:r w:rsidRPr="0019406C">
        <w:rPr>
          <w:lang w:val="lv-LV"/>
        </w:rPr>
        <w:t>t.sk</w:t>
      </w:r>
      <w:proofErr w:type="spellEnd"/>
      <w:r w:rsidRPr="0019406C">
        <w:rPr>
          <w:lang w:val="lv-LV"/>
        </w:rPr>
        <w:t>. licences un e-pakalpojumi) un nekustamā īpašuma reģistrācija.</w:t>
      </w:r>
      <w:r w:rsidR="00654AAD" w:rsidRPr="0019406C">
        <w:rPr>
          <w:lang w:val="lv-LV"/>
        </w:rPr>
        <w:t xml:space="preserve"> Ekspertu diskusijā piedalījās valsts un pašvaldību iestāžu pārstāvji, kā arī </w:t>
      </w:r>
      <w:r w:rsidR="00B2083A" w:rsidRPr="0019406C">
        <w:rPr>
          <w:lang w:val="lv-LV"/>
        </w:rPr>
        <w:t xml:space="preserve">atsevišķu </w:t>
      </w:r>
      <w:r w:rsidR="00654AAD" w:rsidRPr="0019406C">
        <w:rPr>
          <w:lang w:val="lv-LV"/>
        </w:rPr>
        <w:t>uzņēmēju asociācij</w:t>
      </w:r>
      <w:r w:rsidR="00B2083A" w:rsidRPr="0019406C">
        <w:rPr>
          <w:lang w:val="lv-LV"/>
        </w:rPr>
        <w:t>u pārstāvji.</w:t>
      </w:r>
    </w:p>
    <w:p w:rsidR="00AE0B1D" w:rsidRPr="0019406C" w:rsidRDefault="00830D27" w:rsidP="002771DE">
      <w:pPr>
        <w:pStyle w:val="BodyText"/>
        <w:spacing w:line="276" w:lineRule="auto"/>
        <w:jc w:val="both"/>
        <w:rPr>
          <w:lang w:val="lv-LV"/>
        </w:rPr>
      </w:pPr>
      <w:r w:rsidRPr="0019406C">
        <w:rPr>
          <w:lang w:val="lv-LV"/>
        </w:rPr>
        <w:t>Ņemot vērā minētos informācijas avotus</w:t>
      </w:r>
      <w:r w:rsidR="00853ECE" w:rsidRPr="0019406C">
        <w:rPr>
          <w:lang w:val="lv-LV"/>
        </w:rPr>
        <w:t>, kā arī ekspertu diskusijas rezultātus</w:t>
      </w:r>
      <w:r w:rsidRPr="0019406C">
        <w:rPr>
          <w:lang w:val="lv-LV"/>
        </w:rPr>
        <w:t>, tika</w:t>
      </w:r>
      <w:r w:rsidR="00AE0B1D" w:rsidRPr="0019406C">
        <w:rPr>
          <w:lang w:val="lv-LV"/>
        </w:rPr>
        <w:t xml:space="preserve"> izvirz</w:t>
      </w:r>
      <w:r w:rsidRPr="0019406C">
        <w:rPr>
          <w:lang w:val="lv-LV"/>
        </w:rPr>
        <w:t xml:space="preserve">īti priekšlikumi </w:t>
      </w:r>
      <w:r w:rsidR="00AE0B1D" w:rsidRPr="0019406C">
        <w:rPr>
          <w:lang w:val="lv-LV"/>
        </w:rPr>
        <w:t xml:space="preserve">šādās jomās – uzņēmējdarbības uzsākšana (reģistrēšana), licenču un atļauju saņemšana, būvniecība, nekustamā īpašuma reģistrācija, nodokļu administrēšana, uzņēmējdarbības izbeigšana un e-pakalpojumu pieejamība. </w:t>
      </w:r>
    </w:p>
    <w:p w:rsidR="003A4A30" w:rsidRPr="0019406C" w:rsidRDefault="003A4A30" w:rsidP="002771DE">
      <w:pPr>
        <w:spacing w:line="276" w:lineRule="auto"/>
        <w:rPr>
          <w:sz w:val="22"/>
          <w:u w:val="single"/>
          <w:lang w:val="lv-LV"/>
        </w:rPr>
      </w:pPr>
      <w:r w:rsidRPr="0019406C">
        <w:rPr>
          <w:sz w:val="22"/>
          <w:u w:val="single"/>
          <w:lang w:val="lv-LV"/>
        </w:rPr>
        <w:t>Uzņēmējdarbības uzsākšana (reģistrēšana)</w:t>
      </w:r>
    </w:p>
    <w:p w:rsidR="003A4A30" w:rsidRPr="0019406C" w:rsidRDefault="003A4A30" w:rsidP="002771DE">
      <w:pPr>
        <w:pStyle w:val="BodyText"/>
        <w:spacing w:line="276" w:lineRule="auto"/>
        <w:jc w:val="both"/>
        <w:rPr>
          <w:rFonts w:asciiTheme="majorHAnsi" w:hAnsiTheme="majorHAnsi"/>
          <w:lang w:val="lv-LV"/>
        </w:rPr>
      </w:pPr>
      <w:r w:rsidRPr="0019406C">
        <w:rPr>
          <w:rFonts w:asciiTheme="majorHAnsi" w:hAnsiTheme="majorHAnsi"/>
          <w:lang w:val="lv-LV"/>
        </w:rPr>
        <w:t xml:space="preserve">Uzņēmumu reģistrs jau ir veicis būtiskus uzlabojumus, lai </w:t>
      </w:r>
      <w:proofErr w:type="spellStart"/>
      <w:r w:rsidRPr="0019406C">
        <w:rPr>
          <w:rFonts w:asciiTheme="majorHAnsi" w:hAnsiTheme="majorHAnsi"/>
          <w:lang w:val="lv-LV"/>
        </w:rPr>
        <w:t>efektivizētu</w:t>
      </w:r>
      <w:proofErr w:type="spellEnd"/>
      <w:r w:rsidRPr="0019406C">
        <w:rPr>
          <w:rFonts w:asciiTheme="majorHAnsi" w:hAnsiTheme="majorHAnsi"/>
          <w:lang w:val="lv-LV"/>
        </w:rPr>
        <w:t xml:space="preserve"> savus sniegtos pakalpojumus, </w:t>
      </w:r>
      <w:proofErr w:type="spellStart"/>
      <w:r w:rsidRPr="0019406C">
        <w:rPr>
          <w:rFonts w:asciiTheme="majorHAnsi" w:hAnsiTheme="majorHAnsi"/>
          <w:lang w:val="lv-LV"/>
        </w:rPr>
        <w:t>t.sk</w:t>
      </w:r>
      <w:proofErr w:type="spellEnd"/>
      <w:r w:rsidRPr="0019406C">
        <w:rPr>
          <w:rFonts w:asciiTheme="majorHAnsi" w:hAnsiTheme="majorHAnsi"/>
          <w:lang w:val="lv-LV"/>
        </w:rPr>
        <w:t>. plānojot dažādus e-pakalpojumus un pieņemot ar e-parakstu parakstītus dokum</w:t>
      </w:r>
      <w:r w:rsidR="00F77C4A" w:rsidRPr="0019406C">
        <w:rPr>
          <w:rFonts w:asciiTheme="majorHAnsi" w:hAnsiTheme="majorHAnsi"/>
          <w:lang w:val="lv-LV"/>
        </w:rPr>
        <w:t xml:space="preserve">entus, </w:t>
      </w:r>
      <w:proofErr w:type="spellStart"/>
      <w:r w:rsidR="00F77C4A" w:rsidRPr="0019406C">
        <w:rPr>
          <w:rFonts w:asciiTheme="majorHAnsi" w:hAnsiTheme="majorHAnsi"/>
          <w:lang w:val="lv-LV"/>
        </w:rPr>
        <w:t>t.sk</w:t>
      </w:r>
      <w:proofErr w:type="spellEnd"/>
      <w:r w:rsidR="00F77C4A" w:rsidRPr="0019406C">
        <w:rPr>
          <w:rFonts w:asciiTheme="majorHAnsi" w:hAnsiTheme="majorHAnsi"/>
          <w:lang w:val="lv-LV"/>
        </w:rPr>
        <w:t>. citās</w:t>
      </w:r>
      <w:r w:rsidR="00337336" w:rsidRPr="0019406C">
        <w:rPr>
          <w:rFonts w:asciiTheme="majorHAnsi" w:hAnsiTheme="majorHAnsi"/>
          <w:lang w:val="lv-LV"/>
        </w:rPr>
        <w:t xml:space="preserve"> ES dalībvalstīs</w:t>
      </w:r>
      <w:r w:rsidRPr="0019406C">
        <w:rPr>
          <w:rFonts w:asciiTheme="majorHAnsi" w:hAnsiTheme="majorHAnsi"/>
          <w:lang w:val="lv-LV"/>
        </w:rPr>
        <w:t xml:space="preserve"> e-parakstītus. Tas atspoguļojas arī uzņēmumu aptaujas rezultātos:</w:t>
      </w:r>
    </w:p>
    <w:p w:rsidR="003A4A30" w:rsidRPr="0019406C" w:rsidRDefault="003A4A30" w:rsidP="002771DE">
      <w:pPr>
        <w:pStyle w:val="BodyText"/>
        <w:numPr>
          <w:ilvl w:val="0"/>
          <w:numId w:val="33"/>
        </w:numPr>
        <w:spacing w:line="276" w:lineRule="auto"/>
        <w:jc w:val="both"/>
        <w:rPr>
          <w:rFonts w:asciiTheme="majorHAnsi" w:hAnsiTheme="majorHAnsi"/>
          <w:lang w:val="lv-LV"/>
        </w:rPr>
      </w:pPr>
      <w:r w:rsidRPr="0019406C">
        <w:rPr>
          <w:rFonts w:asciiTheme="majorHAnsi" w:hAnsiTheme="majorHAnsi"/>
          <w:lang w:val="lv-LV"/>
        </w:rPr>
        <w:t>Samazinās uzņēmumu reģistra apmeklējumu skaits. Ja 2009. gadā uzņēmumu reģistru bija apmeklējuši 50% no aptaujas dalībniekiem, tad 2014. gadā tie bija tikai 24</w:t>
      </w:r>
      <w:r w:rsidR="001B45C9" w:rsidRPr="0019406C">
        <w:rPr>
          <w:rFonts w:asciiTheme="majorHAnsi" w:hAnsiTheme="majorHAnsi"/>
          <w:lang w:val="lv-LV"/>
        </w:rPr>
        <w:t>,</w:t>
      </w:r>
      <w:r w:rsidRPr="0019406C">
        <w:rPr>
          <w:rFonts w:asciiTheme="majorHAnsi" w:hAnsiTheme="majorHAnsi"/>
          <w:lang w:val="lv-LV"/>
        </w:rPr>
        <w:t xml:space="preserve">5% no aptaujas dalībniekiem. </w:t>
      </w:r>
    </w:p>
    <w:p w:rsidR="003A4A30" w:rsidRPr="0019406C" w:rsidRDefault="003A4A30" w:rsidP="002771DE">
      <w:pPr>
        <w:pStyle w:val="BodyText"/>
        <w:numPr>
          <w:ilvl w:val="0"/>
          <w:numId w:val="33"/>
        </w:numPr>
        <w:spacing w:line="276" w:lineRule="auto"/>
        <w:jc w:val="both"/>
        <w:rPr>
          <w:rFonts w:asciiTheme="majorHAnsi" w:hAnsiTheme="majorHAnsi"/>
          <w:lang w:val="lv-LV"/>
        </w:rPr>
      </w:pPr>
      <w:r w:rsidRPr="0019406C">
        <w:rPr>
          <w:rFonts w:asciiTheme="majorHAnsi" w:hAnsiTheme="majorHAnsi"/>
          <w:lang w:val="lv-LV"/>
        </w:rPr>
        <w:t>Samazinās reģistrācijas procedūrai patērētais laiks. Pēc uzņēmēju vērtējuma, pakāpeniski samazinās uzņēmumu reģistrācijai patērētais laiks. Ja 2009. gadā reģistrācijai uzņēmumu reģistrā tika patērētas 8</w:t>
      </w:r>
      <w:r w:rsidR="001B45C9" w:rsidRPr="0019406C">
        <w:rPr>
          <w:rFonts w:asciiTheme="majorHAnsi" w:hAnsiTheme="majorHAnsi"/>
          <w:lang w:val="lv-LV"/>
        </w:rPr>
        <w:t>,</w:t>
      </w:r>
      <w:r w:rsidRPr="0019406C">
        <w:rPr>
          <w:rFonts w:asciiTheme="majorHAnsi" w:hAnsiTheme="majorHAnsi"/>
          <w:lang w:val="lv-LV"/>
        </w:rPr>
        <w:t>9 dienas, tad 2014. gadā tiek patērētas tikai 5</w:t>
      </w:r>
      <w:r w:rsidR="001B45C9" w:rsidRPr="0019406C">
        <w:rPr>
          <w:rFonts w:asciiTheme="majorHAnsi" w:hAnsiTheme="majorHAnsi"/>
          <w:lang w:val="lv-LV"/>
        </w:rPr>
        <w:t>,</w:t>
      </w:r>
      <w:r w:rsidRPr="0019406C">
        <w:rPr>
          <w:rFonts w:asciiTheme="majorHAnsi" w:hAnsiTheme="majorHAnsi"/>
          <w:lang w:val="lv-LV"/>
        </w:rPr>
        <w:t>7 d</w:t>
      </w:r>
      <w:r w:rsidR="00F77C4A" w:rsidRPr="0019406C">
        <w:rPr>
          <w:rFonts w:asciiTheme="majorHAnsi" w:hAnsiTheme="majorHAnsi"/>
          <w:lang w:val="lv-LV"/>
        </w:rPr>
        <w:t>ienas. Savukārt, reģistrācijai V</w:t>
      </w:r>
      <w:r w:rsidRPr="0019406C">
        <w:rPr>
          <w:rFonts w:asciiTheme="majorHAnsi" w:hAnsiTheme="majorHAnsi"/>
          <w:lang w:val="lv-LV"/>
        </w:rPr>
        <w:t>alsts ieņēmumu dienesta PVN maksātāju reģistrā 2009. gadā tika patērētas 9</w:t>
      </w:r>
      <w:r w:rsidR="001B45C9" w:rsidRPr="0019406C">
        <w:rPr>
          <w:rFonts w:asciiTheme="majorHAnsi" w:hAnsiTheme="majorHAnsi"/>
          <w:lang w:val="lv-LV"/>
        </w:rPr>
        <w:t>,</w:t>
      </w:r>
      <w:r w:rsidRPr="0019406C">
        <w:rPr>
          <w:rFonts w:asciiTheme="majorHAnsi" w:hAnsiTheme="majorHAnsi"/>
          <w:lang w:val="lv-LV"/>
        </w:rPr>
        <w:t>2 dienas, bet 2014. gadā jau tikai 3</w:t>
      </w:r>
      <w:r w:rsidR="001B45C9" w:rsidRPr="0019406C">
        <w:rPr>
          <w:rFonts w:asciiTheme="majorHAnsi" w:hAnsiTheme="majorHAnsi"/>
          <w:lang w:val="lv-LV"/>
        </w:rPr>
        <w:t>,</w:t>
      </w:r>
      <w:r w:rsidRPr="0019406C">
        <w:rPr>
          <w:rFonts w:asciiTheme="majorHAnsi" w:hAnsiTheme="majorHAnsi"/>
          <w:lang w:val="lv-LV"/>
        </w:rPr>
        <w:t>3 dienas.</w:t>
      </w:r>
    </w:p>
    <w:p w:rsidR="003A4A30" w:rsidRPr="0019406C" w:rsidRDefault="003A4A30" w:rsidP="002771DE">
      <w:pPr>
        <w:pStyle w:val="BodyText"/>
        <w:numPr>
          <w:ilvl w:val="0"/>
          <w:numId w:val="33"/>
        </w:numPr>
        <w:spacing w:line="276" w:lineRule="auto"/>
        <w:jc w:val="both"/>
        <w:rPr>
          <w:rFonts w:asciiTheme="majorHAnsi" w:hAnsiTheme="majorHAnsi"/>
          <w:lang w:val="lv-LV"/>
        </w:rPr>
      </w:pPr>
      <w:r w:rsidRPr="0019406C">
        <w:rPr>
          <w:rFonts w:asciiTheme="majorHAnsi" w:hAnsiTheme="majorHAnsi"/>
          <w:lang w:val="lv-LV"/>
        </w:rPr>
        <w:t>Uzņēmumu reģistrēšanas pakalpojumu kvalitāte tiek novērtēta pozitīvi. Pakalpojumu kvalitātes novērtējums pēdējo 13 gadu laikā nav piedzīvojis būtiskas izmaiņas un saglabāj</w:t>
      </w:r>
      <w:r w:rsidR="00F77C4A" w:rsidRPr="0019406C">
        <w:rPr>
          <w:rFonts w:asciiTheme="majorHAnsi" w:hAnsiTheme="majorHAnsi"/>
          <w:lang w:val="lv-LV"/>
        </w:rPr>
        <w:t>as 5 („labi”) vērtējuma līmenī.</w:t>
      </w:r>
    </w:p>
    <w:p w:rsidR="003A4A30" w:rsidRPr="0019406C" w:rsidRDefault="003A4A30" w:rsidP="002771DE">
      <w:pPr>
        <w:pStyle w:val="BodyText"/>
        <w:spacing w:line="276" w:lineRule="auto"/>
        <w:jc w:val="both"/>
        <w:rPr>
          <w:rFonts w:asciiTheme="majorHAnsi" w:hAnsiTheme="majorHAnsi"/>
          <w:lang w:val="lv-LV"/>
        </w:rPr>
      </w:pPr>
      <w:r w:rsidRPr="0019406C">
        <w:rPr>
          <w:rFonts w:asciiTheme="majorHAnsi" w:hAnsiTheme="majorHAnsi"/>
          <w:lang w:val="lv-LV"/>
        </w:rPr>
        <w:lastRenderedPageBreak/>
        <w:t xml:space="preserve">Tomēr, ņemot vērā </w:t>
      </w:r>
      <w:r w:rsidR="00074E22" w:rsidRPr="0019406C">
        <w:rPr>
          <w:rFonts w:asciiTheme="majorHAnsi" w:hAnsiTheme="majorHAnsi"/>
          <w:lang w:val="lv-LV"/>
        </w:rPr>
        <w:t>DB</w:t>
      </w:r>
      <w:r w:rsidRPr="0019406C">
        <w:rPr>
          <w:rFonts w:asciiTheme="majorHAnsi" w:hAnsiTheme="majorHAnsi"/>
          <w:lang w:val="lv-LV"/>
        </w:rPr>
        <w:t xml:space="preserve"> pētījuma datus, uzņēmējdarbības uzsākšanas process Latvijā vēl atpaliek no kaimiņvalstīs esošajiem procesiem</w:t>
      </w:r>
      <w:r w:rsidR="00690694" w:rsidRPr="0019406C">
        <w:rPr>
          <w:rFonts w:asciiTheme="majorHAnsi" w:hAnsiTheme="majorHAnsi"/>
          <w:lang w:val="lv-LV"/>
        </w:rPr>
        <w:t>, it īpaši reģistrēšanas laika ziņā</w:t>
      </w:r>
      <w:r w:rsidRPr="0019406C">
        <w:rPr>
          <w:rFonts w:asciiTheme="majorHAnsi" w:hAnsiTheme="majorHAnsi"/>
          <w:lang w:val="lv-LV"/>
        </w:rPr>
        <w:t>, un ir zemu novērtēts DB pētījumā</w:t>
      </w:r>
      <w:r w:rsidR="00690694" w:rsidRPr="0019406C">
        <w:rPr>
          <w:rFonts w:asciiTheme="majorHAnsi" w:hAnsiTheme="majorHAnsi"/>
          <w:lang w:val="lv-LV"/>
        </w:rPr>
        <w:t>.</w:t>
      </w:r>
      <w:r w:rsidR="003416D5" w:rsidRPr="0019406C">
        <w:rPr>
          <w:rFonts w:asciiTheme="majorHAnsi" w:hAnsiTheme="majorHAnsi"/>
          <w:lang w:val="lv-LV"/>
        </w:rPr>
        <w:t xml:space="preserve"> Pēc citu valstu un DB pētījuma prakses secinām, ka reģistrēšanās ilgums tiek samazināts pārsvarā koncentrējoties uz pilnvērtīgu un ērti izmantojamu e-pakalpojumu ieviešanu un uzlabošanu, tajā skaitā e-paraksta pielietojamības un popularitātes paplašināšanu. Pēc uzņēm</w:t>
      </w:r>
      <w:r w:rsidR="00627B52" w:rsidRPr="0019406C">
        <w:rPr>
          <w:rFonts w:asciiTheme="majorHAnsi" w:hAnsiTheme="majorHAnsi"/>
          <w:lang w:val="lv-LV"/>
        </w:rPr>
        <w:t xml:space="preserve">ēju </w:t>
      </w:r>
      <w:r w:rsidR="003416D5" w:rsidRPr="0019406C">
        <w:rPr>
          <w:rFonts w:asciiTheme="majorHAnsi" w:hAnsiTheme="majorHAnsi"/>
          <w:lang w:val="lv-LV"/>
        </w:rPr>
        <w:t xml:space="preserve">aptaujas rezultātiem uzņēmumu reģistrēšanu, izmantojot e-pakalpojumu portālā </w:t>
      </w:r>
      <w:proofErr w:type="spellStart"/>
      <w:r w:rsidR="003416D5" w:rsidRPr="0019406C">
        <w:rPr>
          <w:rFonts w:asciiTheme="majorHAnsi" w:hAnsiTheme="majorHAnsi"/>
          <w:lang w:val="lv-LV"/>
        </w:rPr>
        <w:t>www.latvija.lv</w:t>
      </w:r>
      <w:proofErr w:type="spellEnd"/>
      <w:r w:rsidR="003416D5" w:rsidRPr="0019406C">
        <w:rPr>
          <w:rFonts w:asciiTheme="majorHAnsi" w:hAnsiTheme="majorHAnsi"/>
          <w:lang w:val="lv-LV"/>
        </w:rPr>
        <w:t>, veikuši tikai 13,9%, no jaundibinātiem uzņēmumiem – 25,8%</w:t>
      </w:r>
      <w:r w:rsidRPr="0019406C">
        <w:rPr>
          <w:rFonts w:asciiTheme="majorHAnsi" w:hAnsiTheme="majorHAnsi"/>
          <w:lang w:val="lv-LV"/>
        </w:rPr>
        <w:t>, tādēļ ir būtiski turpināt veikt uzlabojumus šajā nozarē, galvenokārt</w:t>
      </w:r>
      <w:r w:rsidR="00C10F3F" w:rsidRPr="0019406C">
        <w:rPr>
          <w:rFonts w:asciiTheme="majorHAnsi" w:hAnsiTheme="majorHAnsi"/>
          <w:lang w:val="lv-LV"/>
        </w:rPr>
        <w:t>,</w:t>
      </w:r>
      <w:r w:rsidRPr="0019406C">
        <w:rPr>
          <w:rFonts w:asciiTheme="majorHAnsi" w:hAnsiTheme="majorHAnsi"/>
          <w:lang w:val="lv-LV"/>
        </w:rPr>
        <w:t xml:space="preserve"> uzmanību vēršot uz </w:t>
      </w:r>
      <w:r w:rsidR="003416D5" w:rsidRPr="0019406C">
        <w:rPr>
          <w:rFonts w:asciiTheme="majorHAnsi" w:hAnsiTheme="majorHAnsi"/>
          <w:lang w:val="lv-LV"/>
        </w:rPr>
        <w:t xml:space="preserve">sekojošiem </w:t>
      </w:r>
      <w:r w:rsidRPr="0019406C">
        <w:rPr>
          <w:rFonts w:asciiTheme="majorHAnsi" w:hAnsiTheme="majorHAnsi"/>
          <w:lang w:val="lv-LV"/>
        </w:rPr>
        <w:t>virzieniem –</w:t>
      </w:r>
      <w:r w:rsidR="007268C8" w:rsidRPr="0019406C">
        <w:rPr>
          <w:rFonts w:asciiTheme="majorHAnsi" w:hAnsiTheme="majorHAnsi"/>
          <w:lang w:val="lv-LV"/>
        </w:rPr>
        <w:t xml:space="preserve"> (1) reģistrēšanās procesa ilguma samazināšanu un atvieglošanu, (2) e-pakalpojumu uzlabošanā un pilnveidošanā, (3) kā arī uz turpmāku izmaksu samazinājumu uzņēmuma reģistrācijas brīdī. </w:t>
      </w:r>
    </w:p>
    <w:p w:rsidR="007E2252" w:rsidRPr="0019406C" w:rsidRDefault="00634723" w:rsidP="002771DE">
      <w:pPr>
        <w:pStyle w:val="BodyText"/>
        <w:spacing w:line="276" w:lineRule="auto"/>
        <w:jc w:val="both"/>
        <w:rPr>
          <w:rFonts w:asciiTheme="majorHAnsi" w:hAnsiTheme="majorHAnsi"/>
          <w:lang w:val="lv-LV"/>
        </w:rPr>
      </w:pPr>
      <w:r w:rsidRPr="0019406C">
        <w:rPr>
          <w:rFonts w:asciiTheme="majorHAnsi" w:hAnsiTheme="majorHAnsi"/>
          <w:lang w:val="lv-LV"/>
        </w:rPr>
        <w:t>Esošās situācijas analīzes un ekspertu diskusiju rezultātā, š</w:t>
      </w:r>
      <w:r w:rsidR="00355E7E" w:rsidRPr="0019406C">
        <w:rPr>
          <w:rFonts w:asciiTheme="majorHAnsi" w:hAnsiTheme="majorHAnsi"/>
          <w:lang w:val="lv-LV"/>
        </w:rPr>
        <w:t xml:space="preserve">ajā jomā </w:t>
      </w:r>
      <w:r w:rsidRPr="0019406C">
        <w:rPr>
          <w:rFonts w:asciiTheme="majorHAnsi" w:hAnsiTheme="majorHAnsi"/>
          <w:lang w:val="lv-LV"/>
        </w:rPr>
        <w:t>tiek izvirzīt</w:t>
      </w:r>
      <w:r w:rsidR="00B543DA" w:rsidRPr="0019406C">
        <w:rPr>
          <w:rFonts w:asciiTheme="majorHAnsi" w:hAnsiTheme="majorHAnsi"/>
          <w:lang w:val="lv-LV"/>
        </w:rPr>
        <w:t>s</w:t>
      </w:r>
      <w:r w:rsidRPr="0019406C">
        <w:rPr>
          <w:rFonts w:asciiTheme="majorHAnsi" w:hAnsiTheme="majorHAnsi"/>
          <w:lang w:val="lv-LV"/>
        </w:rPr>
        <w:t xml:space="preserve"> sekojoš</w:t>
      </w:r>
      <w:r w:rsidR="00B543DA" w:rsidRPr="0019406C">
        <w:rPr>
          <w:rFonts w:asciiTheme="majorHAnsi" w:hAnsiTheme="majorHAnsi"/>
          <w:lang w:val="lv-LV"/>
        </w:rPr>
        <w:t>s</w:t>
      </w:r>
      <w:r w:rsidRPr="0019406C">
        <w:rPr>
          <w:rFonts w:asciiTheme="majorHAnsi" w:hAnsiTheme="majorHAnsi"/>
          <w:lang w:val="lv-LV"/>
        </w:rPr>
        <w:t xml:space="preserve"> ieteikum</w:t>
      </w:r>
      <w:r w:rsidR="00B543DA" w:rsidRPr="0019406C">
        <w:rPr>
          <w:rFonts w:asciiTheme="majorHAnsi" w:hAnsiTheme="majorHAnsi"/>
          <w:lang w:val="lv-LV"/>
        </w:rPr>
        <w:t>s</w:t>
      </w:r>
      <w:r w:rsidRPr="0019406C">
        <w:rPr>
          <w:rFonts w:asciiTheme="majorHAnsi" w:hAnsiTheme="majorHAnsi"/>
          <w:lang w:val="lv-LV"/>
        </w:rPr>
        <w:t>:</w:t>
      </w:r>
      <w:r w:rsidR="00FE622A">
        <w:rPr>
          <w:rFonts w:asciiTheme="majorHAnsi" w:hAnsiTheme="majorHAnsi"/>
          <w:lang w:val="lv-LV"/>
        </w:rPr>
        <w:t xml:space="preserve"> v</w:t>
      </w:r>
      <w:r w:rsidR="007E2252" w:rsidRPr="0019406C">
        <w:rPr>
          <w:rFonts w:asciiTheme="majorHAnsi" w:hAnsiTheme="majorHAnsi"/>
          <w:lang w:val="lv-LV"/>
        </w:rPr>
        <w:t>eicināt uzņēmēju izpratni par uzņēmējdarbības veidiem un ar to saistītajiem pienākumiem, veidojot ērti izmantojamus e-pakalpojumus</w:t>
      </w:r>
      <w:r w:rsidR="00B543DA" w:rsidRPr="0019406C">
        <w:rPr>
          <w:rFonts w:asciiTheme="majorHAnsi" w:hAnsiTheme="majorHAnsi"/>
          <w:lang w:val="lv-LV"/>
        </w:rPr>
        <w:t>.</w:t>
      </w:r>
    </w:p>
    <w:p w:rsidR="003A4A30" w:rsidRPr="0019406C" w:rsidRDefault="003A4A30" w:rsidP="002771DE">
      <w:pPr>
        <w:spacing w:line="276" w:lineRule="auto"/>
        <w:rPr>
          <w:sz w:val="22"/>
          <w:u w:val="single"/>
          <w:lang w:val="lv-LV"/>
        </w:rPr>
      </w:pPr>
      <w:r w:rsidRPr="0019406C">
        <w:rPr>
          <w:sz w:val="22"/>
          <w:u w:val="single"/>
          <w:lang w:val="lv-LV"/>
        </w:rPr>
        <w:t>Licen</w:t>
      </w:r>
      <w:r w:rsidR="00074E22" w:rsidRPr="0019406C">
        <w:rPr>
          <w:sz w:val="22"/>
          <w:u w:val="single"/>
          <w:lang w:val="lv-LV"/>
        </w:rPr>
        <w:t>ču</w:t>
      </w:r>
      <w:r w:rsidRPr="0019406C">
        <w:rPr>
          <w:sz w:val="22"/>
          <w:u w:val="single"/>
          <w:lang w:val="lv-LV"/>
        </w:rPr>
        <w:t xml:space="preserve"> un atļauj</w:t>
      </w:r>
      <w:r w:rsidR="00074E22" w:rsidRPr="0019406C">
        <w:rPr>
          <w:sz w:val="22"/>
          <w:u w:val="single"/>
          <w:lang w:val="lv-LV"/>
        </w:rPr>
        <w:t>u saņemšana</w:t>
      </w:r>
    </w:p>
    <w:p w:rsidR="00B2083A" w:rsidRPr="0019406C" w:rsidRDefault="00B2083A" w:rsidP="002771DE">
      <w:pPr>
        <w:pStyle w:val="BodyText"/>
        <w:spacing w:line="276" w:lineRule="auto"/>
        <w:jc w:val="both"/>
        <w:rPr>
          <w:rFonts w:asciiTheme="majorHAnsi" w:hAnsiTheme="majorHAnsi"/>
          <w:lang w:val="lv-LV"/>
        </w:rPr>
      </w:pPr>
      <w:r w:rsidRPr="0019406C">
        <w:rPr>
          <w:rFonts w:asciiTheme="majorHAnsi" w:hAnsiTheme="majorHAnsi"/>
          <w:lang w:val="lv-LV"/>
        </w:rPr>
        <w:t>Licenču un atļauju, un citu inspekciju izdoto apliecību izsniegšanas procesa analīze tika balstīta uz uzņēmēju aptaujas rezultātiem un esošās situācijas izpēti.</w:t>
      </w:r>
    </w:p>
    <w:p w:rsidR="00B2083A" w:rsidRPr="0019406C" w:rsidRDefault="00B2083A" w:rsidP="002771DE">
      <w:pPr>
        <w:pStyle w:val="BodyText"/>
        <w:spacing w:line="276" w:lineRule="auto"/>
        <w:jc w:val="both"/>
        <w:rPr>
          <w:rFonts w:asciiTheme="majorHAnsi" w:hAnsiTheme="majorHAnsi"/>
          <w:lang w:val="lv-LV"/>
        </w:rPr>
      </w:pPr>
      <w:r w:rsidRPr="0019406C">
        <w:rPr>
          <w:rFonts w:asciiTheme="majorHAnsi" w:hAnsiTheme="majorHAnsi"/>
          <w:lang w:val="lv-LV"/>
        </w:rPr>
        <w:t xml:space="preserve">Pašlaik informācija par uzņēmējdarbībai nepieciešamajām atļaujām un licencēm ir apkopota portālā </w:t>
      </w:r>
      <w:proofErr w:type="spellStart"/>
      <w:r w:rsidRPr="0019406C">
        <w:rPr>
          <w:rFonts w:asciiTheme="majorHAnsi" w:hAnsiTheme="majorHAnsi"/>
          <w:lang w:val="lv-LV"/>
        </w:rPr>
        <w:t>www.latvija.lv</w:t>
      </w:r>
      <w:proofErr w:type="spellEnd"/>
      <w:r w:rsidRPr="0019406C">
        <w:rPr>
          <w:rFonts w:asciiTheme="majorHAnsi" w:hAnsiTheme="majorHAnsi"/>
          <w:lang w:val="lv-LV"/>
        </w:rPr>
        <w:t xml:space="preserve">, kurā ir sniegta arī sīkāka informācija par katru no tām – pieteikšanās procedūru un nepieciešamajiem dokumentiem. Licences un atļaujas izsniedz dažādas atbildīgās institūcijas, tādēļ to apvienošana un </w:t>
      </w:r>
      <w:proofErr w:type="spellStart"/>
      <w:r w:rsidRPr="0019406C">
        <w:rPr>
          <w:rFonts w:asciiTheme="majorHAnsi" w:hAnsiTheme="majorHAnsi"/>
          <w:lang w:val="lv-LV"/>
        </w:rPr>
        <w:t>digitalizēšana</w:t>
      </w:r>
      <w:proofErr w:type="spellEnd"/>
      <w:r w:rsidRPr="0019406C">
        <w:rPr>
          <w:rFonts w:asciiTheme="majorHAnsi" w:hAnsiTheme="majorHAnsi"/>
          <w:lang w:val="lv-LV"/>
        </w:rPr>
        <w:t xml:space="preserve"> ir ierobežota, tomēr atbildīgajām iestādēm ir jātiecas uz šo procesu pieejamību tiešsaistē vai portālā </w:t>
      </w:r>
      <w:proofErr w:type="spellStart"/>
      <w:r w:rsidRPr="0019406C">
        <w:rPr>
          <w:rFonts w:asciiTheme="majorHAnsi" w:hAnsiTheme="majorHAnsi"/>
          <w:lang w:val="lv-LV"/>
        </w:rPr>
        <w:t>www.latvija.lv</w:t>
      </w:r>
      <w:proofErr w:type="spellEnd"/>
      <w:r w:rsidRPr="0019406C">
        <w:rPr>
          <w:rFonts w:asciiTheme="majorHAnsi" w:hAnsiTheme="majorHAnsi"/>
          <w:lang w:val="lv-LV"/>
        </w:rPr>
        <w:t>.</w:t>
      </w:r>
    </w:p>
    <w:p w:rsidR="007E2252" w:rsidRPr="0019406C" w:rsidRDefault="00355E7E" w:rsidP="002771DE">
      <w:pPr>
        <w:pStyle w:val="BodyText"/>
        <w:spacing w:line="276" w:lineRule="auto"/>
        <w:jc w:val="both"/>
        <w:rPr>
          <w:rFonts w:asciiTheme="majorHAnsi" w:hAnsiTheme="majorHAnsi"/>
          <w:lang w:val="lv-LV"/>
        </w:rPr>
      </w:pPr>
      <w:r w:rsidRPr="0019406C">
        <w:rPr>
          <w:rFonts w:asciiTheme="majorHAnsi" w:hAnsiTheme="majorHAnsi"/>
          <w:lang w:val="lv-LV"/>
        </w:rPr>
        <w:t>Šajā jomā</w:t>
      </w:r>
      <w:r w:rsidR="0083684E" w:rsidRPr="0019406C">
        <w:rPr>
          <w:rFonts w:asciiTheme="majorHAnsi" w:hAnsiTheme="majorHAnsi"/>
          <w:lang w:val="lv-LV"/>
        </w:rPr>
        <w:t xml:space="preserve"> tiek izvirzīts </w:t>
      </w:r>
      <w:r w:rsidR="0072729F" w:rsidRPr="0019406C">
        <w:rPr>
          <w:rFonts w:asciiTheme="majorHAnsi" w:hAnsiTheme="majorHAnsi"/>
          <w:lang w:val="lv-LV"/>
        </w:rPr>
        <w:t>sekojošs</w:t>
      </w:r>
      <w:r w:rsidR="0083684E" w:rsidRPr="0019406C">
        <w:rPr>
          <w:rFonts w:asciiTheme="majorHAnsi" w:hAnsiTheme="majorHAnsi"/>
          <w:lang w:val="lv-LV"/>
        </w:rPr>
        <w:t xml:space="preserve"> ieteikums: </w:t>
      </w:r>
      <w:r w:rsidR="00B2083A" w:rsidRPr="0019406C">
        <w:rPr>
          <w:rFonts w:asciiTheme="majorHAnsi" w:hAnsiTheme="majorHAnsi"/>
          <w:lang w:val="lv-LV"/>
        </w:rPr>
        <w:t>u</w:t>
      </w:r>
      <w:r w:rsidR="007E2252" w:rsidRPr="0019406C">
        <w:rPr>
          <w:rFonts w:asciiTheme="majorHAnsi" w:hAnsiTheme="majorHAnsi"/>
          <w:lang w:val="lv-LV"/>
        </w:rPr>
        <w:t>zlabot uzņēmumu reģistrāciju internetā, pievienojot uzņēmuma reģistrācijas anketai papildus funkcionalitāti, kad izvēloties uzņēmējdarbības nozari pēc NACE koda, uzņēmējs uzreiz redzētu kādas atļaujas ir atbilstīgas konkrētai nozarei un attiecīgi pēc nepieciešamības arī izvēlēties tām pieteikties. Tas samazinātu laiku, kas nepieciešams, lai uzņēmējs izprastu kādas atļaujas tā uzņēmējdarbībai ir nepieciešamas, kā arī samazinātu laiku, lai iniciētu to izsniegšanas procesu</w:t>
      </w:r>
      <w:r w:rsidR="0083684E" w:rsidRPr="0019406C">
        <w:rPr>
          <w:rFonts w:asciiTheme="majorHAnsi" w:hAnsiTheme="majorHAnsi"/>
          <w:lang w:val="lv-LV"/>
        </w:rPr>
        <w:t>.</w:t>
      </w:r>
    </w:p>
    <w:p w:rsidR="003A4A30" w:rsidRPr="0019406C" w:rsidRDefault="003A4A30" w:rsidP="002771DE">
      <w:pPr>
        <w:spacing w:line="276" w:lineRule="auto"/>
        <w:rPr>
          <w:sz w:val="22"/>
          <w:u w:val="single"/>
          <w:lang w:val="lv-LV"/>
        </w:rPr>
      </w:pPr>
      <w:r w:rsidRPr="0019406C">
        <w:rPr>
          <w:sz w:val="22"/>
          <w:u w:val="single"/>
          <w:lang w:val="lv-LV"/>
        </w:rPr>
        <w:t>Būvniecība</w:t>
      </w:r>
    </w:p>
    <w:p w:rsidR="00750F61" w:rsidRPr="0019406C" w:rsidRDefault="00750F61" w:rsidP="002771DE">
      <w:pPr>
        <w:pStyle w:val="BodyText"/>
        <w:spacing w:line="276" w:lineRule="auto"/>
        <w:jc w:val="both"/>
        <w:rPr>
          <w:lang w:val="lv-LV"/>
        </w:rPr>
      </w:pPr>
      <w:r w:rsidRPr="0019406C">
        <w:rPr>
          <w:lang w:val="lv-LV"/>
        </w:rPr>
        <w:t>Ņemot vērā DB labās prakses kritērijus, Latvijā negatīvi tiek vērtēts tas, ka neizpildās tādi DB labās prakses kritēriji kā visaptverošu būvniecības noteikumu esamība, kā arī vienas pieturas aģentūras principa ieviešana nozarē. Pašlaik pie abiem šie kritērijiem nozarē jau tiek strādāts, – veidojot jaunu normatīvo aktu bāzi, kā arī izstrādājot Būvniecības informācijas sistēmu. Šī pētījuma ietvaros nav bijis iespējams novērtēt pēdējo veikto izmaiņu efektu uz valsts konkurētspējas rādītājiem, jo šīs izmaiņas komersanti nav novērtējuši praktiskajā darbā uzņēmēju aptaujas ietvaros, tomēr, ņemot vērā pieejamās informācijas analīzi un ekspertu diskusijas rezultātus, ir izvirzīti šādi priekšlikumi šo principu ieviešanai/uzlabošanai Latvijā:</w:t>
      </w:r>
    </w:p>
    <w:p w:rsidR="00750F61" w:rsidRPr="0019406C" w:rsidRDefault="00750F61" w:rsidP="002771DE">
      <w:pPr>
        <w:pStyle w:val="BodyText"/>
        <w:numPr>
          <w:ilvl w:val="0"/>
          <w:numId w:val="73"/>
        </w:numPr>
        <w:spacing w:line="276" w:lineRule="auto"/>
        <w:jc w:val="both"/>
        <w:rPr>
          <w:rFonts w:asciiTheme="majorHAnsi" w:hAnsiTheme="majorHAnsi"/>
          <w:lang w:val="lv-LV"/>
        </w:rPr>
      </w:pPr>
      <w:r w:rsidRPr="0019406C">
        <w:rPr>
          <w:rFonts w:asciiTheme="majorHAnsi" w:hAnsiTheme="majorHAnsi"/>
          <w:lang w:val="lv-LV"/>
        </w:rPr>
        <w:t>Skaidri un precīzi definēt normatīvajos aktos ko, kad un kā pārbauda un saskaņo būvvalde, tādējādi nodrošinot, ka dokumentu iesniedzēji pilnvērtīgi saprot, kāpēc tiek iesniegti konkrēti dokumenti, kā tie tiek pārbaudīti un par ko būvvalde uzņemas atbildību. Tas veicinātu konkurētspēju nozarē, jo mazinātos konfliktsituāciju apjoms un tiktu veicināta kritērija „visaptverošu būvniecības noteikumu esamība” izpilde;</w:t>
      </w:r>
    </w:p>
    <w:p w:rsidR="00FE345F" w:rsidRPr="0019406C" w:rsidRDefault="00FE345F" w:rsidP="002771DE">
      <w:pPr>
        <w:pStyle w:val="BodyText"/>
        <w:numPr>
          <w:ilvl w:val="0"/>
          <w:numId w:val="73"/>
        </w:numPr>
        <w:spacing w:line="276" w:lineRule="auto"/>
        <w:jc w:val="both"/>
        <w:rPr>
          <w:rFonts w:asciiTheme="majorHAnsi" w:hAnsiTheme="majorHAnsi"/>
          <w:lang w:val="lv-LV"/>
        </w:rPr>
      </w:pPr>
      <w:r w:rsidRPr="0019406C">
        <w:rPr>
          <w:rFonts w:asciiTheme="majorHAnsi" w:hAnsiTheme="majorHAnsi"/>
          <w:lang w:val="lv-LV"/>
        </w:rPr>
        <w:t>Pamatojoties uz veiktajām intervijām ar uzņēmējiem, iesakām ne tikai pārskatīt procedūras, bet arī pilnveidot būvkomersantu reģistru, paredzot BIS iespēju pārliecināties par būvkomersantu profesionalitāti, izdalot komersantus, kas sniedz profesionālos pakalpojumus, no tiem, kas ir pārējo pakalpojumu sniedzēji;</w:t>
      </w:r>
    </w:p>
    <w:p w:rsidR="00FE345F" w:rsidRPr="0019406C" w:rsidRDefault="00750F61" w:rsidP="002771DE">
      <w:pPr>
        <w:pStyle w:val="BodyText"/>
        <w:numPr>
          <w:ilvl w:val="0"/>
          <w:numId w:val="73"/>
        </w:numPr>
        <w:spacing w:line="276" w:lineRule="auto"/>
        <w:jc w:val="both"/>
        <w:rPr>
          <w:rFonts w:asciiTheme="majorHAnsi" w:hAnsiTheme="majorHAnsi"/>
          <w:lang w:val="lv-LV"/>
        </w:rPr>
      </w:pPr>
      <w:r w:rsidRPr="0019406C">
        <w:rPr>
          <w:rFonts w:asciiTheme="majorHAnsi" w:hAnsiTheme="majorHAnsi"/>
          <w:lang w:val="lv-LV"/>
        </w:rPr>
        <w:t>Ņemot vērā jaunā Būvniecības likuma redakciju, iesakām skaidrāk definēt Būvniecības likumā un saistošajos normatīvajos aktos būvatļaujas saņemšanas kārtību un atkārtotas būvatļaujas nepieciešamības gadījumus</w:t>
      </w:r>
      <w:r w:rsidR="00FE345F" w:rsidRPr="0019406C">
        <w:rPr>
          <w:rFonts w:asciiTheme="majorHAnsi" w:hAnsiTheme="majorHAnsi"/>
          <w:lang w:val="lv-LV"/>
        </w:rPr>
        <w:t>, uzsverot, ka nepieciešams mazināt atkārtotas būvatļaujas saņemšanas nepieciešamību;</w:t>
      </w:r>
    </w:p>
    <w:p w:rsidR="00750F61" w:rsidRPr="0019406C" w:rsidRDefault="00750F61" w:rsidP="002771DE">
      <w:pPr>
        <w:pStyle w:val="BodyText"/>
        <w:numPr>
          <w:ilvl w:val="0"/>
          <w:numId w:val="73"/>
        </w:numPr>
        <w:spacing w:line="276" w:lineRule="auto"/>
        <w:jc w:val="both"/>
        <w:rPr>
          <w:rFonts w:asciiTheme="majorHAnsi" w:hAnsiTheme="majorHAnsi"/>
          <w:lang w:val="lv-LV"/>
        </w:rPr>
      </w:pPr>
      <w:r w:rsidRPr="0019406C">
        <w:rPr>
          <w:rFonts w:asciiTheme="majorHAnsi" w:hAnsiTheme="majorHAnsi"/>
          <w:lang w:val="lv-LV"/>
        </w:rPr>
        <w:lastRenderedPageBreak/>
        <w:t>Nodrošināt efektīvāku komunikāciju ar nozari par BIS ieviešanu, precīzi parādot, kā BIS pildīs vienas pieturas aģentūras principa ieviešanu būvniecības nozarē un kā nozare to varēs izmantot sava darba optimizācijai. Pretējā gadījumā nozarē nav viennozīmīgas izpratnes, vai un kā valstī tiek plānotas vienas pieturas aģentūras principa ieviešana</w:t>
      </w:r>
      <w:r w:rsidR="00FE345F" w:rsidRPr="0019406C">
        <w:rPr>
          <w:rFonts w:asciiTheme="majorHAnsi" w:hAnsiTheme="majorHAnsi"/>
          <w:lang w:val="lv-LV"/>
        </w:rPr>
        <w:t>.</w:t>
      </w:r>
    </w:p>
    <w:p w:rsidR="003A4A30" w:rsidRPr="0019406C" w:rsidRDefault="003A4A30" w:rsidP="002771DE">
      <w:pPr>
        <w:spacing w:line="276" w:lineRule="auto"/>
        <w:rPr>
          <w:sz w:val="22"/>
          <w:u w:val="single"/>
          <w:lang w:val="lv-LV"/>
        </w:rPr>
      </w:pPr>
      <w:r w:rsidRPr="0019406C">
        <w:rPr>
          <w:sz w:val="22"/>
          <w:u w:val="single"/>
          <w:lang w:val="lv-LV"/>
        </w:rPr>
        <w:t>Nekustamā īpašuma reģistrācija</w:t>
      </w:r>
    </w:p>
    <w:p w:rsidR="00740524" w:rsidRPr="0019406C" w:rsidRDefault="00C63AB7" w:rsidP="002771DE">
      <w:pPr>
        <w:spacing w:line="276" w:lineRule="auto"/>
        <w:jc w:val="both"/>
        <w:rPr>
          <w:rFonts w:asciiTheme="majorHAnsi" w:hAnsiTheme="majorHAnsi"/>
          <w:lang w:val="lv-LV"/>
        </w:rPr>
      </w:pPr>
      <w:r w:rsidRPr="0019406C">
        <w:rPr>
          <w:rFonts w:asciiTheme="majorHAnsi" w:hAnsiTheme="majorHAnsi"/>
          <w:lang w:val="lv-LV"/>
        </w:rPr>
        <w:t xml:space="preserve">Analizējot uzņēmēju aptaujas rezultātus, tika ņemts vērā tas, ka respondentu skaits daudzos jautājumus nebija pietiekams, lai rezultātus varētu vispārināt, tādēļ situācijas analīzei tika izmantoti gan DB pētījums, gan arī ekspertu intervijas. Kopumā ir iespējams secināt, ka, salīdzinot Latviju ar citām valstīm, nekustamā īpašuma reģistrācijas procesā ir vajadzīgas izmaiņas, kas varētu arī nodrošināt augstāku vietu DB pētījumā. </w:t>
      </w:r>
      <w:r w:rsidR="00740524" w:rsidRPr="0019406C">
        <w:rPr>
          <w:rFonts w:asciiTheme="majorHAnsi" w:hAnsiTheme="majorHAnsi"/>
          <w:lang w:val="lv-LV"/>
        </w:rPr>
        <w:t>No DB pētījuma viedokļa, Latvija kopš 2012.</w:t>
      </w:r>
      <w:r w:rsidR="004E48B1" w:rsidRPr="0019406C">
        <w:rPr>
          <w:rFonts w:asciiTheme="majorHAnsi" w:hAnsiTheme="majorHAnsi"/>
          <w:lang w:val="lv-LV"/>
        </w:rPr>
        <w:t xml:space="preserve"> </w:t>
      </w:r>
      <w:r w:rsidR="00740524" w:rsidRPr="0019406C">
        <w:rPr>
          <w:rFonts w:asciiTheme="majorHAnsi" w:hAnsiTheme="majorHAnsi"/>
          <w:lang w:val="lv-LV"/>
        </w:rPr>
        <w:t>gada vidus nav veikusi reformas, lai uzlabotu nekustamā īpašuma reģistrācijas procesu – Latvija ir saņēmusi tādu pašu novērtējuma punktu skaitu, kā iepriekšējā gadā, taču tas nodrošināja zemāku vietu (33.</w:t>
      </w:r>
      <w:r w:rsidR="004E48B1" w:rsidRPr="0019406C">
        <w:rPr>
          <w:rFonts w:asciiTheme="majorHAnsi" w:hAnsiTheme="majorHAnsi"/>
          <w:lang w:val="lv-LV"/>
        </w:rPr>
        <w:t xml:space="preserve"> </w:t>
      </w:r>
      <w:r w:rsidR="00740524" w:rsidRPr="0019406C">
        <w:rPr>
          <w:rFonts w:asciiTheme="majorHAnsi" w:hAnsiTheme="majorHAnsi"/>
          <w:lang w:val="lv-LV"/>
        </w:rPr>
        <w:t>vietu) reitingā. No uzņēmēju aptaujas iespējams secināt, ka šogad kopumā samazinājušās uzņēmēju veiktās nekustamā īpašuma tiesību reģistrācijas procedūras, tomēr vidējais procedūru nokārtošanai patērēto dienu skaits ir pieaudzis.</w:t>
      </w:r>
    </w:p>
    <w:p w:rsidR="00740524" w:rsidRPr="0019406C" w:rsidRDefault="004E48B1" w:rsidP="002771DE">
      <w:pPr>
        <w:pStyle w:val="BodyText"/>
        <w:spacing w:line="276" w:lineRule="auto"/>
        <w:jc w:val="both"/>
        <w:rPr>
          <w:rFonts w:asciiTheme="majorHAnsi" w:hAnsiTheme="majorHAnsi"/>
          <w:lang w:val="lv-LV"/>
        </w:rPr>
      </w:pPr>
      <w:r w:rsidRPr="0019406C">
        <w:rPr>
          <w:rFonts w:asciiTheme="majorHAnsi" w:hAnsiTheme="majorHAnsi"/>
          <w:lang w:val="lv-LV"/>
        </w:rPr>
        <w:t>Situācijas analīzes un ekspertu diskusijas rezultātā š</w:t>
      </w:r>
      <w:r w:rsidR="00740524" w:rsidRPr="0019406C">
        <w:rPr>
          <w:rFonts w:asciiTheme="majorHAnsi" w:hAnsiTheme="majorHAnsi"/>
          <w:lang w:val="lv-LV"/>
        </w:rPr>
        <w:t xml:space="preserve">ajā jomā </w:t>
      </w:r>
      <w:r w:rsidRPr="0019406C">
        <w:rPr>
          <w:rFonts w:asciiTheme="majorHAnsi" w:hAnsiTheme="majorHAnsi"/>
          <w:lang w:val="lv-LV"/>
        </w:rPr>
        <w:t xml:space="preserve">tiek izvirzīts </w:t>
      </w:r>
      <w:r w:rsidR="0072729F" w:rsidRPr="0019406C">
        <w:rPr>
          <w:rFonts w:asciiTheme="majorHAnsi" w:hAnsiTheme="majorHAnsi"/>
          <w:lang w:val="lv-LV"/>
        </w:rPr>
        <w:t>sekojošs</w:t>
      </w:r>
      <w:r w:rsidRPr="0019406C">
        <w:rPr>
          <w:rFonts w:asciiTheme="majorHAnsi" w:hAnsiTheme="majorHAnsi"/>
          <w:lang w:val="lv-LV"/>
        </w:rPr>
        <w:t xml:space="preserve"> ieteikums</w:t>
      </w:r>
      <w:r w:rsidR="00740524" w:rsidRPr="0019406C">
        <w:rPr>
          <w:rFonts w:asciiTheme="majorHAnsi" w:hAnsiTheme="majorHAnsi"/>
          <w:lang w:val="lv-LV"/>
        </w:rPr>
        <w:t>:</w:t>
      </w:r>
      <w:r w:rsidRPr="0019406C">
        <w:rPr>
          <w:rFonts w:asciiTheme="majorHAnsi" w:hAnsiTheme="majorHAnsi"/>
          <w:lang w:val="lv-LV"/>
        </w:rPr>
        <w:t xml:space="preserve"> </w:t>
      </w:r>
      <w:r w:rsidRPr="0019406C">
        <w:rPr>
          <w:rFonts w:asciiTheme="majorHAnsi" w:eastAsia="Cambria" w:hAnsiTheme="majorHAnsi" w:cs="Times New Roman"/>
          <w:lang w:val="lv-LV"/>
        </w:rPr>
        <w:t>Teritoriju plānojumu papildināšana, norādot objektus uz kuriem pašvaldība varētu izmantot pirmpirkuma tiesības. Minētais ieteikums ir balstīts uz pašvaldību izstrādāto teritoriju plānojumu papildināšanu ar potenciālajiem pirmpirkuma objektiem, tādējādi dodot iespēju atsevišķos gadījumos izlaist saskaņošanas procesu par pašvaldības pirmpirkuma tiesību izmantošanu un tādējādi saīsināt nekustamā īpašuma reģistrācijai nepieciešamo laiku.</w:t>
      </w:r>
    </w:p>
    <w:p w:rsidR="003A4A30" w:rsidRPr="0019406C" w:rsidRDefault="003A4A30" w:rsidP="002771DE">
      <w:pPr>
        <w:spacing w:line="276" w:lineRule="auto"/>
        <w:rPr>
          <w:sz w:val="22"/>
          <w:u w:val="single"/>
          <w:lang w:val="lv-LV"/>
        </w:rPr>
      </w:pPr>
      <w:r w:rsidRPr="0019406C">
        <w:rPr>
          <w:sz w:val="22"/>
          <w:u w:val="single"/>
          <w:lang w:val="lv-LV"/>
        </w:rPr>
        <w:t>Nodokļu administrēšana</w:t>
      </w:r>
    </w:p>
    <w:p w:rsidR="00722452" w:rsidRPr="0019406C" w:rsidRDefault="00722452" w:rsidP="002771DE">
      <w:pPr>
        <w:pStyle w:val="BodyText"/>
        <w:spacing w:line="276" w:lineRule="auto"/>
        <w:jc w:val="both"/>
        <w:rPr>
          <w:rFonts w:asciiTheme="majorHAnsi" w:hAnsiTheme="majorHAnsi"/>
          <w:lang w:val="lv-LV"/>
        </w:rPr>
      </w:pPr>
      <w:r w:rsidRPr="0019406C">
        <w:rPr>
          <w:rFonts w:asciiTheme="majorHAnsi" w:hAnsiTheme="majorHAnsi"/>
          <w:lang w:val="lv-LV"/>
        </w:rPr>
        <w:t>Uzņēmēju aptaujas rezultāti liek secināt, ka lielākos uzņēmējdarbības šķēršļus uzņēmējiem sagādā tieši nodokļu likmes, kā arī nodokļu noteikumu mainība un neskaidrība. Tā kā nodokļi ir būtiski pilnīgi visiem uzņēmumiem, tad šāds vērtējums nav uzskatāms par pārsteidzošu, tomēr, ja salīdzina objektīvi ar citām valstīm, kas minētas DB pētījumā (</w:t>
      </w:r>
      <w:proofErr w:type="spellStart"/>
      <w:r w:rsidRPr="0019406C">
        <w:rPr>
          <w:rFonts w:asciiTheme="majorHAnsi" w:hAnsiTheme="majorHAnsi"/>
          <w:lang w:val="lv-LV"/>
        </w:rPr>
        <w:t>t.sk</w:t>
      </w:r>
      <w:proofErr w:type="spellEnd"/>
      <w:r w:rsidRPr="0019406C">
        <w:rPr>
          <w:rFonts w:asciiTheme="majorHAnsi" w:hAnsiTheme="majorHAnsi"/>
          <w:lang w:val="lv-LV"/>
        </w:rPr>
        <w:t>., ar Igauniju un Lietuvu), var secināt, ka nodokļu likmes nav augst</w:t>
      </w:r>
      <w:r w:rsidR="00F96AEC" w:rsidRPr="0019406C">
        <w:rPr>
          <w:rFonts w:asciiTheme="majorHAnsi" w:hAnsiTheme="majorHAnsi"/>
          <w:lang w:val="lv-LV"/>
        </w:rPr>
        <w:t>ākās</w:t>
      </w:r>
      <w:r w:rsidRPr="0019406C">
        <w:rPr>
          <w:rFonts w:asciiTheme="majorHAnsi" w:hAnsiTheme="majorHAnsi"/>
          <w:lang w:val="lv-LV"/>
        </w:rPr>
        <w:t>.</w:t>
      </w:r>
    </w:p>
    <w:p w:rsidR="003A4A30" w:rsidRPr="0019406C" w:rsidRDefault="003A4A30" w:rsidP="002771DE">
      <w:pPr>
        <w:pStyle w:val="BodyText"/>
        <w:spacing w:line="276" w:lineRule="auto"/>
        <w:jc w:val="both"/>
        <w:rPr>
          <w:rFonts w:asciiTheme="majorHAnsi" w:hAnsiTheme="majorHAnsi"/>
          <w:lang w:val="lv-LV"/>
        </w:rPr>
      </w:pPr>
      <w:r w:rsidRPr="0019406C">
        <w:rPr>
          <w:rFonts w:asciiTheme="majorHAnsi" w:hAnsiTheme="majorHAnsi"/>
          <w:lang w:val="lv-LV"/>
        </w:rPr>
        <w:t>DB pētījuma rezultāti norādīja, ka lielākos šķēršļus uzņēmējdarbībai rada tieši nodokļu administrēšanā patērētais laiks. Tas ir ilgāks kā Lietuvā un Igaunijā par vairāk kā divām reizēm. Savukārt, nodokļu likmes tika novērtētas kā salīdzinoši konkurētspējīgas.</w:t>
      </w:r>
    </w:p>
    <w:p w:rsidR="003A4A30" w:rsidRPr="0019406C" w:rsidRDefault="003A4A30" w:rsidP="002771DE">
      <w:pPr>
        <w:pStyle w:val="BodyText"/>
        <w:spacing w:line="276" w:lineRule="auto"/>
        <w:jc w:val="both"/>
        <w:rPr>
          <w:rFonts w:asciiTheme="majorHAnsi" w:hAnsiTheme="majorHAnsi"/>
          <w:lang w:val="lv-LV"/>
        </w:rPr>
      </w:pPr>
      <w:r w:rsidRPr="0019406C">
        <w:rPr>
          <w:rFonts w:asciiTheme="majorHAnsi" w:hAnsiTheme="majorHAnsi"/>
          <w:lang w:val="lv-LV"/>
        </w:rPr>
        <w:t>Attiecībā uz problēmām, kas saistītas ar nodokļu nomaksu, jāsecina, ka šādi administratīvi faktori rada uzņēmumiem šķēršļus: informācijas pieejamība par nodokļu likumiem un noteikumiem un to piemērošanu, likumu un noteikumu izmaiņu biežums vai nenoteiktība. Tas varētu būt iemesls piespriestajām soda naudām, ko arī uzņēmēji norāda kā b</w:t>
      </w:r>
      <w:r w:rsidR="0075598F" w:rsidRPr="0019406C">
        <w:rPr>
          <w:rFonts w:asciiTheme="majorHAnsi" w:hAnsiTheme="majorHAnsi"/>
          <w:lang w:val="lv-LV"/>
        </w:rPr>
        <w:t xml:space="preserve">ūtisku šķērsli uzņēmējdarbībai. </w:t>
      </w:r>
      <w:r w:rsidRPr="0019406C">
        <w:rPr>
          <w:rFonts w:asciiTheme="majorHAnsi" w:hAnsiTheme="majorHAnsi"/>
          <w:lang w:val="lv-LV"/>
        </w:rPr>
        <w:t xml:space="preserve">Atsevišķi jāmin arī statistikas datu iesniegšanai patērētais laiks, </w:t>
      </w:r>
      <w:r w:rsidR="0075598F" w:rsidRPr="0019406C">
        <w:rPr>
          <w:rFonts w:asciiTheme="majorHAnsi" w:hAnsiTheme="majorHAnsi"/>
          <w:lang w:val="lv-LV"/>
        </w:rPr>
        <w:t>par kuru arī norāda aptaujas dalībnieki.</w:t>
      </w:r>
    </w:p>
    <w:p w:rsidR="000D20E8" w:rsidRPr="0019406C" w:rsidRDefault="000D20E8" w:rsidP="002771DE">
      <w:pPr>
        <w:pStyle w:val="BodyText"/>
        <w:spacing w:line="276" w:lineRule="auto"/>
        <w:jc w:val="both"/>
        <w:rPr>
          <w:rFonts w:asciiTheme="majorHAnsi" w:hAnsiTheme="majorHAnsi"/>
          <w:lang w:val="lv-LV"/>
        </w:rPr>
      </w:pPr>
      <w:r w:rsidRPr="0019406C">
        <w:rPr>
          <w:rFonts w:asciiTheme="majorHAnsi" w:hAnsiTheme="majorHAnsi"/>
          <w:lang w:val="lv-LV"/>
        </w:rPr>
        <w:t xml:space="preserve">Nodokļu administrēšanas jomā tiek saskatīti vairāki potenciālie uzlabojumi, taču ekspertu diskusiju rezultātā iekļaušanai </w:t>
      </w:r>
      <w:r w:rsidR="00B916FF" w:rsidRPr="0019406C">
        <w:rPr>
          <w:rFonts w:asciiTheme="majorHAnsi" w:hAnsiTheme="majorHAnsi"/>
          <w:lang w:val="lv-LV"/>
        </w:rPr>
        <w:t>U</w:t>
      </w:r>
      <w:r w:rsidRPr="0019406C">
        <w:rPr>
          <w:rFonts w:asciiTheme="majorHAnsi" w:hAnsiTheme="majorHAnsi"/>
          <w:lang w:val="lv-LV"/>
        </w:rPr>
        <w:t>zņēmējdarbības vides uzlabošanas pasākumu plānā tiek virzīts viens priekšlikums: informēšana par neiesniegtajām atskaitēm VID, kas saistās ar labākas komunikācijas veidošanu starp VID un uzņēmējiem.</w:t>
      </w:r>
    </w:p>
    <w:p w:rsidR="003A4A30" w:rsidRPr="0019406C" w:rsidRDefault="003A4A30" w:rsidP="002771DE">
      <w:pPr>
        <w:spacing w:line="276" w:lineRule="auto"/>
        <w:rPr>
          <w:sz w:val="22"/>
          <w:u w:val="single"/>
          <w:lang w:val="lv-LV"/>
        </w:rPr>
      </w:pPr>
      <w:r w:rsidRPr="0019406C">
        <w:rPr>
          <w:sz w:val="22"/>
          <w:u w:val="single"/>
          <w:lang w:val="lv-LV"/>
        </w:rPr>
        <w:t>Uzņēmējdarbības izbeigšana</w:t>
      </w:r>
    </w:p>
    <w:p w:rsidR="003A4A30" w:rsidRPr="0019406C" w:rsidRDefault="003A4A30" w:rsidP="002771DE">
      <w:pPr>
        <w:pStyle w:val="BodyText"/>
        <w:spacing w:line="276" w:lineRule="auto"/>
        <w:jc w:val="both"/>
        <w:rPr>
          <w:rFonts w:asciiTheme="majorHAnsi" w:hAnsiTheme="majorHAnsi"/>
          <w:lang w:val="lv-LV"/>
        </w:rPr>
      </w:pPr>
      <w:r w:rsidRPr="0019406C">
        <w:rPr>
          <w:rFonts w:asciiTheme="majorHAnsi" w:hAnsiTheme="majorHAnsi"/>
          <w:lang w:val="lv-LV"/>
        </w:rPr>
        <w:t>DB pētījuma rezultāti norāda, ka uzņēmējdarbības izbeigšana, ko DB vērtē pēc četriem kritērijiem - nepieciešamais laiks, izmaksas, iznākums un ieguldījuma atgūtā daļa, ir 43.</w:t>
      </w:r>
      <w:r w:rsidR="00BE234E" w:rsidRPr="0019406C">
        <w:rPr>
          <w:rFonts w:asciiTheme="majorHAnsi" w:hAnsiTheme="majorHAnsi"/>
          <w:lang w:val="lv-LV"/>
        </w:rPr>
        <w:t xml:space="preserve"> </w:t>
      </w:r>
      <w:r w:rsidRPr="0019406C">
        <w:rPr>
          <w:rFonts w:asciiTheme="majorHAnsi" w:hAnsiTheme="majorHAnsi"/>
          <w:lang w:val="lv-LV"/>
        </w:rPr>
        <w:t xml:space="preserve">vietā. Salīdzinot ar OECD un Eiropas un </w:t>
      </w:r>
      <w:proofErr w:type="spellStart"/>
      <w:r w:rsidRPr="0019406C">
        <w:rPr>
          <w:rFonts w:asciiTheme="majorHAnsi" w:hAnsiTheme="majorHAnsi"/>
          <w:lang w:val="lv-LV"/>
        </w:rPr>
        <w:t>Centrālāzijas</w:t>
      </w:r>
      <w:proofErr w:type="spellEnd"/>
      <w:r w:rsidRPr="0019406C">
        <w:rPr>
          <w:rFonts w:asciiTheme="majorHAnsi" w:hAnsiTheme="majorHAnsi"/>
          <w:lang w:val="lv-LV"/>
        </w:rPr>
        <w:t xml:space="preserve"> vidējiem rādītājiem tie kritēriji, kuriem būtu jāpievērš uzmanība to uzlabošanā, ir uzņēmējdarbības izbeigšanas iznākums un ieguldījuma atgūtā daļa. Latvijā maksātnespējas procesa iznākums ir uzņēmuma mantas pārdošana nevis uzņēmuma darbības turpināšanās. Savukārt, ieguldījuma atgūtā daļa ir </w:t>
      </w:r>
      <w:r w:rsidRPr="0019406C">
        <w:rPr>
          <w:rFonts w:asciiTheme="majorHAnsi" w:hAnsiTheme="majorHAnsi"/>
          <w:lang w:val="lv-LV"/>
        </w:rPr>
        <w:lastRenderedPageBreak/>
        <w:t>48</w:t>
      </w:r>
      <w:r w:rsidR="00BE234E" w:rsidRPr="0019406C">
        <w:rPr>
          <w:rFonts w:asciiTheme="majorHAnsi" w:hAnsiTheme="majorHAnsi"/>
          <w:lang w:val="lv-LV"/>
        </w:rPr>
        <w:t>,</w:t>
      </w:r>
      <w:r w:rsidRPr="0019406C">
        <w:rPr>
          <w:rFonts w:asciiTheme="majorHAnsi" w:hAnsiTheme="majorHAnsi"/>
          <w:lang w:val="lv-LV"/>
        </w:rPr>
        <w:t>4% no ieguldījuma apjoma, tādēļ šie ir vieni no būtiskākajiem jautājumiem, kā panākt kreditoru atgūtās daļas palielināšanos vai uzņēmuma darbības turpināšanos.</w:t>
      </w:r>
    </w:p>
    <w:p w:rsidR="003A4A30" w:rsidRPr="0019406C" w:rsidRDefault="003A4A30" w:rsidP="002771DE">
      <w:pPr>
        <w:pStyle w:val="BodyText"/>
        <w:spacing w:line="276" w:lineRule="auto"/>
        <w:jc w:val="both"/>
        <w:rPr>
          <w:rFonts w:asciiTheme="majorHAnsi" w:hAnsiTheme="majorHAnsi"/>
          <w:lang w:val="lv-LV"/>
        </w:rPr>
      </w:pPr>
      <w:r w:rsidRPr="0019406C">
        <w:rPr>
          <w:rFonts w:asciiTheme="majorHAnsi" w:hAnsiTheme="majorHAnsi"/>
          <w:lang w:val="lv-LV"/>
        </w:rPr>
        <w:t xml:space="preserve">Uzņēmēju aptaujas dati, ņemot vērā nelielo respondentu skaitu, kas saskārušies ar maksātnespējas un tiesiskās aizsardzības jautājumiem, nav attiecināmi uz visu izlases kopu, kas apliecina, ka šie nav procesi, ar kuriem saskaras daudzi uzņēmēji. Neskatoties uz to, no esošajiem respondentiem saņemtā informācija apliecina, vērtējums par atsevišķām šo procesu sastāvdaļām ir zemāks par vidējo. </w:t>
      </w:r>
      <w:r w:rsidR="0072729F" w:rsidRPr="0019406C">
        <w:rPr>
          <w:rFonts w:asciiTheme="majorHAnsi" w:hAnsiTheme="majorHAnsi"/>
          <w:lang w:val="lv-LV"/>
        </w:rPr>
        <w:t>Respondentu</w:t>
      </w:r>
      <w:r w:rsidRPr="0019406C">
        <w:rPr>
          <w:rFonts w:asciiTheme="majorHAnsi" w:hAnsiTheme="majorHAnsi"/>
          <w:lang w:val="lv-LV"/>
        </w:rPr>
        <w:t xml:space="preserve"> vērtējumā atgūtā ieguldījuma daļa aptuveni sakrīt arī ar DB pētījumā norādīto informāciju, kas nozīmē, ka tikai puse no ieguldītā apjoma tiek atgūta. Šis ir viens no būtiskākajiem jautājumiem, kam būtu jāpievērš uzmanība. </w:t>
      </w:r>
    </w:p>
    <w:p w:rsidR="003A4A30" w:rsidRPr="0019406C" w:rsidRDefault="003A4A30" w:rsidP="002771DE">
      <w:pPr>
        <w:pStyle w:val="BodyText"/>
        <w:spacing w:line="276" w:lineRule="auto"/>
        <w:jc w:val="both"/>
        <w:rPr>
          <w:rFonts w:asciiTheme="majorHAnsi" w:hAnsiTheme="majorHAnsi"/>
          <w:lang w:val="lv-LV"/>
        </w:rPr>
      </w:pPr>
      <w:r w:rsidRPr="0019406C">
        <w:rPr>
          <w:rFonts w:asciiTheme="majorHAnsi" w:hAnsiTheme="majorHAnsi"/>
          <w:lang w:val="lv-LV"/>
        </w:rPr>
        <w:t>Šobrīd esošā Maksātnespējas likuma redakcija paredz, ka par maksātnespējas administratoru var kļūt persona, ka sasniegusi 25 gadu vecumu, ieguvusi juridisko izglītību un pieredzi jurisprudencē un prot valsts valodu.</w:t>
      </w:r>
    </w:p>
    <w:p w:rsidR="003A4A30" w:rsidRPr="0019406C" w:rsidRDefault="003A4A30" w:rsidP="002771DE">
      <w:pPr>
        <w:pStyle w:val="BodyText"/>
        <w:spacing w:line="276" w:lineRule="auto"/>
        <w:jc w:val="both"/>
        <w:rPr>
          <w:rFonts w:asciiTheme="majorHAnsi" w:hAnsiTheme="majorHAnsi"/>
          <w:lang w:val="lv-LV"/>
        </w:rPr>
      </w:pPr>
      <w:r w:rsidRPr="0019406C">
        <w:rPr>
          <w:rFonts w:asciiTheme="majorHAnsi" w:hAnsiTheme="majorHAnsi"/>
          <w:lang w:val="lv-LV"/>
        </w:rPr>
        <w:t>Ņemot vērā, ka administrators principā veic uzņēmuma vadības funkcijas maksātnespējas laikā būtu jāizvērtē, vai jurista kvalifikācija ir atbilstošākā prasība, lai nodrošinātu kreditoru prasījumu apmierināšanu maksimālā apmērā.</w:t>
      </w:r>
    </w:p>
    <w:p w:rsidR="003A4A30" w:rsidRPr="0019406C" w:rsidRDefault="003A4A30" w:rsidP="002771DE">
      <w:pPr>
        <w:pStyle w:val="BodyText"/>
        <w:spacing w:line="276" w:lineRule="auto"/>
        <w:jc w:val="both"/>
        <w:rPr>
          <w:rFonts w:asciiTheme="majorHAnsi" w:hAnsiTheme="majorHAnsi"/>
          <w:lang w:val="lv-LV"/>
        </w:rPr>
      </w:pPr>
      <w:r w:rsidRPr="0019406C">
        <w:rPr>
          <w:rFonts w:asciiTheme="majorHAnsi" w:hAnsiTheme="majorHAnsi"/>
          <w:lang w:val="lv-LV"/>
        </w:rPr>
        <w:t>Šobrīd Saeimā ir iesniegti grozījumi Maksātnespējas likumā, kā arī jāņem vērā, ka pēdējos gados bijuši vairāki grozījumu šajā likumā, tādēļ jāsecina, ka DB indekss un visdrīzāk arī aptaujas rezultāti neatspoguļo aktuālo situāciju un uzņēmēju viedokli novērtējumu par jaunāko Maksātnespējas likuma versiju. Tā kā pēdējie grozījumi un priekšlikumi neskar administratora kvalifikācijas un atbildības izvērtēšanu, tad būtu jāveic pasākumi, kas paaugstinātu kreditoriem atgūstamā ieguldījuma daļu.</w:t>
      </w:r>
    </w:p>
    <w:p w:rsidR="003A4A30" w:rsidRPr="0019406C" w:rsidRDefault="003A4A30" w:rsidP="002771DE">
      <w:pPr>
        <w:pStyle w:val="BodyText"/>
        <w:spacing w:line="276" w:lineRule="auto"/>
        <w:jc w:val="both"/>
        <w:rPr>
          <w:rFonts w:asciiTheme="majorHAnsi" w:hAnsiTheme="majorHAnsi"/>
          <w:lang w:val="lv-LV"/>
        </w:rPr>
      </w:pPr>
      <w:r w:rsidRPr="0019406C">
        <w:rPr>
          <w:rFonts w:asciiTheme="majorHAnsi" w:hAnsiTheme="majorHAnsi"/>
          <w:lang w:val="lv-LV"/>
        </w:rPr>
        <w:t>No uzņēmējdarbības izbeigšanas procesu analīzes izvirzām sekojošas galvenās ieteikumu kategorijas:</w:t>
      </w:r>
    </w:p>
    <w:p w:rsidR="007E2252" w:rsidRPr="0019406C" w:rsidRDefault="007E2252" w:rsidP="002771DE">
      <w:pPr>
        <w:pStyle w:val="BodyText"/>
        <w:numPr>
          <w:ilvl w:val="0"/>
          <w:numId w:val="61"/>
        </w:numPr>
        <w:spacing w:line="276" w:lineRule="auto"/>
        <w:ind w:left="360"/>
        <w:jc w:val="both"/>
        <w:rPr>
          <w:rFonts w:asciiTheme="majorHAnsi" w:hAnsiTheme="majorHAnsi"/>
          <w:lang w:val="lv-LV"/>
        </w:rPr>
      </w:pPr>
      <w:r w:rsidRPr="0019406C">
        <w:rPr>
          <w:rFonts w:asciiTheme="majorHAnsi" w:hAnsiTheme="majorHAnsi"/>
          <w:lang w:val="lv-LV"/>
        </w:rPr>
        <w:t>Izvērtēt maksātnespējas administratoru kvalifikācijas prasības un licencēšanu</w:t>
      </w:r>
    </w:p>
    <w:p w:rsidR="007E2252" w:rsidRPr="0019406C" w:rsidRDefault="007E2252" w:rsidP="002771DE">
      <w:pPr>
        <w:pStyle w:val="BodyText"/>
        <w:spacing w:line="276" w:lineRule="auto"/>
        <w:ind w:left="360"/>
        <w:jc w:val="both"/>
        <w:rPr>
          <w:rFonts w:asciiTheme="majorHAnsi" w:hAnsiTheme="majorHAnsi"/>
          <w:lang w:val="lv-LV"/>
        </w:rPr>
      </w:pPr>
      <w:r w:rsidRPr="0019406C">
        <w:rPr>
          <w:rFonts w:asciiTheme="majorHAnsi" w:hAnsiTheme="majorHAnsi"/>
          <w:lang w:val="lv-LV"/>
        </w:rPr>
        <w:t>Ņemot vērā, ka Maksātnespējas likuma mērķis ir atgūt maksātnespējā nonākušu uzņēmumu kreditoriem pēc iespējas maksimālu ieguldītā finansējuma daļu, tad jāizvērtē, vai šobrīd noteiktās administratoru licencēšanas prasības ir pietiekošas, lai administrators spētu orientēties ne tik daudz uz procesa juridisko pusi, bet tieši uz finansiālo pusi. Jāizvērtē, vai atbilstoša ir norma, ka administratoram ir likumā noteikta prasība būt ar juridisko izglītību, kā arī, jāizvērtē, vai tiek dota iespēja kreditoriem par administratoru izvēlēties profesionāļus, kas nav licencēti Latvijā. Likumdošanas normu izmaiņas par labu finanšu sfēras profesionāļiem kopā ar citiem ierosinājumiem veicinātu procesa ātrāku norisi un augstāku atgūstamā ieguldījuma apjomu, kā arī uzņēmuma atgriešanu biznesā (ja tas rada kreditoriem augstāku vērtību).</w:t>
      </w:r>
    </w:p>
    <w:p w:rsidR="007E2252" w:rsidRPr="0019406C" w:rsidRDefault="007E2252" w:rsidP="002771DE">
      <w:pPr>
        <w:pStyle w:val="BodyText"/>
        <w:numPr>
          <w:ilvl w:val="0"/>
          <w:numId w:val="61"/>
        </w:numPr>
        <w:spacing w:line="276" w:lineRule="auto"/>
        <w:ind w:left="360"/>
        <w:jc w:val="both"/>
        <w:rPr>
          <w:rFonts w:asciiTheme="majorHAnsi" w:hAnsiTheme="majorHAnsi"/>
          <w:lang w:val="lv-LV"/>
        </w:rPr>
      </w:pPr>
      <w:r w:rsidRPr="0019406C">
        <w:rPr>
          <w:rFonts w:asciiTheme="majorHAnsi" w:hAnsiTheme="majorHAnsi"/>
          <w:lang w:val="lv-LV"/>
        </w:rPr>
        <w:t>Izvērtēt maksātnespējas administratora atbildības palielināšanas iespējas</w:t>
      </w:r>
    </w:p>
    <w:p w:rsidR="007E2252" w:rsidRPr="0019406C" w:rsidRDefault="007E2252" w:rsidP="002771DE">
      <w:pPr>
        <w:pStyle w:val="BodyText"/>
        <w:spacing w:line="276" w:lineRule="auto"/>
        <w:ind w:left="360"/>
        <w:jc w:val="both"/>
        <w:rPr>
          <w:rFonts w:asciiTheme="majorHAnsi" w:hAnsiTheme="majorHAnsi"/>
          <w:lang w:val="lv-LV"/>
        </w:rPr>
      </w:pPr>
      <w:r w:rsidRPr="0019406C">
        <w:rPr>
          <w:rFonts w:asciiTheme="majorHAnsi" w:hAnsiTheme="majorHAnsi"/>
          <w:lang w:val="lv-LV"/>
        </w:rPr>
        <w:t>Lai samazinātu uzņēmējdarbības izbeigšanas procesiem veltīto laiku, kā arī, lai palielinātu investoriem iespējamo atgūstamo ieguldījumu apjomu jāpalielina maksātnespējas administratora tiesības pieņemt lēmumu atbilstoši kreditoru interesēm, negaidot saskaņojumu ar tiesu un nepildot tiesai nepieciešamas prasības. Tādējādi tiktu paātrināts maksātnespējas process, rodot iespēju administratoram ātrāk veikt darbības, kas nepieciešamas, piemēram, uzņēmuma pārdošanai.</w:t>
      </w:r>
    </w:p>
    <w:p w:rsidR="003A4A30" w:rsidRPr="0019406C" w:rsidRDefault="003A4A30" w:rsidP="002771DE">
      <w:pPr>
        <w:spacing w:line="276" w:lineRule="auto"/>
        <w:rPr>
          <w:sz w:val="22"/>
          <w:u w:val="single"/>
          <w:lang w:val="lv-LV"/>
        </w:rPr>
      </w:pPr>
      <w:r w:rsidRPr="0019406C">
        <w:rPr>
          <w:sz w:val="22"/>
          <w:u w:val="single"/>
          <w:lang w:val="lv-LV"/>
        </w:rPr>
        <w:t>E-pakalpojumu pieejamība uzņēmējiem valsts un pašvaldību iestādēs</w:t>
      </w:r>
    </w:p>
    <w:p w:rsidR="00F96AEC" w:rsidRPr="0019406C" w:rsidRDefault="00F96AEC" w:rsidP="002771DE">
      <w:pPr>
        <w:pStyle w:val="BodyText"/>
        <w:spacing w:line="276" w:lineRule="auto"/>
        <w:jc w:val="both"/>
        <w:rPr>
          <w:rFonts w:asciiTheme="majorHAnsi" w:hAnsiTheme="majorHAnsi"/>
          <w:lang w:val="lv-LV"/>
        </w:rPr>
      </w:pPr>
      <w:r w:rsidRPr="0019406C">
        <w:rPr>
          <w:rFonts w:asciiTheme="majorHAnsi" w:hAnsiTheme="majorHAnsi"/>
          <w:lang w:val="lv-LV"/>
        </w:rPr>
        <w:t>E-pakalpojumu pieejamība nav apskatīta atsevišķi DB un GKI pētījumos, tomēr šī tēma tiek apskatīta visos DB pētījuma punktos, jo e-pakalpojuma pieejamība ir nozīmīgs rādītājs procesa efektivitātē un uzņēmējdarbības atvieglošanā valstī. Būtiski minēt, ka šajā pētījumā e-pakalpojuma termins nav mainīts kopš 2001.</w:t>
      </w:r>
      <w:r w:rsidR="00BE234E" w:rsidRPr="0019406C">
        <w:rPr>
          <w:rFonts w:asciiTheme="majorHAnsi" w:hAnsiTheme="majorHAnsi"/>
          <w:lang w:val="lv-LV"/>
        </w:rPr>
        <w:t xml:space="preserve"> </w:t>
      </w:r>
      <w:r w:rsidRPr="0019406C">
        <w:rPr>
          <w:rFonts w:asciiTheme="majorHAnsi" w:hAnsiTheme="majorHAnsi"/>
          <w:lang w:val="lv-LV"/>
        </w:rPr>
        <w:t xml:space="preserve">gada izstrādātās metodoloģijas – </w:t>
      </w:r>
      <w:proofErr w:type="spellStart"/>
      <w:r w:rsidRPr="0019406C">
        <w:rPr>
          <w:rFonts w:asciiTheme="majorHAnsi" w:hAnsiTheme="majorHAnsi"/>
          <w:lang w:val="lv-LV"/>
        </w:rPr>
        <w:t>t.i</w:t>
      </w:r>
      <w:proofErr w:type="spellEnd"/>
      <w:r w:rsidRPr="0019406C">
        <w:rPr>
          <w:rFonts w:asciiTheme="majorHAnsi" w:hAnsiTheme="majorHAnsi"/>
          <w:lang w:val="lv-LV"/>
        </w:rPr>
        <w:t xml:space="preserve">., pētījuma ietvaros ar e-pakalpojumiem tiek definēta elektroniskas vides izmantošana saziņai ar publisko sektoru, e-paraksta izmantošana, informācijas meklēšana elektroniski </w:t>
      </w:r>
      <w:proofErr w:type="spellStart"/>
      <w:r w:rsidRPr="0019406C">
        <w:rPr>
          <w:rFonts w:asciiTheme="majorHAnsi" w:hAnsiTheme="majorHAnsi"/>
          <w:lang w:val="lv-LV"/>
        </w:rPr>
        <w:t>utt</w:t>
      </w:r>
      <w:proofErr w:type="spellEnd"/>
      <w:r w:rsidRPr="0019406C">
        <w:rPr>
          <w:rFonts w:asciiTheme="majorHAnsi" w:hAnsiTheme="majorHAnsi"/>
          <w:lang w:val="lv-LV"/>
        </w:rPr>
        <w:t>.</w:t>
      </w:r>
    </w:p>
    <w:p w:rsidR="00F96AEC" w:rsidRPr="0019406C" w:rsidRDefault="00F96AEC" w:rsidP="002771DE">
      <w:pPr>
        <w:pStyle w:val="BodyText"/>
        <w:spacing w:line="276" w:lineRule="auto"/>
        <w:jc w:val="both"/>
        <w:rPr>
          <w:rFonts w:asciiTheme="majorHAnsi" w:hAnsiTheme="majorHAnsi"/>
          <w:lang w:val="lv-LV"/>
        </w:rPr>
      </w:pPr>
      <w:r w:rsidRPr="0019406C">
        <w:rPr>
          <w:rFonts w:asciiTheme="majorHAnsi" w:hAnsiTheme="majorHAnsi"/>
          <w:lang w:val="lv-LV"/>
        </w:rPr>
        <w:lastRenderedPageBreak/>
        <w:t xml:space="preserve">No uzņēmēju aptaujas var secināt, ka uzņēmēji ir informēti par e-parakstu, tā veidiem un pielietojamību, taču to neizmanto jo, galvenokārt, nesaskata tam vērtību vai uzskata, ka pagaidām nav pietiekamu pakalpojumu izmantošanas iespēju. Tāpat e-pakalpojumu izmantošana Latvijā </w:t>
      </w:r>
      <w:r w:rsidR="0072729F" w:rsidRPr="0019406C">
        <w:rPr>
          <w:rFonts w:asciiTheme="majorHAnsi" w:hAnsiTheme="majorHAnsi"/>
          <w:lang w:val="lv-LV"/>
        </w:rPr>
        <w:t>vēl joprojām</w:t>
      </w:r>
      <w:r w:rsidRPr="0019406C">
        <w:rPr>
          <w:rFonts w:asciiTheme="majorHAnsi" w:hAnsiTheme="majorHAnsi"/>
          <w:lang w:val="lv-LV"/>
        </w:rPr>
        <w:t xml:space="preserve"> ir zemā līmenī.</w:t>
      </w:r>
    </w:p>
    <w:p w:rsidR="00F96AEC" w:rsidRPr="0019406C" w:rsidRDefault="00F96AEC" w:rsidP="002771DE">
      <w:pPr>
        <w:pStyle w:val="BodyText"/>
        <w:spacing w:line="276" w:lineRule="auto"/>
        <w:jc w:val="both"/>
        <w:rPr>
          <w:lang w:val="lv-LV"/>
        </w:rPr>
      </w:pPr>
      <w:r w:rsidRPr="0019406C">
        <w:rPr>
          <w:rFonts w:asciiTheme="majorHAnsi" w:hAnsiTheme="majorHAnsi"/>
          <w:lang w:val="lv-LV"/>
        </w:rPr>
        <w:t>No aptaujas rezultātiem un ekspertu diskusijā pārspriestā, problēmas risināšanai tiek izvirzīts sekojošs priekšlikums: vienota un droša e-paraksta lietošana pašvaldību un valsts iestāžu sniegtajos pakalpojumos</w:t>
      </w:r>
      <w:r w:rsidRPr="0019406C">
        <w:rPr>
          <w:lang w:val="lv-LV"/>
        </w:rPr>
        <w:t xml:space="preserve">. </w:t>
      </w:r>
    </w:p>
    <w:p w:rsidR="00F96AEC" w:rsidRPr="0019406C" w:rsidRDefault="00F96AEC" w:rsidP="002771DE">
      <w:pPr>
        <w:pStyle w:val="BodyText"/>
        <w:spacing w:line="276" w:lineRule="auto"/>
        <w:jc w:val="both"/>
        <w:rPr>
          <w:lang w:val="lv-LV"/>
        </w:rPr>
      </w:pPr>
      <w:r w:rsidRPr="0019406C">
        <w:rPr>
          <w:lang w:val="lv-LV"/>
        </w:rPr>
        <w:t>Eksperti pauda nostāju, ka palielinot e-paraksta lietošanas iespējas, palielinātos tā lietotāju skaits un secīgi arī saistīto e-pakalpojumu lietotāju skaits, kuros tiktu izmantots e-paraksts. Tāpat jāmin, ka, lai veicinātu ekonomisko sadarbību starp valsts iestādēm un uzņēmējiem, izmantojot e-parakstu, e-parakstam ir jābūt noderīgam arī uzņēmēju savstarpējo darījumu kārtošanai elektroniski.</w:t>
      </w:r>
    </w:p>
    <w:p w:rsidR="00F96AEC" w:rsidRPr="0019406C" w:rsidRDefault="00F96AEC" w:rsidP="00F96AEC">
      <w:pPr>
        <w:pStyle w:val="BodyText"/>
        <w:spacing w:line="276" w:lineRule="auto"/>
        <w:jc w:val="both"/>
        <w:rPr>
          <w:lang w:val="lv-LV"/>
        </w:rPr>
      </w:pPr>
    </w:p>
    <w:p w:rsidR="003A4A30" w:rsidRPr="0019406C" w:rsidRDefault="003A4A30" w:rsidP="002771DE">
      <w:pPr>
        <w:pStyle w:val="BodyText"/>
        <w:spacing w:line="276" w:lineRule="auto"/>
        <w:rPr>
          <w:rFonts w:asciiTheme="majorHAnsi" w:hAnsiTheme="majorHAnsi"/>
          <w:b/>
          <w:sz w:val="22"/>
          <w:lang w:val="lv-LV"/>
        </w:rPr>
      </w:pPr>
      <w:r w:rsidRPr="0019406C">
        <w:rPr>
          <w:rFonts w:asciiTheme="majorHAnsi" w:hAnsiTheme="majorHAnsi"/>
          <w:b/>
          <w:sz w:val="22"/>
          <w:lang w:val="lv-LV"/>
        </w:rPr>
        <w:t>Priekšlikumi Uzņēmējdarbības vides uzlabošanas pasākumu plānam 2014.</w:t>
      </w:r>
      <w:r w:rsidR="00BE234E" w:rsidRPr="0019406C">
        <w:rPr>
          <w:rFonts w:asciiTheme="majorHAnsi" w:hAnsiTheme="majorHAnsi"/>
          <w:b/>
          <w:sz w:val="22"/>
          <w:lang w:val="lv-LV"/>
        </w:rPr>
        <w:t xml:space="preserve"> – </w:t>
      </w:r>
      <w:r w:rsidRPr="0019406C">
        <w:rPr>
          <w:rFonts w:asciiTheme="majorHAnsi" w:hAnsiTheme="majorHAnsi"/>
          <w:b/>
          <w:sz w:val="22"/>
          <w:lang w:val="lv-LV"/>
        </w:rPr>
        <w:t>2015.</w:t>
      </w:r>
      <w:r w:rsidR="00BE234E" w:rsidRPr="0019406C">
        <w:rPr>
          <w:rFonts w:asciiTheme="majorHAnsi" w:hAnsiTheme="majorHAnsi"/>
          <w:b/>
          <w:sz w:val="22"/>
          <w:lang w:val="lv-LV"/>
        </w:rPr>
        <w:t xml:space="preserve"> </w:t>
      </w:r>
      <w:r w:rsidRPr="0019406C">
        <w:rPr>
          <w:rFonts w:asciiTheme="majorHAnsi" w:hAnsiTheme="majorHAnsi"/>
          <w:b/>
          <w:sz w:val="22"/>
          <w:lang w:val="lv-LV"/>
        </w:rPr>
        <w:t>gadam</w:t>
      </w:r>
    </w:p>
    <w:p w:rsidR="003A4A30" w:rsidRPr="0019406C" w:rsidRDefault="003A4A30" w:rsidP="002771DE">
      <w:pPr>
        <w:pStyle w:val="BodyText"/>
        <w:spacing w:line="276" w:lineRule="auto"/>
        <w:jc w:val="both"/>
        <w:rPr>
          <w:lang w:val="lv-LV"/>
        </w:rPr>
      </w:pPr>
      <w:r w:rsidRPr="0019406C">
        <w:rPr>
          <w:lang w:val="lv-LV"/>
        </w:rPr>
        <w:t>Zemāk tabulā apkopoti priekšlikumi Uzņēmējdarbības vides uzlabošanas pasākumu plānam.</w:t>
      </w:r>
      <w:r w:rsidR="00655EC2" w:rsidRPr="0019406C">
        <w:rPr>
          <w:lang w:val="lv-LV"/>
        </w:rPr>
        <w:t xml:space="preserve"> Šajā plānā netiek atkārtoti iekļauti priekšlikumi, kas izvirzīti iepriekš citos valsts veiktos pētījumos saistībā ar administratīvā sloga mazināšanu, tomēr, būtu vēlama iepriekš veikto ierosinājumu apkopošana, lai veicinātu priekšlikumu kopēju virzību.</w:t>
      </w:r>
    </w:p>
    <w:p w:rsidR="003A4A30" w:rsidRPr="0019406C" w:rsidRDefault="003A4A30" w:rsidP="003A4A30">
      <w:pPr>
        <w:pStyle w:val="Caption"/>
        <w:rPr>
          <w:rFonts w:asciiTheme="majorHAnsi" w:hAnsiTheme="majorHAnsi"/>
          <w:sz w:val="16"/>
          <w:lang w:val="lv-LV"/>
        </w:rPr>
      </w:pPr>
      <w:bookmarkStart w:id="139" w:name="_Toc389225106"/>
      <w:r w:rsidRPr="0019406C">
        <w:rPr>
          <w:rFonts w:asciiTheme="majorHAnsi" w:hAnsiTheme="majorHAnsi"/>
          <w:sz w:val="16"/>
          <w:lang w:val="lv-LV"/>
        </w:rPr>
        <w:t xml:space="preserve">Tabula </w:t>
      </w:r>
      <w:r w:rsidRPr="0019406C">
        <w:rPr>
          <w:rFonts w:asciiTheme="majorHAnsi" w:hAnsiTheme="majorHAnsi"/>
          <w:sz w:val="16"/>
          <w:lang w:val="lv-LV"/>
        </w:rPr>
        <w:fldChar w:fldCharType="begin"/>
      </w:r>
      <w:r w:rsidRPr="0019406C">
        <w:rPr>
          <w:rFonts w:asciiTheme="majorHAnsi" w:hAnsiTheme="majorHAnsi"/>
          <w:sz w:val="16"/>
          <w:lang w:val="lv-LV"/>
        </w:rPr>
        <w:instrText xml:space="preserve"> SEQ Tabula \* ARABIC </w:instrText>
      </w:r>
      <w:r w:rsidRPr="0019406C">
        <w:rPr>
          <w:rFonts w:asciiTheme="majorHAnsi" w:hAnsiTheme="majorHAnsi"/>
          <w:sz w:val="16"/>
          <w:lang w:val="lv-LV"/>
        </w:rPr>
        <w:fldChar w:fldCharType="separate"/>
      </w:r>
      <w:r w:rsidR="00410806" w:rsidRPr="0019406C">
        <w:rPr>
          <w:rFonts w:asciiTheme="majorHAnsi" w:hAnsiTheme="majorHAnsi"/>
          <w:noProof/>
          <w:sz w:val="16"/>
          <w:lang w:val="lv-LV"/>
        </w:rPr>
        <w:t>32</w:t>
      </w:r>
      <w:r w:rsidRPr="0019406C">
        <w:rPr>
          <w:rFonts w:asciiTheme="majorHAnsi" w:hAnsiTheme="majorHAnsi"/>
          <w:sz w:val="16"/>
          <w:lang w:val="lv-LV"/>
        </w:rPr>
        <w:fldChar w:fldCharType="end"/>
      </w:r>
      <w:r w:rsidRPr="0019406C">
        <w:rPr>
          <w:rFonts w:asciiTheme="majorHAnsi" w:hAnsiTheme="majorHAnsi"/>
          <w:sz w:val="16"/>
          <w:lang w:val="lv-LV"/>
        </w:rPr>
        <w:t xml:space="preserve"> Priekšlikumi Uzņēmējdarbības vides uzlabošanas pasākumu plānam</w:t>
      </w:r>
      <w:bookmarkEnd w:id="139"/>
    </w:p>
    <w:tbl>
      <w:tblPr>
        <w:tblStyle w:val="LightList-Accent11"/>
        <w:tblW w:w="4922" w:type="pct"/>
        <w:tblInd w:w="108" w:type="dxa"/>
        <w:tblLook w:val="00A0" w:firstRow="1" w:lastRow="0" w:firstColumn="1" w:lastColumn="0" w:noHBand="0" w:noVBand="0"/>
      </w:tblPr>
      <w:tblGrid>
        <w:gridCol w:w="567"/>
        <w:gridCol w:w="3402"/>
        <w:gridCol w:w="5954"/>
      </w:tblGrid>
      <w:tr w:rsidR="003A4A30" w:rsidRPr="0019406C" w:rsidTr="00391A9A">
        <w:trPr>
          <w:cnfStyle w:val="100000000000" w:firstRow="1" w:lastRow="0" w:firstColumn="0" w:lastColumn="0" w:oddVBand="0" w:evenVBand="0" w:oddHBand="0" w:evenHBand="0" w:firstRowFirstColumn="0" w:firstRowLastColumn="0" w:lastRowFirstColumn="0" w:lastRowLastColumn="0"/>
          <w:trHeight w:val="190"/>
        </w:trPr>
        <w:tc>
          <w:tcPr>
            <w:cnfStyle w:val="001000000000" w:firstRow="0" w:lastRow="0" w:firstColumn="1" w:lastColumn="0" w:oddVBand="0" w:evenVBand="0" w:oddHBand="0" w:evenHBand="0" w:firstRowFirstColumn="0" w:firstRowLastColumn="0" w:lastRowFirstColumn="0" w:lastRowLastColumn="0"/>
            <w:tcW w:w="286" w:type="pct"/>
            <w:vAlign w:val="center"/>
          </w:tcPr>
          <w:p w:rsidR="003A4A30" w:rsidRPr="0019406C" w:rsidRDefault="003A4A30" w:rsidP="00A37AE4">
            <w:pPr>
              <w:rPr>
                <w:rFonts w:asciiTheme="majorHAnsi" w:eastAsia="Cambria" w:hAnsiTheme="majorHAnsi" w:cs="Times New Roman"/>
                <w:lang w:val="lv-LV"/>
              </w:rPr>
            </w:pPr>
            <w:proofErr w:type="spellStart"/>
            <w:r w:rsidRPr="0019406C">
              <w:rPr>
                <w:rFonts w:asciiTheme="majorHAnsi" w:eastAsia="Cambria" w:hAnsiTheme="majorHAnsi" w:cs="Times New Roman"/>
                <w:lang w:val="lv-LV"/>
              </w:rPr>
              <w:t>Nr</w:t>
            </w:r>
            <w:proofErr w:type="spellEnd"/>
            <w:r w:rsidRPr="0019406C">
              <w:rPr>
                <w:rFonts w:asciiTheme="majorHAnsi" w:eastAsia="Cambria" w:hAnsiTheme="majorHAnsi" w:cs="Times New Roman"/>
                <w:lang w:val="lv-LV"/>
              </w:rPr>
              <w:t>.</w:t>
            </w:r>
          </w:p>
        </w:tc>
        <w:tc>
          <w:tcPr>
            <w:cnfStyle w:val="000010000000" w:firstRow="0" w:lastRow="0" w:firstColumn="0" w:lastColumn="0" w:oddVBand="1" w:evenVBand="0" w:oddHBand="0" w:evenHBand="0" w:firstRowFirstColumn="0" w:firstRowLastColumn="0" w:lastRowFirstColumn="0" w:lastRowLastColumn="0"/>
            <w:tcW w:w="1714" w:type="pct"/>
            <w:vAlign w:val="center"/>
          </w:tcPr>
          <w:p w:rsidR="003A4A30" w:rsidRPr="0019406C" w:rsidRDefault="003A4A30" w:rsidP="009D48ED">
            <w:pPr>
              <w:spacing w:line="240" w:lineRule="atLeast"/>
              <w:rPr>
                <w:rFonts w:asciiTheme="majorHAnsi" w:eastAsia="Cambria" w:hAnsiTheme="majorHAnsi" w:cs="Times New Roman"/>
                <w:lang w:val="lv-LV"/>
              </w:rPr>
            </w:pPr>
            <w:r w:rsidRPr="0019406C">
              <w:rPr>
                <w:rFonts w:asciiTheme="majorHAnsi" w:eastAsia="Cambria" w:hAnsiTheme="majorHAnsi" w:cs="Times New Roman"/>
                <w:lang w:val="lv-LV"/>
              </w:rPr>
              <w:t>Joma</w:t>
            </w:r>
          </w:p>
        </w:tc>
        <w:tc>
          <w:tcPr>
            <w:tcW w:w="3000" w:type="pct"/>
            <w:vAlign w:val="center"/>
          </w:tcPr>
          <w:p w:rsidR="003A4A30" w:rsidRPr="0019406C" w:rsidRDefault="003A4A30" w:rsidP="009D48ED">
            <w:pPr>
              <w:cnfStyle w:val="100000000000" w:firstRow="1" w:lastRow="0" w:firstColumn="0" w:lastColumn="0" w:oddVBand="0" w:evenVBand="0" w:oddHBand="0" w:evenHBand="0" w:firstRowFirstColumn="0" w:firstRowLastColumn="0" w:lastRowFirstColumn="0" w:lastRowLastColumn="0"/>
              <w:rPr>
                <w:rFonts w:asciiTheme="majorHAnsi" w:eastAsia="Cambria" w:hAnsiTheme="majorHAnsi" w:cs="Times New Roman"/>
                <w:b w:val="0"/>
                <w:bCs w:val="0"/>
                <w:color w:val="auto"/>
                <w:lang w:val="lv-LV"/>
              </w:rPr>
            </w:pPr>
            <w:r w:rsidRPr="0019406C">
              <w:rPr>
                <w:rFonts w:asciiTheme="majorHAnsi" w:eastAsia="Cambria" w:hAnsiTheme="majorHAnsi" w:cs="Times New Roman"/>
                <w:lang w:val="lv-LV"/>
              </w:rPr>
              <w:t>Priekšlikums</w:t>
            </w:r>
          </w:p>
        </w:tc>
      </w:tr>
      <w:tr w:rsidR="00B543DA" w:rsidRPr="00BB0049" w:rsidTr="00391A9A">
        <w:trPr>
          <w:cnfStyle w:val="000000100000" w:firstRow="0" w:lastRow="0" w:firstColumn="0" w:lastColumn="0" w:oddVBand="0" w:evenVBand="0" w:oddHBand="1" w:evenHBand="0" w:firstRowFirstColumn="0" w:firstRowLastColumn="0" w:lastRowFirstColumn="0" w:lastRowLastColumn="0"/>
          <w:trHeight w:val="544"/>
        </w:trPr>
        <w:tc>
          <w:tcPr>
            <w:cnfStyle w:val="001000000000" w:firstRow="0" w:lastRow="0" w:firstColumn="1" w:lastColumn="0" w:oddVBand="0" w:evenVBand="0" w:oddHBand="0" w:evenHBand="0" w:firstRowFirstColumn="0" w:firstRowLastColumn="0" w:lastRowFirstColumn="0" w:lastRowLastColumn="0"/>
            <w:tcW w:w="286" w:type="pct"/>
          </w:tcPr>
          <w:p w:rsidR="00B543DA" w:rsidRPr="0019406C" w:rsidRDefault="00B543DA" w:rsidP="00EF09CF">
            <w:pPr>
              <w:rPr>
                <w:rFonts w:asciiTheme="majorHAnsi" w:eastAsia="Cambria" w:hAnsiTheme="majorHAnsi" w:cs="Times New Roman"/>
                <w:b w:val="0"/>
                <w:lang w:val="lv-LV"/>
              </w:rPr>
            </w:pPr>
            <w:r w:rsidRPr="0019406C">
              <w:rPr>
                <w:rFonts w:asciiTheme="majorHAnsi" w:eastAsia="Cambria" w:hAnsiTheme="majorHAnsi" w:cs="Times New Roman"/>
                <w:b w:val="0"/>
                <w:lang w:val="lv-LV"/>
              </w:rPr>
              <w:t>1</w:t>
            </w:r>
          </w:p>
        </w:tc>
        <w:tc>
          <w:tcPr>
            <w:cnfStyle w:val="000010000000" w:firstRow="0" w:lastRow="0" w:firstColumn="0" w:lastColumn="0" w:oddVBand="1" w:evenVBand="0" w:oddHBand="0" w:evenHBand="0" w:firstRowFirstColumn="0" w:firstRowLastColumn="0" w:lastRowFirstColumn="0" w:lastRowLastColumn="0"/>
            <w:tcW w:w="1714" w:type="pct"/>
          </w:tcPr>
          <w:p w:rsidR="00B543DA" w:rsidRPr="0019406C" w:rsidRDefault="00B543DA" w:rsidP="00EF09CF">
            <w:pPr>
              <w:rPr>
                <w:rFonts w:asciiTheme="majorHAnsi" w:eastAsia="Cambria" w:hAnsiTheme="majorHAnsi" w:cs="Times New Roman"/>
                <w:lang w:val="lv-LV"/>
              </w:rPr>
            </w:pPr>
            <w:r w:rsidRPr="0019406C">
              <w:rPr>
                <w:rFonts w:asciiTheme="majorHAnsi" w:eastAsia="Cambria" w:hAnsiTheme="majorHAnsi" w:cs="Times New Roman"/>
                <w:lang w:val="lv-LV"/>
              </w:rPr>
              <w:t>Uzņēmējdarbības uzsākšana</w:t>
            </w:r>
          </w:p>
        </w:tc>
        <w:tc>
          <w:tcPr>
            <w:tcW w:w="3000" w:type="pct"/>
          </w:tcPr>
          <w:p w:rsidR="00B543DA" w:rsidRPr="0019406C" w:rsidRDefault="00B543DA" w:rsidP="009D48ED">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b/>
                <w:i/>
                <w:color w:val="DC6900" w:themeColor="text2"/>
                <w:sz w:val="48"/>
                <w:szCs w:val="48"/>
                <w:lang w:val="lv-LV"/>
              </w:rPr>
            </w:pPr>
            <w:r w:rsidRPr="0019406C">
              <w:rPr>
                <w:rFonts w:asciiTheme="majorHAnsi" w:eastAsia="Cambria" w:hAnsiTheme="majorHAnsi" w:cs="Times New Roman"/>
                <w:lang w:val="lv-LV"/>
              </w:rPr>
              <w:t>Uzņēmēju izpratnes par uzņēmējdarbības veidiem un ar to saistītajiem pienākumiem  veicināšana.</w:t>
            </w:r>
          </w:p>
        </w:tc>
      </w:tr>
      <w:tr w:rsidR="0083684E" w:rsidRPr="0019406C" w:rsidTr="00391A9A">
        <w:trPr>
          <w:trHeight w:val="754"/>
        </w:trPr>
        <w:tc>
          <w:tcPr>
            <w:cnfStyle w:val="001000000000" w:firstRow="0" w:lastRow="0" w:firstColumn="1" w:lastColumn="0" w:oddVBand="0" w:evenVBand="0" w:oddHBand="0" w:evenHBand="0" w:firstRowFirstColumn="0" w:firstRowLastColumn="0" w:lastRowFirstColumn="0" w:lastRowLastColumn="0"/>
            <w:tcW w:w="286" w:type="pct"/>
          </w:tcPr>
          <w:p w:rsidR="0083684E" w:rsidRPr="0019406C" w:rsidRDefault="0083684E" w:rsidP="00EF09CF">
            <w:pPr>
              <w:rPr>
                <w:rFonts w:asciiTheme="majorHAnsi" w:eastAsia="Cambria" w:hAnsiTheme="majorHAnsi" w:cs="Times New Roman"/>
                <w:b w:val="0"/>
                <w:lang w:val="lv-LV"/>
              </w:rPr>
            </w:pPr>
            <w:r w:rsidRPr="0019406C">
              <w:rPr>
                <w:rFonts w:asciiTheme="majorHAnsi" w:eastAsia="Cambria" w:hAnsiTheme="majorHAnsi" w:cs="Times New Roman"/>
                <w:b w:val="0"/>
                <w:lang w:val="lv-LV"/>
              </w:rPr>
              <w:t>2</w:t>
            </w:r>
          </w:p>
        </w:tc>
        <w:tc>
          <w:tcPr>
            <w:cnfStyle w:val="000010000000" w:firstRow="0" w:lastRow="0" w:firstColumn="0" w:lastColumn="0" w:oddVBand="1" w:evenVBand="0" w:oddHBand="0" w:evenHBand="0" w:firstRowFirstColumn="0" w:firstRowLastColumn="0" w:lastRowFirstColumn="0" w:lastRowLastColumn="0"/>
            <w:tcW w:w="1714" w:type="pct"/>
          </w:tcPr>
          <w:p w:rsidR="0083684E" w:rsidRPr="0019406C" w:rsidRDefault="0083684E" w:rsidP="00EF09CF">
            <w:pPr>
              <w:rPr>
                <w:rFonts w:asciiTheme="majorHAnsi" w:eastAsia="Cambria" w:hAnsiTheme="majorHAnsi" w:cs="Times New Roman"/>
                <w:lang w:val="lv-LV"/>
              </w:rPr>
            </w:pPr>
            <w:r w:rsidRPr="0019406C">
              <w:rPr>
                <w:rFonts w:asciiTheme="majorHAnsi" w:eastAsia="Cambria" w:hAnsiTheme="majorHAnsi" w:cs="Times New Roman"/>
                <w:lang w:val="lv-LV"/>
              </w:rPr>
              <w:t>Licences un atļaujas, un citas inspekciju izdotās apliecības/ standarti par atbilstību</w:t>
            </w:r>
          </w:p>
        </w:tc>
        <w:tc>
          <w:tcPr>
            <w:tcW w:w="3000" w:type="pct"/>
          </w:tcPr>
          <w:p w:rsidR="0083684E" w:rsidRPr="0019406C" w:rsidRDefault="0083684E">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b/>
                <w:i/>
                <w:color w:val="DC6900" w:themeColor="text2"/>
                <w:sz w:val="48"/>
                <w:szCs w:val="48"/>
                <w:lang w:val="lv-LV"/>
              </w:rPr>
            </w:pPr>
            <w:r w:rsidRPr="0019406C">
              <w:rPr>
                <w:rFonts w:asciiTheme="majorHAnsi" w:eastAsia="Cambria" w:hAnsiTheme="majorHAnsi" w:cs="Times New Roman"/>
                <w:lang w:val="lv-LV"/>
              </w:rPr>
              <w:t xml:space="preserve">Portāla </w:t>
            </w:r>
            <w:proofErr w:type="spellStart"/>
            <w:r w:rsidRPr="0019406C">
              <w:rPr>
                <w:rFonts w:asciiTheme="majorHAnsi" w:eastAsia="Cambria" w:hAnsiTheme="majorHAnsi" w:cs="Times New Roman"/>
                <w:lang w:val="lv-LV"/>
              </w:rPr>
              <w:t>www.latvija.lv</w:t>
            </w:r>
            <w:proofErr w:type="spellEnd"/>
            <w:r w:rsidRPr="0019406C">
              <w:rPr>
                <w:rFonts w:asciiTheme="majorHAnsi" w:eastAsia="Cambria" w:hAnsiTheme="majorHAnsi" w:cs="Times New Roman"/>
                <w:lang w:val="lv-LV"/>
              </w:rPr>
              <w:t xml:space="preserve"> funkcionalitātes papildināšana ar informāciju par licencēm un atļaujām.</w:t>
            </w:r>
          </w:p>
        </w:tc>
      </w:tr>
      <w:tr w:rsidR="00AA5B17" w:rsidRPr="00BB0049" w:rsidTr="00391A9A">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286" w:type="pct"/>
          </w:tcPr>
          <w:p w:rsidR="00AA5B17" w:rsidRPr="0019406C" w:rsidRDefault="00AA5B17" w:rsidP="00EF09CF">
            <w:pPr>
              <w:rPr>
                <w:rFonts w:asciiTheme="majorHAnsi" w:eastAsia="Cambria" w:hAnsiTheme="majorHAnsi" w:cs="Times New Roman"/>
                <w:b w:val="0"/>
                <w:lang w:val="lv-LV"/>
              </w:rPr>
            </w:pPr>
            <w:r w:rsidRPr="0019406C">
              <w:rPr>
                <w:rFonts w:asciiTheme="majorHAnsi" w:eastAsia="Cambria" w:hAnsiTheme="majorHAnsi" w:cs="Times New Roman"/>
                <w:b w:val="0"/>
                <w:lang w:val="lv-LV"/>
              </w:rPr>
              <w:t>3</w:t>
            </w:r>
          </w:p>
        </w:tc>
        <w:tc>
          <w:tcPr>
            <w:cnfStyle w:val="000010000000" w:firstRow="0" w:lastRow="0" w:firstColumn="0" w:lastColumn="0" w:oddVBand="1" w:evenVBand="0" w:oddHBand="0" w:evenHBand="0" w:firstRowFirstColumn="0" w:firstRowLastColumn="0" w:lastRowFirstColumn="0" w:lastRowLastColumn="0"/>
            <w:tcW w:w="1714" w:type="pct"/>
            <w:vAlign w:val="center"/>
          </w:tcPr>
          <w:p w:rsidR="00AA5B17" w:rsidRPr="0019406C" w:rsidRDefault="00AA5B17">
            <w:pPr>
              <w:rPr>
                <w:rFonts w:asciiTheme="majorHAnsi" w:eastAsia="Cambria" w:hAnsiTheme="majorHAnsi" w:cs="Times New Roman"/>
                <w:lang w:val="lv-LV"/>
              </w:rPr>
            </w:pPr>
            <w:r w:rsidRPr="0019406C">
              <w:rPr>
                <w:rFonts w:asciiTheme="majorHAnsi" w:eastAsia="Cambria" w:hAnsiTheme="majorHAnsi" w:cs="Times New Roman"/>
                <w:lang w:val="lv-LV"/>
              </w:rPr>
              <w:t>E-pakalpojumi</w:t>
            </w:r>
          </w:p>
        </w:tc>
        <w:tc>
          <w:tcPr>
            <w:tcW w:w="3000" w:type="pct"/>
            <w:vAlign w:val="center"/>
          </w:tcPr>
          <w:p w:rsidR="00AA5B17" w:rsidRPr="0019406C" w:rsidRDefault="00F96AEC" w:rsidP="00F87F9C">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b/>
                <w:i/>
                <w:color w:val="DC6900" w:themeColor="text2"/>
                <w:sz w:val="48"/>
                <w:szCs w:val="48"/>
                <w:lang w:val="lv-LV"/>
              </w:rPr>
            </w:pPr>
            <w:r w:rsidRPr="0019406C">
              <w:rPr>
                <w:rFonts w:asciiTheme="majorHAnsi" w:eastAsia="Cambria" w:hAnsiTheme="majorHAnsi" w:cs="Times New Roman"/>
                <w:lang w:val="lv-LV"/>
              </w:rPr>
              <w:t>Vienota un droša e-paraksta lietošana pašvaldību un valsts iestāžu pakalpojumos.</w:t>
            </w:r>
          </w:p>
        </w:tc>
      </w:tr>
      <w:tr w:rsidR="008007A3" w:rsidRPr="0019406C" w:rsidTr="00391A9A">
        <w:trPr>
          <w:trHeight w:val="335"/>
        </w:trPr>
        <w:tc>
          <w:tcPr>
            <w:cnfStyle w:val="001000000000" w:firstRow="0" w:lastRow="0" w:firstColumn="1" w:lastColumn="0" w:oddVBand="0" w:evenVBand="0" w:oddHBand="0" w:evenHBand="0" w:firstRowFirstColumn="0" w:firstRowLastColumn="0" w:lastRowFirstColumn="0" w:lastRowLastColumn="0"/>
            <w:tcW w:w="286" w:type="pct"/>
          </w:tcPr>
          <w:p w:rsidR="008007A3" w:rsidRPr="0019406C" w:rsidRDefault="008007A3" w:rsidP="00EF09CF">
            <w:pPr>
              <w:rPr>
                <w:rFonts w:asciiTheme="majorHAnsi" w:eastAsia="Cambria" w:hAnsiTheme="majorHAnsi" w:cs="Times New Roman"/>
                <w:b w:val="0"/>
                <w:lang w:val="lv-LV"/>
              </w:rPr>
            </w:pPr>
            <w:r w:rsidRPr="0019406C">
              <w:rPr>
                <w:rFonts w:asciiTheme="majorHAnsi" w:eastAsia="Cambria" w:hAnsiTheme="majorHAnsi" w:cs="Times New Roman"/>
                <w:b w:val="0"/>
                <w:lang w:val="lv-LV"/>
              </w:rPr>
              <w:t>4</w:t>
            </w:r>
          </w:p>
        </w:tc>
        <w:tc>
          <w:tcPr>
            <w:cnfStyle w:val="000010000000" w:firstRow="0" w:lastRow="0" w:firstColumn="0" w:lastColumn="0" w:oddVBand="1" w:evenVBand="0" w:oddHBand="0" w:evenHBand="0" w:firstRowFirstColumn="0" w:firstRowLastColumn="0" w:lastRowFirstColumn="0" w:lastRowLastColumn="0"/>
            <w:tcW w:w="1714" w:type="pct"/>
          </w:tcPr>
          <w:p w:rsidR="008007A3" w:rsidRPr="0019406C" w:rsidRDefault="008007A3" w:rsidP="00EF09CF">
            <w:pPr>
              <w:rPr>
                <w:rFonts w:asciiTheme="majorHAnsi" w:eastAsia="Cambria" w:hAnsiTheme="majorHAnsi" w:cs="Times New Roman"/>
                <w:lang w:val="lv-LV"/>
              </w:rPr>
            </w:pPr>
            <w:r w:rsidRPr="0019406C">
              <w:rPr>
                <w:rFonts w:asciiTheme="majorHAnsi" w:eastAsia="Cambria" w:hAnsiTheme="majorHAnsi" w:cs="Times New Roman"/>
                <w:lang w:val="lv-LV"/>
              </w:rPr>
              <w:t>Nodokļu administrēšana</w:t>
            </w:r>
          </w:p>
        </w:tc>
        <w:tc>
          <w:tcPr>
            <w:tcW w:w="3000" w:type="pct"/>
            <w:vAlign w:val="center"/>
          </w:tcPr>
          <w:p w:rsidR="008007A3" w:rsidRPr="0019406C" w:rsidRDefault="008007A3">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b/>
                <w:i/>
                <w:color w:val="DC6900" w:themeColor="text2"/>
                <w:sz w:val="48"/>
                <w:szCs w:val="48"/>
                <w:lang w:val="lv-LV"/>
              </w:rPr>
            </w:pPr>
            <w:r w:rsidRPr="0019406C">
              <w:rPr>
                <w:rFonts w:asciiTheme="majorHAnsi" w:eastAsia="Cambria" w:hAnsiTheme="majorHAnsi" w:cs="Times New Roman"/>
                <w:lang w:val="lv-LV"/>
              </w:rPr>
              <w:t>Informēšana par neiesniegtām atskaitēm VID.</w:t>
            </w:r>
          </w:p>
        </w:tc>
      </w:tr>
      <w:tr w:rsidR="00EF09CF" w:rsidRPr="0019406C" w:rsidTr="00391A9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86" w:type="pct"/>
            <w:vMerge w:val="restart"/>
          </w:tcPr>
          <w:p w:rsidR="00EF09CF" w:rsidRPr="0019406C" w:rsidRDefault="00EF09CF" w:rsidP="00EF09CF">
            <w:pPr>
              <w:rPr>
                <w:rFonts w:asciiTheme="majorHAnsi" w:eastAsia="Cambria" w:hAnsiTheme="majorHAnsi" w:cs="Times New Roman"/>
                <w:b w:val="0"/>
                <w:lang w:val="lv-LV"/>
              </w:rPr>
            </w:pPr>
            <w:r w:rsidRPr="0019406C">
              <w:rPr>
                <w:rFonts w:asciiTheme="majorHAnsi" w:eastAsia="Cambria" w:hAnsiTheme="majorHAnsi" w:cs="Times New Roman"/>
                <w:b w:val="0"/>
                <w:lang w:val="lv-LV"/>
              </w:rPr>
              <w:t>5</w:t>
            </w:r>
          </w:p>
        </w:tc>
        <w:tc>
          <w:tcPr>
            <w:cnfStyle w:val="000010000000" w:firstRow="0" w:lastRow="0" w:firstColumn="0" w:lastColumn="0" w:oddVBand="1" w:evenVBand="0" w:oddHBand="0" w:evenHBand="0" w:firstRowFirstColumn="0" w:firstRowLastColumn="0" w:lastRowFirstColumn="0" w:lastRowLastColumn="0"/>
            <w:tcW w:w="1714" w:type="pct"/>
            <w:vMerge w:val="restart"/>
          </w:tcPr>
          <w:p w:rsidR="00EF09CF" w:rsidRPr="0019406C" w:rsidRDefault="00EF09CF" w:rsidP="00EF09CF">
            <w:pPr>
              <w:rPr>
                <w:rFonts w:asciiTheme="majorHAnsi" w:eastAsia="Cambria" w:hAnsiTheme="majorHAnsi" w:cs="Times New Roman"/>
                <w:lang w:val="lv-LV"/>
              </w:rPr>
            </w:pPr>
            <w:r w:rsidRPr="0019406C">
              <w:rPr>
                <w:rFonts w:asciiTheme="majorHAnsi" w:eastAsia="Cambria" w:hAnsiTheme="majorHAnsi" w:cs="Times New Roman"/>
                <w:lang w:val="lv-LV"/>
              </w:rPr>
              <w:t>Uzņēmējdarbības izbeigšana</w:t>
            </w:r>
          </w:p>
        </w:tc>
        <w:tc>
          <w:tcPr>
            <w:tcW w:w="3000" w:type="pct"/>
            <w:vAlign w:val="center"/>
          </w:tcPr>
          <w:p w:rsidR="00EF09CF" w:rsidRPr="0019406C" w:rsidRDefault="00EF09CF" w:rsidP="009D48ED">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Maksātnespējas administratora atbildības palielināšanas iespēju izvērtēšana</w:t>
            </w:r>
            <w:r w:rsidR="002E62A0" w:rsidRPr="0019406C">
              <w:rPr>
                <w:rFonts w:asciiTheme="majorHAnsi" w:eastAsia="Cambria" w:hAnsiTheme="majorHAnsi" w:cs="Times New Roman"/>
                <w:lang w:val="lv-LV"/>
              </w:rPr>
              <w:t>.</w:t>
            </w:r>
          </w:p>
        </w:tc>
      </w:tr>
      <w:tr w:rsidR="00EF09CF" w:rsidRPr="0019406C" w:rsidTr="00391A9A">
        <w:trPr>
          <w:trHeight w:val="280"/>
        </w:trPr>
        <w:tc>
          <w:tcPr>
            <w:cnfStyle w:val="001000000000" w:firstRow="0" w:lastRow="0" w:firstColumn="1" w:lastColumn="0" w:oddVBand="0" w:evenVBand="0" w:oddHBand="0" w:evenHBand="0" w:firstRowFirstColumn="0" w:firstRowLastColumn="0" w:lastRowFirstColumn="0" w:lastRowLastColumn="0"/>
            <w:tcW w:w="286" w:type="pct"/>
            <w:vMerge/>
          </w:tcPr>
          <w:p w:rsidR="00EF09CF" w:rsidRPr="0019406C" w:rsidRDefault="00EF09CF" w:rsidP="00EF09CF">
            <w:pPr>
              <w:rPr>
                <w:rFonts w:asciiTheme="majorHAnsi" w:eastAsia="Cambria" w:hAnsiTheme="majorHAnsi" w:cs="Times New Roman"/>
                <w:b w:val="0"/>
                <w:lang w:val="lv-LV"/>
              </w:rPr>
            </w:pPr>
          </w:p>
        </w:tc>
        <w:tc>
          <w:tcPr>
            <w:cnfStyle w:val="000010000000" w:firstRow="0" w:lastRow="0" w:firstColumn="0" w:lastColumn="0" w:oddVBand="1" w:evenVBand="0" w:oddHBand="0" w:evenHBand="0" w:firstRowFirstColumn="0" w:firstRowLastColumn="0" w:lastRowFirstColumn="0" w:lastRowLastColumn="0"/>
            <w:tcW w:w="1714" w:type="pct"/>
            <w:vMerge/>
          </w:tcPr>
          <w:p w:rsidR="00EF09CF" w:rsidRPr="0019406C" w:rsidRDefault="00EF09CF" w:rsidP="00EF09CF">
            <w:pPr>
              <w:rPr>
                <w:rFonts w:asciiTheme="majorHAnsi" w:eastAsia="Cambria" w:hAnsiTheme="majorHAnsi" w:cs="Times New Roman"/>
                <w:lang w:val="lv-LV"/>
              </w:rPr>
            </w:pPr>
          </w:p>
        </w:tc>
        <w:tc>
          <w:tcPr>
            <w:tcW w:w="3000" w:type="pct"/>
            <w:vAlign w:val="center"/>
          </w:tcPr>
          <w:p w:rsidR="00EF09CF" w:rsidRPr="0019406C" w:rsidRDefault="00EF09CF" w:rsidP="009D48ED">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Maksātnespējas administratoru kvalifikācijas prasību un licencēšanas izvērtēšana</w:t>
            </w:r>
            <w:r w:rsidR="002E62A0" w:rsidRPr="0019406C">
              <w:rPr>
                <w:rFonts w:asciiTheme="majorHAnsi" w:eastAsia="Cambria" w:hAnsiTheme="majorHAnsi" w:cs="Times New Roman"/>
                <w:lang w:val="lv-LV"/>
              </w:rPr>
              <w:t>.</w:t>
            </w:r>
          </w:p>
        </w:tc>
      </w:tr>
      <w:tr w:rsidR="004E48B1" w:rsidRPr="00BB0049" w:rsidTr="00391A9A">
        <w:trPr>
          <w:cnfStyle w:val="000000100000" w:firstRow="0" w:lastRow="0" w:firstColumn="0" w:lastColumn="0" w:oddVBand="0" w:evenVBand="0" w:oddHBand="1"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286" w:type="pct"/>
          </w:tcPr>
          <w:p w:rsidR="004E48B1" w:rsidRPr="0019406C" w:rsidRDefault="004E48B1" w:rsidP="00EF09CF">
            <w:pPr>
              <w:rPr>
                <w:rFonts w:asciiTheme="majorHAnsi" w:eastAsia="Cambria" w:hAnsiTheme="majorHAnsi" w:cs="Times New Roman"/>
                <w:b w:val="0"/>
                <w:lang w:val="lv-LV"/>
              </w:rPr>
            </w:pPr>
            <w:r w:rsidRPr="0019406C">
              <w:rPr>
                <w:rFonts w:asciiTheme="majorHAnsi" w:eastAsia="Cambria" w:hAnsiTheme="majorHAnsi" w:cs="Times New Roman"/>
                <w:b w:val="0"/>
                <w:lang w:val="lv-LV"/>
              </w:rPr>
              <w:t>6</w:t>
            </w:r>
          </w:p>
        </w:tc>
        <w:tc>
          <w:tcPr>
            <w:cnfStyle w:val="000010000000" w:firstRow="0" w:lastRow="0" w:firstColumn="0" w:lastColumn="0" w:oddVBand="1" w:evenVBand="0" w:oddHBand="0" w:evenHBand="0" w:firstRowFirstColumn="0" w:firstRowLastColumn="0" w:lastRowFirstColumn="0" w:lastRowLastColumn="0"/>
            <w:tcW w:w="1714" w:type="pct"/>
          </w:tcPr>
          <w:p w:rsidR="004E48B1" w:rsidRPr="0019406C" w:rsidRDefault="004E48B1" w:rsidP="00EF09CF">
            <w:pPr>
              <w:rPr>
                <w:rFonts w:asciiTheme="majorHAnsi" w:eastAsia="Cambria" w:hAnsiTheme="majorHAnsi" w:cs="Times New Roman"/>
                <w:lang w:val="lv-LV"/>
              </w:rPr>
            </w:pPr>
            <w:r w:rsidRPr="0019406C">
              <w:rPr>
                <w:rFonts w:asciiTheme="majorHAnsi" w:eastAsia="Cambria" w:hAnsiTheme="majorHAnsi" w:cs="Times New Roman"/>
                <w:lang w:val="lv-LV"/>
              </w:rPr>
              <w:t>Nekustamā īpašuma reģistrācija</w:t>
            </w:r>
          </w:p>
        </w:tc>
        <w:tc>
          <w:tcPr>
            <w:tcW w:w="3000" w:type="pct"/>
          </w:tcPr>
          <w:p w:rsidR="004E48B1" w:rsidRPr="0019406C" w:rsidRDefault="004E48B1">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Teritoriju plānojumu papildināšana, norādot objektus uz kuriem  pašvaldība varētu izmantot pirmpirkuma tiesības.</w:t>
            </w:r>
          </w:p>
        </w:tc>
      </w:tr>
      <w:tr w:rsidR="00EF09CF" w:rsidRPr="00BB0049" w:rsidTr="00391A9A">
        <w:trPr>
          <w:trHeight w:val="280"/>
        </w:trPr>
        <w:tc>
          <w:tcPr>
            <w:cnfStyle w:val="001000000000" w:firstRow="0" w:lastRow="0" w:firstColumn="1" w:lastColumn="0" w:oddVBand="0" w:evenVBand="0" w:oddHBand="0" w:evenHBand="0" w:firstRowFirstColumn="0" w:firstRowLastColumn="0" w:lastRowFirstColumn="0" w:lastRowLastColumn="0"/>
            <w:tcW w:w="286" w:type="pct"/>
            <w:vMerge w:val="restart"/>
          </w:tcPr>
          <w:p w:rsidR="00EF09CF" w:rsidRPr="0019406C" w:rsidRDefault="00EF09CF" w:rsidP="00EF09CF">
            <w:pPr>
              <w:rPr>
                <w:rFonts w:asciiTheme="majorHAnsi" w:eastAsia="Cambria" w:hAnsiTheme="majorHAnsi" w:cs="Times New Roman"/>
                <w:b w:val="0"/>
                <w:lang w:val="lv-LV"/>
              </w:rPr>
            </w:pPr>
            <w:r w:rsidRPr="0019406C">
              <w:rPr>
                <w:rFonts w:asciiTheme="majorHAnsi" w:eastAsia="Cambria" w:hAnsiTheme="majorHAnsi" w:cs="Times New Roman"/>
                <w:b w:val="0"/>
                <w:lang w:val="lv-LV"/>
              </w:rPr>
              <w:t>7</w:t>
            </w:r>
          </w:p>
        </w:tc>
        <w:tc>
          <w:tcPr>
            <w:cnfStyle w:val="000010000000" w:firstRow="0" w:lastRow="0" w:firstColumn="0" w:lastColumn="0" w:oddVBand="1" w:evenVBand="0" w:oddHBand="0" w:evenHBand="0" w:firstRowFirstColumn="0" w:firstRowLastColumn="0" w:lastRowFirstColumn="0" w:lastRowLastColumn="0"/>
            <w:tcW w:w="1714" w:type="pct"/>
            <w:vMerge w:val="restart"/>
          </w:tcPr>
          <w:p w:rsidR="00EF09CF" w:rsidRPr="0019406C" w:rsidRDefault="00EF09CF" w:rsidP="00EF09CF">
            <w:pPr>
              <w:rPr>
                <w:rFonts w:asciiTheme="majorHAnsi" w:eastAsia="Cambria" w:hAnsiTheme="majorHAnsi" w:cs="Times New Roman"/>
                <w:lang w:val="lv-LV"/>
              </w:rPr>
            </w:pPr>
            <w:r w:rsidRPr="0019406C">
              <w:rPr>
                <w:rFonts w:asciiTheme="majorHAnsi" w:eastAsia="Cambria" w:hAnsiTheme="majorHAnsi" w:cs="Times New Roman"/>
                <w:lang w:val="lv-LV"/>
              </w:rPr>
              <w:t>Būvniecība</w:t>
            </w:r>
          </w:p>
        </w:tc>
        <w:tc>
          <w:tcPr>
            <w:tcW w:w="3000" w:type="pct"/>
            <w:vAlign w:val="center"/>
          </w:tcPr>
          <w:p w:rsidR="00EF09CF" w:rsidRPr="0019406C" w:rsidRDefault="00EF09CF" w:rsidP="009D48ED">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Precīza būvvaldes veikto pārbaužu un saskaņojumu definēšana normatīvajos aktos</w:t>
            </w:r>
            <w:r w:rsidR="002E62A0" w:rsidRPr="0019406C">
              <w:rPr>
                <w:rFonts w:asciiTheme="majorHAnsi" w:eastAsia="Cambria" w:hAnsiTheme="majorHAnsi" w:cs="Times New Roman"/>
                <w:lang w:val="lv-LV"/>
              </w:rPr>
              <w:t>.</w:t>
            </w:r>
          </w:p>
        </w:tc>
      </w:tr>
      <w:tr w:rsidR="00EF09CF" w:rsidRPr="00BB0049" w:rsidTr="00391A9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86" w:type="pct"/>
            <w:vMerge/>
          </w:tcPr>
          <w:p w:rsidR="00EF09CF" w:rsidRPr="0019406C" w:rsidRDefault="00EF09CF" w:rsidP="00EF09CF">
            <w:pPr>
              <w:rPr>
                <w:rFonts w:asciiTheme="majorHAnsi" w:eastAsia="Cambria" w:hAnsiTheme="majorHAnsi" w:cs="Times New Roman"/>
                <w:b w:val="0"/>
                <w:lang w:val="lv-LV"/>
              </w:rPr>
            </w:pPr>
          </w:p>
        </w:tc>
        <w:tc>
          <w:tcPr>
            <w:cnfStyle w:val="000010000000" w:firstRow="0" w:lastRow="0" w:firstColumn="0" w:lastColumn="0" w:oddVBand="1" w:evenVBand="0" w:oddHBand="0" w:evenHBand="0" w:firstRowFirstColumn="0" w:firstRowLastColumn="0" w:lastRowFirstColumn="0" w:lastRowLastColumn="0"/>
            <w:tcW w:w="1714" w:type="pct"/>
            <w:vMerge/>
          </w:tcPr>
          <w:p w:rsidR="00EF09CF" w:rsidRPr="0019406C" w:rsidRDefault="00EF09CF" w:rsidP="00EF09CF">
            <w:pPr>
              <w:rPr>
                <w:rFonts w:asciiTheme="majorHAnsi" w:eastAsia="Cambria" w:hAnsiTheme="majorHAnsi" w:cs="Times New Roman"/>
                <w:lang w:val="lv-LV"/>
              </w:rPr>
            </w:pPr>
          </w:p>
        </w:tc>
        <w:tc>
          <w:tcPr>
            <w:tcW w:w="3000" w:type="pct"/>
            <w:vAlign w:val="center"/>
          </w:tcPr>
          <w:p w:rsidR="00EF09CF" w:rsidRPr="0019406C" w:rsidRDefault="00EF09CF" w:rsidP="009D48ED">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 xml:space="preserve">Būvkomersantu </w:t>
            </w:r>
            <w:r w:rsidR="0072729F" w:rsidRPr="0019406C">
              <w:rPr>
                <w:rFonts w:asciiTheme="majorHAnsi" w:eastAsia="Cambria" w:hAnsiTheme="majorHAnsi" w:cs="Times New Roman"/>
                <w:lang w:val="lv-LV"/>
              </w:rPr>
              <w:t>reģistra</w:t>
            </w:r>
            <w:r w:rsidRPr="0019406C">
              <w:rPr>
                <w:rFonts w:asciiTheme="majorHAnsi" w:eastAsia="Cambria" w:hAnsiTheme="majorHAnsi" w:cs="Times New Roman"/>
                <w:lang w:val="lv-LV"/>
              </w:rPr>
              <w:t xml:space="preserve"> pilnveidošana</w:t>
            </w:r>
            <w:r w:rsidR="008351E6" w:rsidRPr="0019406C">
              <w:rPr>
                <w:rFonts w:asciiTheme="majorHAnsi" w:eastAsia="Cambria" w:hAnsiTheme="majorHAnsi" w:cs="Times New Roman"/>
                <w:lang w:val="lv-LV"/>
              </w:rPr>
              <w:t xml:space="preserve"> un reģistrēšanas procedūras pārskatīšana.</w:t>
            </w:r>
          </w:p>
        </w:tc>
      </w:tr>
      <w:tr w:rsidR="00EF09CF" w:rsidRPr="00BB0049" w:rsidTr="00391A9A">
        <w:trPr>
          <w:trHeight w:val="280"/>
        </w:trPr>
        <w:tc>
          <w:tcPr>
            <w:cnfStyle w:val="001000000000" w:firstRow="0" w:lastRow="0" w:firstColumn="1" w:lastColumn="0" w:oddVBand="0" w:evenVBand="0" w:oddHBand="0" w:evenHBand="0" w:firstRowFirstColumn="0" w:firstRowLastColumn="0" w:lastRowFirstColumn="0" w:lastRowLastColumn="0"/>
            <w:tcW w:w="286" w:type="pct"/>
            <w:vMerge/>
          </w:tcPr>
          <w:p w:rsidR="00EF09CF" w:rsidRPr="0019406C" w:rsidRDefault="00EF09CF" w:rsidP="00EF09CF">
            <w:pPr>
              <w:rPr>
                <w:rFonts w:asciiTheme="majorHAnsi" w:eastAsia="Cambria" w:hAnsiTheme="majorHAnsi" w:cs="Times New Roman"/>
                <w:b w:val="0"/>
                <w:lang w:val="lv-LV"/>
              </w:rPr>
            </w:pPr>
          </w:p>
        </w:tc>
        <w:tc>
          <w:tcPr>
            <w:cnfStyle w:val="000010000000" w:firstRow="0" w:lastRow="0" w:firstColumn="0" w:lastColumn="0" w:oddVBand="1" w:evenVBand="0" w:oddHBand="0" w:evenHBand="0" w:firstRowFirstColumn="0" w:firstRowLastColumn="0" w:lastRowFirstColumn="0" w:lastRowLastColumn="0"/>
            <w:tcW w:w="1714" w:type="pct"/>
            <w:vMerge/>
          </w:tcPr>
          <w:p w:rsidR="00EF09CF" w:rsidRPr="0019406C" w:rsidRDefault="00EF09CF" w:rsidP="00EF09CF">
            <w:pPr>
              <w:rPr>
                <w:rFonts w:asciiTheme="majorHAnsi" w:eastAsia="Cambria" w:hAnsiTheme="majorHAnsi" w:cs="Times New Roman"/>
                <w:lang w:val="lv-LV"/>
              </w:rPr>
            </w:pPr>
          </w:p>
        </w:tc>
        <w:tc>
          <w:tcPr>
            <w:tcW w:w="3000" w:type="pct"/>
            <w:vAlign w:val="center"/>
          </w:tcPr>
          <w:p w:rsidR="00EF09CF" w:rsidRPr="0019406C" w:rsidRDefault="00EF09CF" w:rsidP="009D48ED">
            <w:pPr>
              <w:cnfStyle w:val="000000000000" w:firstRow="0" w:lastRow="0" w:firstColumn="0" w:lastColumn="0" w:oddVBand="0" w:evenVBand="0" w:oddHBand="0"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Būvatļaujas un atkārtotas būvatļaujas saņemšanas kārtības precizēšana Būvniecības likumā un saistošajos noteikumos</w:t>
            </w:r>
            <w:r w:rsidR="002E62A0" w:rsidRPr="0019406C">
              <w:rPr>
                <w:rFonts w:asciiTheme="majorHAnsi" w:eastAsia="Cambria" w:hAnsiTheme="majorHAnsi" w:cs="Times New Roman"/>
                <w:lang w:val="lv-LV"/>
              </w:rPr>
              <w:t>.</w:t>
            </w:r>
          </w:p>
        </w:tc>
      </w:tr>
      <w:tr w:rsidR="00EF09CF" w:rsidRPr="00BB0049" w:rsidTr="00391A9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86" w:type="pct"/>
            <w:vMerge/>
          </w:tcPr>
          <w:p w:rsidR="00EF09CF" w:rsidRPr="0019406C" w:rsidRDefault="00EF09CF" w:rsidP="00EF09CF">
            <w:pPr>
              <w:rPr>
                <w:rFonts w:asciiTheme="majorHAnsi" w:eastAsia="Cambria" w:hAnsiTheme="majorHAnsi" w:cs="Times New Roman"/>
                <w:b w:val="0"/>
                <w:lang w:val="lv-LV"/>
              </w:rPr>
            </w:pPr>
          </w:p>
        </w:tc>
        <w:tc>
          <w:tcPr>
            <w:cnfStyle w:val="000010000000" w:firstRow="0" w:lastRow="0" w:firstColumn="0" w:lastColumn="0" w:oddVBand="1" w:evenVBand="0" w:oddHBand="0" w:evenHBand="0" w:firstRowFirstColumn="0" w:firstRowLastColumn="0" w:lastRowFirstColumn="0" w:lastRowLastColumn="0"/>
            <w:tcW w:w="1714" w:type="pct"/>
            <w:vMerge/>
          </w:tcPr>
          <w:p w:rsidR="00EF09CF" w:rsidRPr="0019406C" w:rsidRDefault="00EF09CF" w:rsidP="00EF09CF">
            <w:pPr>
              <w:rPr>
                <w:rFonts w:asciiTheme="majorHAnsi" w:eastAsia="Cambria" w:hAnsiTheme="majorHAnsi" w:cs="Times New Roman"/>
                <w:lang w:val="lv-LV"/>
              </w:rPr>
            </w:pPr>
          </w:p>
        </w:tc>
        <w:tc>
          <w:tcPr>
            <w:tcW w:w="3000" w:type="pct"/>
            <w:vAlign w:val="center"/>
          </w:tcPr>
          <w:p w:rsidR="00EF09CF" w:rsidRPr="0019406C" w:rsidRDefault="00EF09CF" w:rsidP="009D48ED">
            <w:pPr>
              <w:cnfStyle w:val="000000100000" w:firstRow="0" w:lastRow="0" w:firstColumn="0" w:lastColumn="0" w:oddVBand="0" w:evenVBand="0" w:oddHBand="1" w:evenHBand="0" w:firstRowFirstColumn="0" w:firstRowLastColumn="0" w:lastRowFirstColumn="0" w:lastRowLastColumn="0"/>
              <w:rPr>
                <w:rFonts w:asciiTheme="majorHAnsi" w:eastAsia="Cambria" w:hAnsiTheme="majorHAnsi" w:cs="Times New Roman"/>
                <w:lang w:val="lv-LV"/>
              </w:rPr>
            </w:pPr>
            <w:r w:rsidRPr="0019406C">
              <w:rPr>
                <w:rFonts w:asciiTheme="majorHAnsi" w:eastAsia="Cambria" w:hAnsiTheme="majorHAnsi" w:cs="Times New Roman"/>
                <w:lang w:val="lv-LV"/>
              </w:rPr>
              <w:t>Komunikācijas uzlabošana ar nozari par Būvniecības informācijas sistēmas mērķiem, to paredzamo atbalstu nozares darbībā</w:t>
            </w:r>
            <w:r w:rsidR="002E62A0" w:rsidRPr="0019406C">
              <w:rPr>
                <w:rFonts w:asciiTheme="majorHAnsi" w:eastAsia="Cambria" w:hAnsiTheme="majorHAnsi" w:cs="Times New Roman"/>
                <w:lang w:val="lv-LV"/>
              </w:rPr>
              <w:t>.</w:t>
            </w:r>
          </w:p>
        </w:tc>
      </w:tr>
    </w:tbl>
    <w:p w:rsidR="003A4A30" w:rsidRPr="0019406C" w:rsidRDefault="003A4A30" w:rsidP="003A4A30">
      <w:pPr>
        <w:rPr>
          <w:rFonts w:asciiTheme="majorHAnsi" w:hAnsiTheme="majorHAnsi"/>
          <w:lang w:val="lv-LV"/>
        </w:rPr>
      </w:pPr>
    </w:p>
    <w:p w:rsidR="00AF6EDE" w:rsidRPr="0019406C" w:rsidRDefault="00AF6EDE">
      <w:pPr>
        <w:rPr>
          <w:rFonts w:asciiTheme="majorHAnsi" w:eastAsiaTheme="majorEastAsia" w:hAnsiTheme="majorHAnsi" w:cstheme="majorBidi"/>
          <w:b/>
          <w:bCs/>
          <w:i/>
          <w:sz w:val="56"/>
          <w:szCs w:val="28"/>
          <w:lang w:val="lv-LV"/>
        </w:rPr>
      </w:pPr>
    </w:p>
    <w:p w:rsidR="006D2EA5" w:rsidRPr="0019406C" w:rsidRDefault="00726BD9" w:rsidP="000857A7">
      <w:pPr>
        <w:pStyle w:val="Heading1"/>
        <w:numPr>
          <w:ilvl w:val="0"/>
          <w:numId w:val="0"/>
        </w:numPr>
        <w:ind w:left="432" w:hanging="432"/>
        <w:rPr>
          <w:lang w:val="lv-LV"/>
        </w:rPr>
      </w:pPr>
      <w:bookmarkStart w:id="140" w:name="_Toc389226092"/>
      <w:r w:rsidRPr="0019406C">
        <w:rPr>
          <w:lang w:val="lv-LV"/>
        </w:rPr>
        <w:lastRenderedPageBreak/>
        <w:t>I</w:t>
      </w:r>
      <w:r w:rsidR="00E535C2" w:rsidRPr="0019406C">
        <w:rPr>
          <w:lang w:val="lv-LV"/>
        </w:rPr>
        <w:t xml:space="preserve"> </w:t>
      </w:r>
      <w:r w:rsidR="00534EC8" w:rsidRPr="0019406C">
        <w:rPr>
          <w:lang w:val="lv-LV"/>
        </w:rPr>
        <w:t xml:space="preserve">pielikums. </w:t>
      </w:r>
      <w:r w:rsidR="006D2EA5" w:rsidRPr="0019406C">
        <w:rPr>
          <w:lang w:val="lv-LV"/>
        </w:rPr>
        <w:t>Priekšlikumi turpmākai rīcībai</w:t>
      </w:r>
      <w:bookmarkEnd w:id="132"/>
      <w:bookmarkEnd w:id="133"/>
      <w:bookmarkEnd w:id="134"/>
      <w:bookmarkEnd w:id="135"/>
      <w:bookmarkEnd w:id="140"/>
    </w:p>
    <w:p w:rsidR="00244AB9" w:rsidRPr="0019406C" w:rsidRDefault="004C0F3B" w:rsidP="00922C92">
      <w:pPr>
        <w:pStyle w:val="BodyText"/>
        <w:spacing w:line="276" w:lineRule="auto"/>
        <w:jc w:val="both"/>
        <w:rPr>
          <w:rFonts w:asciiTheme="majorHAnsi" w:hAnsiTheme="majorHAnsi"/>
          <w:lang w:val="lv-LV"/>
        </w:rPr>
      </w:pPr>
      <w:r w:rsidRPr="0019406C">
        <w:rPr>
          <w:rFonts w:asciiTheme="majorHAnsi" w:hAnsiTheme="majorHAnsi"/>
          <w:lang w:val="lv-LV"/>
        </w:rPr>
        <w:t>Šajā nodaļā apkopoti priekšlikumi turpmākai</w:t>
      </w:r>
      <w:r w:rsidR="00726BD9" w:rsidRPr="0019406C">
        <w:rPr>
          <w:rFonts w:asciiTheme="majorHAnsi" w:hAnsiTheme="majorHAnsi"/>
          <w:lang w:val="lv-LV"/>
        </w:rPr>
        <w:t xml:space="preserve"> iekļaušanai </w:t>
      </w:r>
      <w:r w:rsidR="00B916FF" w:rsidRPr="0019406C">
        <w:rPr>
          <w:rFonts w:asciiTheme="majorHAnsi" w:hAnsiTheme="majorHAnsi"/>
          <w:lang w:val="lv-LV"/>
        </w:rPr>
        <w:t>U</w:t>
      </w:r>
      <w:r w:rsidR="00726BD9" w:rsidRPr="0019406C">
        <w:rPr>
          <w:rFonts w:asciiTheme="majorHAnsi" w:hAnsiTheme="majorHAnsi"/>
          <w:lang w:val="lv-LV"/>
        </w:rPr>
        <w:t>zņēmējdarbības vides uzla</w:t>
      </w:r>
      <w:r w:rsidR="00244AB9" w:rsidRPr="0019406C">
        <w:rPr>
          <w:rFonts w:asciiTheme="majorHAnsi" w:hAnsiTheme="majorHAnsi"/>
          <w:lang w:val="lv-LV"/>
        </w:rPr>
        <w:t xml:space="preserve">bošanas pasākumu plānā. Priekšlikumi izstrādāti ar mērķi uzlabot uzņēmējdarbības vidi. </w:t>
      </w:r>
    </w:p>
    <w:p w:rsidR="004C0F3B" w:rsidRPr="0019406C" w:rsidRDefault="004C0F3B" w:rsidP="00922C92">
      <w:pPr>
        <w:pStyle w:val="BodyText"/>
        <w:spacing w:line="276" w:lineRule="auto"/>
        <w:jc w:val="both"/>
        <w:rPr>
          <w:rFonts w:asciiTheme="majorHAnsi" w:hAnsiTheme="majorHAnsi"/>
          <w:lang w:val="lv-LV"/>
        </w:rPr>
      </w:pPr>
      <w:r w:rsidRPr="0019406C">
        <w:rPr>
          <w:rFonts w:asciiTheme="majorHAnsi" w:hAnsiTheme="majorHAnsi"/>
          <w:lang w:val="lv-LV"/>
        </w:rPr>
        <w:t>Priekšlikumi neietver Ministru kabineta 2013. gada 24. aprīlī apstiprinātajā Uzņēmējdarbības vides uzlabošanas pasākum</w:t>
      </w:r>
      <w:r w:rsidR="00B916FF" w:rsidRPr="0019406C">
        <w:rPr>
          <w:rFonts w:asciiTheme="majorHAnsi" w:hAnsiTheme="majorHAnsi"/>
          <w:lang w:val="lv-LV"/>
        </w:rPr>
        <w:t>u</w:t>
      </w:r>
      <w:r w:rsidRPr="0019406C">
        <w:rPr>
          <w:rFonts w:asciiTheme="majorHAnsi" w:hAnsiTheme="majorHAnsi"/>
          <w:lang w:val="lv-LV"/>
        </w:rPr>
        <w:t xml:space="preserve"> plānā 2013 – 2014. gadam jau ietvertos pasākumus, pie kuriem atbildīgās institūcijas jau šobrīd strādā. Šajā nodaļā ietvertie priekšlikumi balstīti uz šī pētījuma gaitā iegūtajiem secinājumiem un tie realizējami paralēli Uzņēmējdarbības vides uzlabošanas </w:t>
      </w:r>
      <w:r w:rsidR="00B916FF" w:rsidRPr="0019406C">
        <w:rPr>
          <w:rFonts w:asciiTheme="majorHAnsi" w:hAnsiTheme="majorHAnsi"/>
          <w:lang w:val="lv-LV"/>
        </w:rPr>
        <w:t xml:space="preserve">pasākumu </w:t>
      </w:r>
      <w:r w:rsidRPr="0019406C">
        <w:rPr>
          <w:rFonts w:asciiTheme="majorHAnsi" w:hAnsiTheme="majorHAnsi"/>
          <w:lang w:val="lv-LV"/>
        </w:rPr>
        <w:t>plānā jau iekļautajiem priekšlikumiem.</w:t>
      </w:r>
    </w:p>
    <w:p w:rsidR="00816971" w:rsidRPr="0019406C" w:rsidRDefault="00816971" w:rsidP="00816971">
      <w:pPr>
        <w:pStyle w:val="BodyText"/>
        <w:rPr>
          <w:rFonts w:asciiTheme="majorHAnsi" w:hAnsiTheme="majorHAnsi"/>
          <w:lang w:val="lv-LV"/>
        </w:rPr>
      </w:pPr>
    </w:p>
    <w:p w:rsidR="00DF0153" w:rsidRPr="0019406C" w:rsidRDefault="00DF0153" w:rsidP="003556FD">
      <w:pPr>
        <w:pStyle w:val="Heading2"/>
        <w:numPr>
          <w:ilvl w:val="0"/>
          <w:numId w:val="0"/>
        </w:numPr>
        <w:ind w:left="576" w:hanging="576"/>
        <w:rPr>
          <w:lang w:val="lv-LV"/>
        </w:rPr>
        <w:sectPr w:rsidR="00DF0153" w:rsidRPr="0019406C" w:rsidSect="00730377">
          <w:headerReference w:type="even" r:id="rId31"/>
          <w:headerReference w:type="default" r:id="rId32"/>
          <w:footerReference w:type="even" r:id="rId33"/>
          <w:footerReference w:type="default" r:id="rId34"/>
          <w:headerReference w:type="first" r:id="rId35"/>
          <w:pgSz w:w="11906" w:h="16838" w:code="9"/>
          <w:pgMar w:top="1474" w:right="1021" w:bottom="1474" w:left="1021" w:header="567" w:footer="567" w:gutter="0"/>
          <w:cols w:space="708"/>
          <w:titlePg/>
          <w:docGrid w:linePitch="360"/>
        </w:sectPr>
      </w:pPr>
    </w:p>
    <w:p w:rsidR="004E30E2" w:rsidRPr="0019406C" w:rsidRDefault="004E30E2" w:rsidP="004E30E2">
      <w:pPr>
        <w:pStyle w:val="Caption"/>
        <w:keepNext/>
        <w:rPr>
          <w:rFonts w:asciiTheme="majorHAnsi" w:hAnsiTheme="majorHAnsi"/>
          <w:sz w:val="16"/>
          <w:lang w:val="lv-LV"/>
        </w:rPr>
      </w:pPr>
    </w:p>
    <w:tbl>
      <w:tblPr>
        <w:tblpPr w:leftFromText="180" w:rightFromText="180" w:horzAnchor="margin" w:tblpY="804"/>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1701"/>
        <w:gridCol w:w="1559"/>
        <w:gridCol w:w="4253"/>
        <w:gridCol w:w="2126"/>
      </w:tblGrid>
      <w:tr w:rsidR="00DF0153" w:rsidRPr="0019406C" w:rsidTr="006872E4">
        <w:tc>
          <w:tcPr>
            <w:tcW w:w="5495" w:type="dxa"/>
            <w:tcBorders>
              <w:top w:val="single" w:sz="4" w:space="0" w:color="auto"/>
              <w:bottom w:val="single" w:sz="4" w:space="0" w:color="auto"/>
            </w:tcBorders>
            <w:shd w:val="clear" w:color="auto" w:fill="EEECE1"/>
            <w:vAlign w:val="center"/>
          </w:tcPr>
          <w:p w:rsidR="00DF0153" w:rsidRPr="0019406C" w:rsidRDefault="00DF0153" w:rsidP="0021315F">
            <w:pPr>
              <w:spacing w:before="120" w:after="120" w:line="276" w:lineRule="auto"/>
              <w:jc w:val="center"/>
              <w:rPr>
                <w:rFonts w:asciiTheme="majorHAnsi" w:eastAsia="Times New Roman" w:hAnsiTheme="majorHAnsi" w:cs="Times New Roman"/>
                <w:b/>
                <w:color w:val="000000"/>
                <w:lang w:val="lv-LV" w:eastAsia="lv-LV"/>
              </w:rPr>
            </w:pPr>
            <w:r w:rsidRPr="0019406C">
              <w:rPr>
                <w:rFonts w:asciiTheme="majorHAnsi" w:hAnsiTheme="majorHAnsi" w:cs="Times New Roman"/>
                <w:b/>
                <w:color w:val="000000"/>
                <w:lang w:val="lv-LV"/>
              </w:rPr>
              <w:t>Sasaiste ar pamatnostādnēs noteiktajiem politikas mērķiem, rīcības virzieniem vai uzdevumiem</w:t>
            </w:r>
          </w:p>
        </w:tc>
        <w:tc>
          <w:tcPr>
            <w:tcW w:w="7513" w:type="dxa"/>
            <w:gridSpan w:val="3"/>
            <w:tcBorders>
              <w:top w:val="single" w:sz="4" w:space="0" w:color="auto"/>
              <w:bottom w:val="single" w:sz="4" w:space="0" w:color="auto"/>
            </w:tcBorders>
            <w:shd w:val="clear" w:color="auto" w:fill="EEECE1"/>
            <w:vAlign w:val="center"/>
          </w:tcPr>
          <w:p w:rsidR="00DF0153" w:rsidRPr="0019406C" w:rsidRDefault="00DF0153" w:rsidP="0021315F">
            <w:pPr>
              <w:spacing w:before="120" w:after="120" w:line="276" w:lineRule="auto"/>
              <w:jc w:val="center"/>
              <w:rPr>
                <w:rFonts w:asciiTheme="majorHAnsi" w:hAnsiTheme="majorHAnsi" w:cs="Times New Roman"/>
                <w:b/>
                <w:color w:val="000000"/>
                <w:lang w:val="lv-LV"/>
              </w:rPr>
            </w:pPr>
            <w:r w:rsidRPr="0019406C">
              <w:rPr>
                <w:rFonts w:asciiTheme="majorHAnsi" w:hAnsiTheme="majorHAnsi" w:cs="Times New Roman"/>
                <w:b/>
                <w:color w:val="000000"/>
                <w:lang w:val="lv-LV"/>
              </w:rPr>
              <w:t xml:space="preserve">MĒRĶIS: </w:t>
            </w:r>
            <w:r w:rsidRPr="0019406C">
              <w:rPr>
                <w:rFonts w:asciiTheme="majorHAnsi" w:eastAsia="Times New Roman" w:hAnsiTheme="majorHAnsi" w:cs="Times New Roman"/>
                <w:b/>
                <w:iCs/>
                <w:color w:val="000000"/>
                <w:lang w:val="lv-LV" w:eastAsia="lv-LV"/>
              </w:rPr>
              <w:t>vienkārši un kvalitat</w:t>
            </w:r>
            <w:r w:rsidRPr="0019406C">
              <w:rPr>
                <w:rFonts w:asciiTheme="majorHAnsi" w:hAnsiTheme="majorHAnsi" w:cs="Times New Roman"/>
                <w:b/>
                <w:color w:val="000000"/>
                <w:lang w:val="lv-LV"/>
              </w:rPr>
              <w:t>īvi pakalpojumi uzņēmējdarbībā: vairāk e-pakalpojumu!</w:t>
            </w:r>
          </w:p>
        </w:tc>
        <w:tc>
          <w:tcPr>
            <w:tcW w:w="2126" w:type="dxa"/>
            <w:tcBorders>
              <w:top w:val="single" w:sz="4" w:space="0" w:color="auto"/>
              <w:bottom w:val="single" w:sz="4" w:space="0" w:color="auto"/>
            </w:tcBorders>
            <w:shd w:val="clear" w:color="auto" w:fill="EEECE1"/>
          </w:tcPr>
          <w:p w:rsidR="00DF0153" w:rsidRPr="0019406C" w:rsidRDefault="00DF0153" w:rsidP="0021315F">
            <w:pPr>
              <w:spacing w:before="120" w:after="120" w:line="276" w:lineRule="auto"/>
              <w:jc w:val="center"/>
              <w:rPr>
                <w:rFonts w:asciiTheme="majorHAnsi" w:hAnsiTheme="majorHAnsi" w:cs="Times New Roman"/>
                <w:b/>
                <w:color w:val="000000"/>
                <w:lang w:val="lv-LV"/>
              </w:rPr>
            </w:pPr>
            <w:r w:rsidRPr="0019406C">
              <w:rPr>
                <w:rFonts w:asciiTheme="majorHAnsi" w:eastAsia="Times New Roman" w:hAnsiTheme="majorHAnsi" w:cs="Times New Roman"/>
                <w:b/>
                <w:bCs/>
                <w:caps/>
                <w:lang w:val="lv-LV" w:eastAsia="lv-LV"/>
              </w:rPr>
              <w:t>Paredzētais finansējums (</w:t>
            </w:r>
            <w:r w:rsidR="00111AD0" w:rsidRPr="0019406C">
              <w:rPr>
                <w:rFonts w:asciiTheme="majorHAnsi" w:eastAsia="Times New Roman" w:hAnsiTheme="majorHAnsi" w:cs="Times New Roman"/>
                <w:b/>
                <w:bCs/>
                <w:caps/>
                <w:lang w:val="lv-LV" w:eastAsia="lv-LV"/>
              </w:rPr>
              <w:t>EUR</w:t>
            </w:r>
            <w:r w:rsidRPr="0019406C">
              <w:rPr>
                <w:rFonts w:asciiTheme="majorHAnsi" w:eastAsia="Times New Roman" w:hAnsiTheme="majorHAnsi" w:cs="Times New Roman"/>
                <w:b/>
                <w:bCs/>
                <w:caps/>
                <w:lang w:val="lv-LV" w:eastAsia="lv-LV"/>
              </w:rPr>
              <w:t>) un tā avoti</w:t>
            </w:r>
          </w:p>
        </w:tc>
      </w:tr>
      <w:tr w:rsidR="00DF0153" w:rsidRPr="0019406C" w:rsidTr="006872E4">
        <w:tc>
          <w:tcPr>
            <w:tcW w:w="5495" w:type="dxa"/>
            <w:tcBorders>
              <w:bottom w:val="single" w:sz="4" w:space="0" w:color="auto"/>
            </w:tcBorders>
            <w:shd w:val="clear" w:color="auto" w:fill="EEECE1"/>
            <w:vAlign w:val="center"/>
          </w:tcPr>
          <w:p w:rsidR="00DF0153" w:rsidRPr="0019406C" w:rsidRDefault="00DF0153" w:rsidP="0021315F">
            <w:pPr>
              <w:spacing w:before="120" w:after="120" w:line="276" w:lineRule="auto"/>
              <w:jc w:val="center"/>
              <w:rPr>
                <w:rFonts w:asciiTheme="majorHAnsi" w:eastAsia="Times New Roman" w:hAnsiTheme="majorHAnsi" w:cs="Times New Roman"/>
                <w:b/>
                <w:color w:val="000000"/>
                <w:lang w:val="lv-LV" w:eastAsia="lv-LV"/>
              </w:rPr>
            </w:pPr>
            <w:r w:rsidRPr="0019406C">
              <w:rPr>
                <w:rFonts w:asciiTheme="majorHAnsi" w:eastAsia="Times New Roman" w:hAnsiTheme="majorHAnsi" w:cs="Times New Roman"/>
                <w:b/>
                <w:color w:val="000000"/>
                <w:lang w:val="lv-LV" w:eastAsia="lv-LV"/>
              </w:rPr>
              <w:t>Pasākumi izvirzītā mērķa sasniegšanai</w:t>
            </w:r>
          </w:p>
        </w:tc>
        <w:tc>
          <w:tcPr>
            <w:tcW w:w="1701" w:type="dxa"/>
            <w:tcBorders>
              <w:bottom w:val="single" w:sz="4" w:space="0" w:color="auto"/>
            </w:tcBorders>
            <w:shd w:val="clear" w:color="auto" w:fill="EEECE1"/>
            <w:vAlign w:val="center"/>
          </w:tcPr>
          <w:p w:rsidR="00DF0153" w:rsidRPr="0019406C" w:rsidRDefault="00DF0153" w:rsidP="0021315F">
            <w:pPr>
              <w:spacing w:before="120" w:after="120" w:line="276" w:lineRule="auto"/>
              <w:jc w:val="center"/>
              <w:rPr>
                <w:rFonts w:asciiTheme="majorHAnsi" w:hAnsiTheme="majorHAnsi" w:cs="Times New Roman"/>
                <w:b/>
                <w:color w:val="000000"/>
                <w:lang w:val="lv-LV"/>
              </w:rPr>
            </w:pPr>
            <w:r w:rsidRPr="0019406C">
              <w:rPr>
                <w:rFonts w:asciiTheme="majorHAnsi" w:hAnsiTheme="majorHAnsi" w:cs="Times New Roman"/>
                <w:b/>
                <w:color w:val="000000"/>
                <w:lang w:val="lv-LV"/>
              </w:rPr>
              <w:t>Izpildes termiņi</w:t>
            </w:r>
          </w:p>
        </w:tc>
        <w:tc>
          <w:tcPr>
            <w:tcW w:w="1559" w:type="dxa"/>
            <w:tcBorders>
              <w:bottom w:val="single" w:sz="4" w:space="0" w:color="auto"/>
            </w:tcBorders>
            <w:shd w:val="clear" w:color="auto" w:fill="EEECE1"/>
            <w:vAlign w:val="center"/>
          </w:tcPr>
          <w:p w:rsidR="00DF0153" w:rsidRPr="0019406C" w:rsidRDefault="00DF0153" w:rsidP="0021315F">
            <w:pPr>
              <w:spacing w:before="120" w:after="120" w:line="276" w:lineRule="auto"/>
              <w:jc w:val="center"/>
              <w:rPr>
                <w:rFonts w:asciiTheme="majorHAnsi" w:eastAsia="Times New Roman" w:hAnsiTheme="majorHAnsi" w:cs="Times New Roman"/>
                <w:b/>
                <w:color w:val="000000"/>
                <w:lang w:val="lv-LV" w:eastAsia="lv-LV"/>
              </w:rPr>
            </w:pPr>
            <w:r w:rsidRPr="0019406C">
              <w:rPr>
                <w:rFonts w:asciiTheme="majorHAnsi" w:hAnsiTheme="majorHAnsi" w:cs="Times New Roman"/>
                <w:b/>
                <w:color w:val="000000"/>
                <w:lang w:val="lv-LV"/>
              </w:rPr>
              <w:t>Atbildīgā institūcija un iesaistītās institūcijas</w:t>
            </w:r>
          </w:p>
        </w:tc>
        <w:tc>
          <w:tcPr>
            <w:tcW w:w="4253" w:type="dxa"/>
            <w:tcBorders>
              <w:bottom w:val="single" w:sz="4" w:space="0" w:color="auto"/>
            </w:tcBorders>
            <w:shd w:val="clear" w:color="auto" w:fill="EEECE1"/>
            <w:vAlign w:val="center"/>
          </w:tcPr>
          <w:p w:rsidR="00DF0153" w:rsidRPr="0019406C" w:rsidRDefault="00DF0153" w:rsidP="0021315F">
            <w:pPr>
              <w:spacing w:before="120" w:after="120" w:line="276" w:lineRule="auto"/>
              <w:jc w:val="center"/>
              <w:rPr>
                <w:rFonts w:asciiTheme="majorHAnsi" w:hAnsiTheme="majorHAnsi" w:cs="Times New Roman"/>
                <w:b/>
                <w:color w:val="000000"/>
                <w:lang w:val="lv-LV"/>
              </w:rPr>
            </w:pPr>
            <w:r w:rsidRPr="0019406C">
              <w:rPr>
                <w:rFonts w:asciiTheme="majorHAnsi" w:hAnsiTheme="majorHAnsi" w:cs="Times New Roman"/>
                <w:b/>
                <w:color w:val="000000"/>
                <w:lang w:val="lv-LV"/>
              </w:rPr>
              <w:t xml:space="preserve">Tiešās darbības </w:t>
            </w:r>
          </w:p>
        </w:tc>
        <w:tc>
          <w:tcPr>
            <w:tcW w:w="2126" w:type="dxa"/>
            <w:tcBorders>
              <w:bottom w:val="single" w:sz="4" w:space="0" w:color="auto"/>
            </w:tcBorders>
            <w:shd w:val="clear" w:color="auto" w:fill="EEECE1"/>
          </w:tcPr>
          <w:p w:rsidR="00DF0153" w:rsidRPr="0019406C" w:rsidRDefault="00DF0153" w:rsidP="0021315F">
            <w:pPr>
              <w:spacing w:before="120" w:after="120" w:line="276" w:lineRule="auto"/>
              <w:jc w:val="center"/>
              <w:rPr>
                <w:rFonts w:asciiTheme="majorHAnsi" w:hAnsiTheme="majorHAnsi" w:cs="Times New Roman"/>
                <w:b/>
                <w:color w:val="000000"/>
                <w:lang w:val="lv-LV"/>
              </w:rPr>
            </w:pPr>
            <w:r w:rsidRPr="0019406C">
              <w:rPr>
                <w:rFonts w:asciiTheme="majorHAnsi" w:hAnsiTheme="majorHAnsi" w:cs="Times New Roman"/>
                <w:b/>
                <w:color w:val="000000"/>
                <w:lang w:val="lv-LV"/>
              </w:rPr>
              <w:t>Paredzētais finansējuma avots (</w:t>
            </w:r>
            <w:r w:rsidR="00111AD0" w:rsidRPr="0019406C">
              <w:rPr>
                <w:rFonts w:asciiTheme="majorHAnsi" w:hAnsiTheme="majorHAnsi" w:cs="Times New Roman"/>
                <w:b/>
                <w:color w:val="000000"/>
                <w:lang w:val="lv-LV"/>
              </w:rPr>
              <w:t>eiro</w:t>
            </w:r>
            <w:r w:rsidRPr="0019406C">
              <w:rPr>
                <w:rFonts w:asciiTheme="majorHAnsi" w:hAnsiTheme="majorHAnsi" w:cs="Times New Roman"/>
                <w:b/>
                <w:color w:val="000000"/>
                <w:lang w:val="lv-LV"/>
              </w:rPr>
              <w:t>) un tā apmēri</w:t>
            </w:r>
          </w:p>
        </w:tc>
      </w:tr>
      <w:tr w:rsidR="00DF0153" w:rsidRPr="0019406C" w:rsidTr="006872E4">
        <w:tc>
          <w:tcPr>
            <w:tcW w:w="5495" w:type="dxa"/>
            <w:tcBorders>
              <w:bottom w:val="single" w:sz="4" w:space="0" w:color="auto"/>
            </w:tcBorders>
            <w:shd w:val="clear" w:color="auto" w:fill="EEECE1"/>
            <w:vAlign w:val="center"/>
          </w:tcPr>
          <w:p w:rsidR="00DF0153" w:rsidRPr="0019406C" w:rsidRDefault="00DF0153" w:rsidP="0021315F">
            <w:pPr>
              <w:spacing w:before="120" w:after="120" w:line="276" w:lineRule="auto"/>
              <w:rPr>
                <w:rFonts w:asciiTheme="majorHAnsi" w:eastAsia="Times New Roman" w:hAnsiTheme="majorHAnsi" w:cs="Times New Roman"/>
                <w:b/>
                <w:bCs/>
                <w:color w:val="000000"/>
                <w:lang w:val="lv-LV" w:eastAsia="lv-LV"/>
              </w:rPr>
            </w:pPr>
            <w:r w:rsidRPr="0019406C">
              <w:rPr>
                <w:rFonts w:asciiTheme="majorHAnsi" w:eastAsia="Times New Roman" w:hAnsiTheme="majorHAnsi" w:cs="Times New Roman"/>
                <w:b/>
                <w:bCs/>
                <w:color w:val="000000"/>
                <w:lang w:val="lv-LV" w:eastAsia="lv-LV"/>
              </w:rPr>
              <w:t>Rīcības virziens mērķa sasniegšanai:</w:t>
            </w:r>
          </w:p>
        </w:tc>
        <w:tc>
          <w:tcPr>
            <w:tcW w:w="9639" w:type="dxa"/>
            <w:gridSpan w:val="4"/>
            <w:tcBorders>
              <w:bottom w:val="single" w:sz="4" w:space="0" w:color="auto"/>
            </w:tcBorders>
            <w:shd w:val="clear" w:color="auto" w:fill="EEECE1"/>
          </w:tcPr>
          <w:p w:rsidR="00DF0153" w:rsidRPr="0019406C" w:rsidRDefault="004B08CA" w:rsidP="0021315F">
            <w:pPr>
              <w:pStyle w:val="SLONormal"/>
              <w:spacing w:line="276" w:lineRule="auto"/>
              <w:rPr>
                <w:rFonts w:asciiTheme="majorHAnsi" w:hAnsiTheme="majorHAnsi"/>
                <w:b/>
                <w:sz w:val="20"/>
                <w:szCs w:val="20"/>
                <w:lang w:val="lv-LV" w:eastAsia="lv-LV"/>
              </w:rPr>
            </w:pPr>
            <w:r w:rsidRPr="0019406C">
              <w:rPr>
                <w:rFonts w:asciiTheme="majorHAnsi" w:hAnsiTheme="majorHAnsi"/>
                <w:b/>
                <w:sz w:val="20"/>
                <w:szCs w:val="20"/>
                <w:lang w:val="lv-LV" w:eastAsia="lv-LV"/>
              </w:rPr>
              <w:t>1. Uzņēmējdarbības uzsākšana</w:t>
            </w:r>
          </w:p>
        </w:tc>
      </w:tr>
      <w:tr w:rsidR="00A25840" w:rsidRPr="00BB0049" w:rsidTr="006872E4">
        <w:tc>
          <w:tcPr>
            <w:tcW w:w="5495" w:type="dxa"/>
            <w:shd w:val="clear" w:color="auto" w:fill="auto"/>
          </w:tcPr>
          <w:p w:rsidR="00A25840" w:rsidRPr="0019406C" w:rsidRDefault="00A25840" w:rsidP="00E521EE">
            <w:pPr>
              <w:pStyle w:val="ListParagraph"/>
              <w:numPr>
                <w:ilvl w:val="1"/>
                <w:numId w:val="20"/>
              </w:numPr>
              <w:spacing w:line="276" w:lineRule="auto"/>
              <w:rPr>
                <w:rFonts w:asciiTheme="majorHAnsi" w:eastAsia="Calibri" w:hAnsiTheme="majorHAnsi" w:cs="Calibri"/>
                <w:b/>
                <w:color w:val="000000"/>
                <w:sz w:val="20"/>
                <w:lang w:val="lv-LV"/>
              </w:rPr>
            </w:pPr>
            <w:r w:rsidRPr="0019406C">
              <w:rPr>
                <w:rFonts w:asciiTheme="majorHAnsi" w:eastAsia="Calibri" w:hAnsiTheme="majorHAnsi" w:cs="Calibri"/>
                <w:b/>
                <w:color w:val="000000"/>
                <w:sz w:val="20"/>
                <w:lang w:val="lv-LV"/>
              </w:rPr>
              <w:t>Uzņēmēju izpratnes par uzņēmējdarbības veidiem un ar to saistītajiem pienākumiem  veicināšana</w:t>
            </w:r>
          </w:p>
          <w:p w:rsidR="0013783F" w:rsidRPr="0019406C" w:rsidRDefault="00255759" w:rsidP="00A25840">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 xml:space="preserve">Lai arī </w:t>
            </w:r>
            <w:r w:rsidR="00F92286" w:rsidRPr="0019406C">
              <w:rPr>
                <w:rFonts w:asciiTheme="majorHAnsi" w:eastAsia="Calibri" w:hAnsiTheme="majorHAnsi" w:cs="Calibri"/>
                <w:color w:val="000000"/>
                <w:lang w:val="lv-LV"/>
              </w:rPr>
              <w:t xml:space="preserve">šis jautājums </w:t>
            </w:r>
            <w:r w:rsidRPr="0019406C">
              <w:rPr>
                <w:rFonts w:asciiTheme="majorHAnsi" w:eastAsia="Calibri" w:hAnsiTheme="majorHAnsi" w:cs="Calibri"/>
                <w:color w:val="000000"/>
                <w:lang w:val="lv-LV"/>
              </w:rPr>
              <w:t>nav apskatīts uzņēmēju aptaujā, atsaucoties uz UR sniegto informāciju, u</w:t>
            </w:r>
            <w:r w:rsidR="00A25840" w:rsidRPr="0019406C">
              <w:rPr>
                <w:rFonts w:asciiTheme="majorHAnsi" w:eastAsia="Calibri" w:hAnsiTheme="majorHAnsi" w:cs="Calibri"/>
                <w:color w:val="000000"/>
                <w:lang w:val="lv-LV"/>
              </w:rPr>
              <w:t xml:space="preserve">zņēmējiem bieži nav pilnīga informācija par attiecīgām administratīvām procedūrām, ar kurām viņiem ir jārēķinās reģistrējot kādu no uzņēmējdarbības veidiem. Bieži UR </w:t>
            </w:r>
            <w:r w:rsidR="00EE7D07" w:rsidRPr="0019406C">
              <w:rPr>
                <w:rFonts w:asciiTheme="majorHAnsi" w:eastAsia="Calibri" w:hAnsiTheme="majorHAnsi" w:cs="Calibri"/>
                <w:color w:val="000000"/>
                <w:lang w:val="lv-LV"/>
              </w:rPr>
              <w:t>ir</w:t>
            </w:r>
            <w:r w:rsidR="00A25840" w:rsidRPr="0019406C">
              <w:rPr>
                <w:rFonts w:asciiTheme="majorHAnsi" w:eastAsia="Calibri" w:hAnsiTheme="majorHAnsi" w:cs="Calibri"/>
                <w:color w:val="000000"/>
                <w:lang w:val="lv-LV"/>
              </w:rPr>
              <w:t xml:space="preserve"> jāatbild uz jautājumiem par nodokļiem, kas nav UR </w:t>
            </w:r>
            <w:r w:rsidR="0072729F" w:rsidRPr="0019406C">
              <w:rPr>
                <w:rFonts w:asciiTheme="majorHAnsi" w:eastAsia="Calibri" w:hAnsiTheme="majorHAnsi" w:cs="Calibri"/>
                <w:color w:val="000000"/>
                <w:lang w:val="lv-LV"/>
              </w:rPr>
              <w:t>pārziņa</w:t>
            </w:r>
            <w:r w:rsidR="00A25840" w:rsidRPr="0019406C">
              <w:rPr>
                <w:rFonts w:asciiTheme="majorHAnsi" w:eastAsia="Calibri" w:hAnsiTheme="majorHAnsi" w:cs="Calibri"/>
                <w:color w:val="000000"/>
                <w:lang w:val="lv-LV"/>
              </w:rPr>
              <w:t>.</w:t>
            </w:r>
          </w:p>
          <w:p w:rsidR="00A25840" w:rsidRPr="0019406C" w:rsidRDefault="0013783F" w:rsidP="00A25840">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Minētā problēma tiešā veidā neietekmē DB pētījuma rezultātus, taču ietekmē uzņēmējdarbības vidi un uzņēmēju apmierinātību un izpratni par uzņēmējdarbību un saistītajiem procesiem Latvijā.</w:t>
            </w:r>
          </w:p>
          <w:p w:rsidR="00A25840" w:rsidRPr="0019406C" w:rsidRDefault="00A25840" w:rsidP="00A25840">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 xml:space="preserve">Informācija par uzņēmējdarbības formām un ar to saistītajām administratīvajām procedūrām, kā arī informācija par uzņēmējdarbības reģistrēšanu un ar to saistītajām licencēm šobrīd nav pieejama vienuviet. Daļēji minētā informācija ir iekļauta portālā </w:t>
            </w:r>
            <w:hyperlink r:id="rId36" w:history="1">
              <w:r w:rsidRPr="0019406C">
                <w:rPr>
                  <w:rStyle w:val="Hyperlink"/>
                  <w:rFonts w:asciiTheme="majorHAnsi" w:eastAsia="Calibri" w:hAnsiTheme="majorHAnsi" w:cs="Calibri"/>
                  <w:lang w:val="lv-LV"/>
                </w:rPr>
                <w:t>www.latvija.lv</w:t>
              </w:r>
            </w:hyperlink>
            <w:r w:rsidRPr="0019406C">
              <w:rPr>
                <w:rFonts w:asciiTheme="majorHAnsi" w:eastAsia="Calibri" w:hAnsiTheme="majorHAnsi" w:cs="Calibri"/>
                <w:color w:val="000000"/>
                <w:lang w:val="lv-LV"/>
              </w:rPr>
              <w:t xml:space="preserve">, taču </w:t>
            </w:r>
            <w:r w:rsidRPr="0019406C">
              <w:rPr>
                <w:rFonts w:asciiTheme="majorHAnsi" w:eastAsia="Calibri" w:hAnsiTheme="majorHAnsi" w:cs="Calibri"/>
                <w:color w:val="000000"/>
                <w:lang w:val="lv-LV"/>
              </w:rPr>
              <w:lastRenderedPageBreak/>
              <w:t>tur nav strukturēti pieejama visa minētā informācija. Tādēļ uzņēmējiem informācija ir jāmeklē vairākās vietnēs un jāliek kopā, kas ne visās situācijās ir skaidri un pašsaprotami izdarāms.</w:t>
            </w:r>
          </w:p>
          <w:p w:rsidR="00A25840" w:rsidRPr="0019406C" w:rsidRDefault="00A25840" w:rsidP="00A25840">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 xml:space="preserve">Tādēļ, lai veicinātu vispārēju uzņēmēju izpratni par to, kāda uzņēmējdarbības forma tiem jāreģistrē, kādas licences nepieciešamas </w:t>
            </w:r>
            <w:proofErr w:type="spellStart"/>
            <w:r w:rsidRPr="0019406C">
              <w:rPr>
                <w:rFonts w:asciiTheme="majorHAnsi" w:eastAsia="Calibri" w:hAnsiTheme="majorHAnsi" w:cs="Calibri"/>
                <w:color w:val="000000"/>
                <w:lang w:val="lv-LV"/>
              </w:rPr>
              <w:t>u.c</w:t>
            </w:r>
            <w:proofErr w:type="spellEnd"/>
            <w:r w:rsidRPr="0019406C">
              <w:rPr>
                <w:rFonts w:asciiTheme="majorHAnsi" w:eastAsia="Calibri" w:hAnsiTheme="majorHAnsi" w:cs="Calibri"/>
                <w:color w:val="000000"/>
                <w:lang w:val="lv-LV"/>
              </w:rPr>
              <w:t xml:space="preserve">., būtu jāizveido e-pakalpojums, kura ietvaros būtu strukturēta informācija par ar uzņēmējdarbības formām saistītajām administratīvajām procedūrām un nodokļiem portālā </w:t>
            </w:r>
            <w:hyperlink r:id="rId37" w:history="1">
              <w:r w:rsidRPr="0019406C">
                <w:rPr>
                  <w:rStyle w:val="Hyperlink"/>
                  <w:rFonts w:asciiTheme="majorHAnsi" w:eastAsia="Calibri" w:hAnsiTheme="majorHAnsi" w:cs="Calibri"/>
                  <w:lang w:val="lv-LV"/>
                </w:rPr>
                <w:t>www.latvija.lv</w:t>
              </w:r>
            </w:hyperlink>
            <w:r w:rsidRPr="0019406C">
              <w:rPr>
                <w:rFonts w:asciiTheme="majorHAnsi" w:eastAsia="Calibri" w:hAnsiTheme="majorHAnsi" w:cs="Calibri"/>
                <w:color w:val="000000"/>
                <w:lang w:val="lv-LV"/>
              </w:rPr>
              <w:t xml:space="preserve">, kā arī drukātos informācijas materiālos un atbildīgo institūciju mājas lapās. </w:t>
            </w:r>
          </w:p>
          <w:p w:rsidR="00A25840" w:rsidRPr="0019406C" w:rsidRDefault="00A25840" w:rsidP="00A25840">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Piemēram, minētā informācija varētu tikt kārtota pēc „</w:t>
            </w:r>
            <w:proofErr w:type="spellStart"/>
            <w:r w:rsidRPr="0019406C">
              <w:rPr>
                <w:rFonts w:asciiTheme="majorHAnsi" w:eastAsia="Calibri" w:hAnsiTheme="majorHAnsi" w:cs="Calibri"/>
                <w:color w:val="000000"/>
                <w:lang w:val="lv-LV"/>
              </w:rPr>
              <w:t>road</w:t>
            </w:r>
            <w:proofErr w:type="spellEnd"/>
            <w:r w:rsidRPr="0019406C">
              <w:rPr>
                <w:rFonts w:asciiTheme="majorHAnsi" w:eastAsia="Calibri" w:hAnsiTheme="majorHAnsi" w:cs="Calibri"/>
                <w:color w:val="000000"/>
                <w:lang w:val="lv-LV"/>
              </w:rPr>
              <w:t xml:space="preserve"> </w:t>
            </w:r>
            <w:proofErr w:type="spellStart"/>
            <w:r w:rsidRPr="0019406C">
              <w:rPr>
                <w:rFonts w:asciiTheme="majorHAnsi" w:eastAsia="Calibri" w:hAnsiTheme="majorHAnsi" w:cs="Calibri"/>
                <w:color w:val="000000"/>
                <w:lang w:val="lv-LV"/>
              </w:rPr>
              <w:t>map</w:t>
            </w:r>
            <w:proofErr w:type="spellEnd"/>
            <w:r w:rsidRPr="0019406C">
              <w:rPr>
                <w:rFonts w:asciiTheme="majorHAnsi" w:eastAsia="Calibri" w:hAnsiTheme="majorHAnsi" w:cs="Calibri"/>
                <w:color w:val="000000"/>
                <w:lang w:val="lv-LV"/>
              </w:rPr>
              <w:t xml:space="preserve">” principa, kur uzņēmējam pakāpeniski izvēloties uzņēmējdarbības veidu un nozari parādās tālākie soļi, pastāvošie administratīvās procedūras, nepieciešamās licences un atļaujas un turpmākie reģistrācijas soļi. </w:t>
            </w:r>
          </w:p>
          <w:p w:rsidR="00A25840" w:rsidRPr="0019406C" w:rsidRDefault="00A25840" w:rsidP="00A25840">
            <w:pPr>
              <w:pStyle w:val="CommentText"/>
              <w:keepNext/>
              <w:spacing w:before="120" w:after="0" w:line="276" w:lineRule="auto"/>
              <w:jc w:val="both"/>
              <w:rPr>
                <w:rFonts w:asciiTheme="majorHAnsi" w:hAnsiTheme="majorHAnsi"/>
                <w:lang w:val="lv-LV"/>
              </w:rPr>
            </w:pPr>
            <w:r w:rsidRPr="0019406C">
              <w:rPr>
                <w:rFonts w:asciiTheme="majorHAnsi" w:hAnsiTheme="majorHAnsi"/>
                <w:lang w:val="lv-LV"/>
              </w:rPr>
              <w:object w:dxaOrig="5966" w:dyaOrig="6320" w14:anchorId="06810F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75pt;height:162pt" o:ole="" o:bordertopcolor="this" o:borderleftcolor="this" o:borderbottomcolor="this" o:borderrightcolor="this">
                  <v:imagedata r:id="rId38" o:title=""/>
                  <w10:bordertop type="single" width="4"/>
                  <w10:borderleft type="single" width="4"/>
                  <w10:borderbottom type="single" width="4"/>
                  <w10:borderright type="single" width="4"/>
                </v:shape>
                <o:OLEObject Type="Embed" ProgID="Visio.Drawing.11" ShapeID="_x0000_i1025" DrawAspect="Content" ObjectID="_1463569304" r:id="rId39"/>
              </w:object>
            </w:r>
          </w:p>
          <w:p w:rsidR="00A25840" w:rsidRPr="0019406C" w:rsidRDefault="00A25840" w:rsidP="00A25840">
            <w:pPr>
              <w:pStyle w:val="Caption"/>
              <w:spacing w:line="276" w:lineRule="auto"/>
              <w:jc w:val="both"/>
              <w:rPr>
                <w:rFonts w:asciiTheme="majorHAnsi" w:eastAsia="Calibri" w:hAnsiTheme="majorHAnsi" w:cs="Calibri"/>
                <w:color w:val="000000"/>
                <w:lang w:val="lv-LV"/>
              </w:rPr>
            </w:pPr>
            <w:r w:rsidRPr="0019406C">
              <w:rPr>
                <w:rFonts w:asciiTheme="majorHAnsi" w:hAnsiTheme="majorHAnsi"/>
                <w:lang w:val="lv-LV"/>
              </w:rPr>
              <w:t xml:space="preserve">Ilustrācija </w:t>
            </w:r>
            <w:r w:rsidRPr="0019406C">
              <w:rPr>
                <w:rFonts w:asciiTheme="majorHAnsi" w:hAnsiTheme="majorHAnsi"/>
                <w:lang w:val="lv-LV"/>
              </w:rPr>
              <w:fldChar w:fldCharType="begin"/>
            </w:r>
            <w:r w:rsidRPr="0019406C">
              <w:rPr>
                <w:rFonts w:asciiTheme="majorHAnsi" w:hAnsiTheme="majorHAnsi"/>
                <w:lang w:val="lv-LV"/>
              </w:rPr>
              <w:instrText xml:space="preserve"> SEQ Ilustrācija \* ARABIC </w:instrText>
            </w:r>
            <w:r w:rsidRPr="0019406C">
              <w:rPr>
                <w:rFonts w:asciiTheme="majorHAnsi" w:hAnsiTheme="majorHAnsi"/>
                <w:lang w:val="lv-LV"/>
              </w:rPr>
              <w:fldChar w:fldCharType="separate"/>
            </w:r>
            <w:r w:rsidR="00410806" w:rsidRPr="0019406C">
              <w:rPr>
                <w:rFonts w:asciiTheme="majorHAnsi" w:hAnsiTheme="majorHAnsi"/>
                <w:noProof/>
                <w:lang w:val="lv-LV"/>
              </w:rPr>
              <w:t>18</w:t>
            </w:r>
            <w:r w:rsidRPr="0019406C">
              <w:rPr>
                <w:rFonts w:asciiTheme="majorHAnsi" w:hAnsiTheme="majorHAnsi"/>
                <w:lang w:val="lv-LV"/>
              </w:rPr>
              <w:fldChar w:fldCharType="end"/>
            </w:r>
            <w:r w:rsidRPr="0019406C">
              <w:rPr>
                <w:rFonts w:asciiTheme="majorHAnsi" w:hAnsiTheme="majorHAnsi"/>
                <w:lang w:val="lv-LV"/>
              </w:rPr>
              <w:t xml:space="preserve"> "</w:t>
            </w:r>
            <w:proofErr w:type="spellStart"/>
            <w:r w:rsidRPr="0019406C">
              <w:rPr>
                <w:rFonts w:asciiTheme="majorHAnsi" w:hAnsiTheme="majorHAnsi"/>
                <w:lang w:val="lv-LV"/>
              </w:rPr>
              <w:t>road</w:t>
            </w:r>
            <w:proofErr w:type="spellEnd"/>
            <w:r w:rsidRPr="0019406C">
              <w:rPr>
                <w:rFonts w:asciiTheme="majorHAnsi" w:hAnsiTheme="majorHAnsi"/>
                <w:lang w:val="lv-LV"/>
              </w:rPr>
              <w:t xml:space="preserve"> </w:t>
            </w:r>
            <w:proofErr w:type="spellStart"/>
            <w:r w:rsidRPr="0019406C">
              <w:rPr>
                <w:rFonts w:asciiTheme="majorHAnsi" w:hAnsiTheme="majorHAnsi"/>
                <w:lang w:val="lv-LV"/>
              </w:rPr>
              <w:t>map</w:t>
            </w:r>
            <w:proofErr w:type="spellEnd"/>
            <w:r w:rsidRPr="0019406C">
              <w:rPr>
                <w:rFonts w:asciiTheme="majorHAnsi" w:hAnsiTheme="majorHAnsi"/>
                <w:lang w:val="lv-LV"/>
              </w:rPr>
              <w:t>" pakalpojuma teorētisks piemērs</w:t>
            </w:r>
          </w:p>
          <w:p w:rsidR="00A25840" w:rsidRPr="0019406C" w:rsidRDefault="00A25840" w:rsidP="00A25840">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 xml:space="preserve">Papildus informācijas sniegšanai par uzņēmējdarbības </w:t>
            </w:r>
            <w:r w:rsidRPr="0019406C">
              <w:rPr>
                <w:rFonts w:asciiTheme="majorHAnsi" w:eastAsia="Calibri" w:hAnsiTheme="majorHAnsi" w:cs="Calibri"/>
                <w:color w:val="000000"/>
                <w:lang w:val="lv-LV"/>
              </w:rPr>
              <w:lastRenderedPageBreak/>
              <w:t xml:space="preserve">formām un ar to saistītajām administratīvajām procedūrām un nodokļu slogam, e-pakalpojumam jānodrošina </w:t>
            </w:r>
            <w:r w:rsidR="0072729F" w:rsidRPr="0019406C">
              <w:rPr>
                <w:rFonts w:asciiTheme="majorHAnsi" w:eastAsia="Calibri" w:hAnsiTheme="majorHAnsi" w:cs="Calibri"/>
                <w:color w:val="000000"/>
                <w:lang w:val="lv-LV"/>
              </w:rPr>
              <w:t>iespēja</w:t>
            </w:r>
            <w:r w:rsidRPr="0019406C">
              <w:rPr>
                <w:rFonts w:asciiTheme="majorHAnsi" w:eastAsia="Calibri" w:hAnsiTheme="majorHAnsi" w:cs="Calibri"/>
                <w:color w:val="000000"/>
                <w:lang w:val="lv-LV"/>
              </w:rPr>
              <w:t xml:space="preserve"> reģistrēt kādu no uzņēmējdarbības formām, iniciēt nepieciešamo atļauju un licenču izsniegšanu kā arī pēc nepieciešamības reģistrēties VID.</w:t>
            </w:r>
          </w:p>
          <w:p w:rsidR="00A25840" w:rsidRPr="0019406C" w:rsidRDefault="00A25840" w:rsidP="00A25840">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 xml:space="preserve">Rezultātā </w:t>
            </w:r>
            <w:r w:rsidR="000E23C1" w:rsidRPr="0019406C">
              <w:rPr>
                <w:rFonts w:asciiTheme="majorHAnsi" w:eastAsia="Calibri" w:hAnsiTheme="majorHAnsi" w:cs="Calibri"/>
                <w:color w:val="000000"/>
                <w:lang w:val="lv-LV"/>
              </w:rPr>
              <w:t xml:space="preserve">topošie un esošie </w:t>
            </w:r>
            <w:r w:rsidRPr="0019406C">
              <w:rPr>
                <w:rFonts w:asciiTheme="majorHAnsi" w:eastAsia="Calibri" w:hAnsiTheme="majorHAnsi" w:cs="Calibri"/>
                <w:color w:val="000000"/>
                <w:lang w:val="lv-LV"/>
              </w:rPr>
              <w:t>uzņēmēji būs zinošāki par administratīvajām procedūrām, ar kurām tiem jārēķinās un biežāk reģistrēs tieši savai uzņēmējdarbībai atbilstošo uzņēmējdarbības formu, tādējādi ietaupot savus resursus.</w:t>
            </w:r>
          </w:p>
          <w:p w:rsidR="00A25840" w:rsidRPr="0019406C" w:rsidRDefault="0018196A" w:rsidP="00E75397">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Vienlaicīgi jāapsver jautājumi</w:t>
            </w:r>
            <w:r w:rsidR="0013783F" w:rsidRPr="0019406C">
              <w:rPr>
                <w:rFonts w:asciiTheme="majorHAnsi" w:eastAsia="Calibri" w:hAnsiTheme="majorHAnsi" w:cs="Calibri"/>
                <w:color w:val="000000"/>
                <w:lang w:val="lv-LV"/>
              </w:rPr>
              <w:t xml:space="preserve"> par to</w:t>
            </w:r>
            <w:r w:rsidRPr="0019406C">
              <w:rPr>
                <w:rFonts w:asciiTheme="majorHAnsi" w:eastAsia="Calibri" w:hAnsiTheme="majorHAnsi" w:cs="Calibri"/>
                <w:color w:val="000000"/>
                <w:lang w:val="lv-LV"/>
              </w:rPr>
              <w:t>, kā kontrolēt fiktīvu uzņēmumu rašanos un kā to varētu novērst</w:t>
            </w:r>
            <w:r w:rsidR="0013783F" w:rsidRPr="0019406C">
              <w:rPr>
                <w:rFonts w:asciiTheme="majorHAnsi" w:eastAsia="Calibri" w:hAnsiTheme="majorHAnsi" w:cs="Calibri"/>
                <w:color w:val="000000"/>
                <w:lang w:val="lv-LV"/>
              </w:rPr>
              <w:t xml:space="preserve"> un ierobežot.</w:t>
            </w:r>
          </w:p>
        </w:tc>
        <w:tc>
          <w:tcPr>
            <w:tcW w:w="1701" w:type="dxa"/>
            <w:shd w:val="clear" w:color="auto" w:fill="auto"/>
          </w:tcPr>
          <w:p w:rsidR="00A25840" w:rsidRPr="0019406C" w:rsidRDefault="00A25840" w:rsidP="00A25840">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lastRenderedPageBreak/>
              <w:t>31.12.2015</w:t>
            </w:r>
          </w:p>
        </w:tc>
        <w:tc>
          <w:tcPr>
            <w:tcW w:w="1559" w:type="dxa"/>
            <w:shd w:val="clear" w:color="auto" w:fill="auto"/>
          </w:tcPr>
          <w:p w:rsidR="00A25840" w:rsidRPr="0019406C" w:rsidRDefault="00A25840" w:rsidP="00A25840">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UR, VID, VARAM</w:t>
            </w:r>
          </w:p>
        </w:tc>
        <w:tc>
          <w:tcPr>
            <w:tcW w:w="4253" w:type="dxa"/>
            <w:shd w:val="clear" w:color="auto" w:fill="auto"/>
          </w:tcPr>
          <w:p w:rsidR="00A25840" w:rsidRPr="0019406C" w:rsidRDefault="00A25840" w:rsidP="00E521EE">
            <w:pPr>
              <w:pStyle w:val="CommentText"/>
              <w:numPr>
                <w:ilvl w:val="1"/>
                <w:numId w:val="52"/>
              </w:numPr>
              <w:tabs>
                <w:tab w:val="left" w:pos="305"/>
              </w:tabs>
              <w:spacing w:before="120" w:after="0" w:line="276" w:lineRule="auto"/>
              <w:ind w:left="459" w:hanging="283"/>
              <w:jc w:val="both"/>
              <w:rPr>
                <w:rFonts w:asciiTheme="majorHAnsi" w:hAnsiTheme="majorHAnsi"/>
                <w:color w:val="000000"/>
                <w:lang w:val="lv-LV"/>
              </w:rPr>
            </w:pPr>
            <w:r w:rsidRPr="0019406C">
              <w:rPr>
                <w:rFonts w:asciiTheme="majorHAnsi" w:hAnsiTheme="majorHAnsi"/>
                <w:color w:val="000000"/>
                <w:lang w:val="lv-LV"/>
              </w:rPr>
              <w:t xml:space="preserve">Izstrādāt uzņēmējiem viegli saprotamu </w:t>
            </w:r>
            <w:r w:rsidRPr="0019406C">
              <w:rPr>
                <w:rFonts w:asciiTheme="majorHAnsi" w:hAnsiTheme="majorHAnsi"/>
                <w:lang w:val="lv-LV"/>
              </w:rPr>
              <w:t xml:space="preserve"> </w:t>
            </w:r>
            <w:r w:rsidRPr="0019406C">
              <w:rPr>
                <w:rFonts w:asciiTheme="majorHAnsi" w:hAnsiTheme="majorHAnsi"/>
                <w:color w:val="000000"/>
                <w:lang w:val="lv-LV"/>
              </w:rPr>
              <w:t xml:space="preserve">e-pakalpojumu, kas kalpotu kā uzņēmējdarbības reģistrēšanas platforma un reizē arī palīdzētu uzņēmējiem izvēlēties pareizās uzņēmējdarbības formas, izprast nepieciešamās licences un atļaujas, kā arī iniciēt to izsniegšanas procesu. </w:t>
            </w:r>
          </w:p>
          <w:p w:rsidR="00A25840" w:rsidRPr="0019406C" w:rsidRDefault="00A25840" w:rsidP="00FA3A5C">
            <w:pPr>
              <w:pStyle w:val="CommentText"/>
              <w:tabs>
                <w:tab w:val="left" w:pos="305"/>
              </w:tabs>
              <w:spacing w:before="120" w:after="0" w:line="276" w:lineRule="auto"/>
              <w:ind w:left="459"/>
              <w:jc w:val="both"/>
              <w:rPr>
                <w:rFonts w:asciiTheme="majorHAnsi" w:hAnsiTheme="majorHAnsi"/>
                <w:color w:val="000000"/>
                <w:lang w:val="lv-LV"/>
              </w:rPr>
            </w:pPr>
            <w:r w:rsidRPr="0019406C">
              <w:rPr>
                <w:rFonts w:asciiTheme="majorHAnsi" w:hAnsiTheme="majorHAnsi"/>
                <w:color w:val="000000"/>
                <w:lang w:val="lv-LV"/>
              </w:rPr>
              <w:t>E-pakalpojumam jāinformē par Latvijā pieejamām uzņēmējdarbības formām un ar katru saistītajiem administratīvajiem procesiem, ar kuriem rēķināties, paralēli novedot uzņēmēju pie pareizās uzņēmējdarbības formas un ar to saistīto pakalpojumu reģistrācijas.</w:t>
            </w:r>
          </w:p>
          <w:p w:rsidR="00A25840" w:rsidRPr="0019406C" w:rsidRDefault="00A25840" w:rsidP="00A25840">
            <w:pPr>
              <w:tabs>
                <w:tab w:val="left" w:pos="275"/>
              </w:tabs>
              <w:spacing w:before="120" w:after="0" w:line="276" w:lineRule="auto"/>
              <w:jc w:val="both"/>
              <w:rPr>
                <w:rFonts w:asciiTheme="majorHAnsi" w:hAnsiTheme="majorHAnsi"/>
                <w:highlight w:val="yellow"/>
                <w:lang w:val="lv-LV"/>
              </w:rPr>
            </w:pPr>
          </w:p>
        </w:tc>
        <w:tc>
          <w:tcPr>
            <w:tcW w:w="2126" w:type="dxa"/>
          </w:tcPr>
          <w:p w:rsidR="00A25840" w:rsidRPr="0019406C" w:rsidRDefault="00A25840" w:rsidP="00A25840">
            <w:pPr>
              <w:pStyle w:val="CommentText"/>
              <w:spacing w:before="120" w:after="0" w:line="276" w:lineRule="auto"/>
              <w:jc w:val="both"/>
              <w:rPr>
                <w:rFonts w:asciiTheme="majorHAnsi" w:hAnsiTheme="majorHAnsi" w:cs="Times New Roman"/>
                <w:highlight w:val="yellow"/>
                <w:lang w:val="lv-LV"/>
              </w:rPr>
            </w:pPr>
          </w:p>
        </w:tc>
      </w:tr>
      <w:tr w:rsidR="006A79E2" w:rsidRPr="0019406C" w:rsidTr="000F17CD">
        <w:tc>
          <w:tcPr>
            <w:tcW w:w="5495" w:type="dxa"/>
            <w:tcBorders>
              <w:bottom w:val="single" w:sz="4" w:space="0" w:color="auto"/>
            </w:tcBorders>
            <w:shd w:val="clear" w:color="auto" w:fill="EEECE1"/>
            <w:vAlign w:val="center"/>
          </w:tcPr>
          <w:p w:rsidR="006A79E2" w:rsidRPr="0019406C" w:rsidRDefault="006A79E2" w:rsidP="0021315F">
            <w:pPr>
              <w:spacing w:before="120" w:after="120" w:line="276" w:lineRule="auto"/>
              <w:rPr>
                <w:rFonts w:asciiTheme="majorHAnsi" w:eastAsia="Times New Roman" w:hAnsiTheme="majorHAnsi"/>
                <w:b/>
                <w:bCs/>
                <w:color w:val="000000"/>
                <w:lang w:val="lv-LV" w:eastAsia="lv-LV"/>
              </w:rPr>
            </w:pPr>
            <w:r w:rsidRPr="0019406C">
              <w:rPr>
                <w:rFonts w:asciiTheme="majorHAnsi" w:eastAsia="Times New Roman" w:hAnsiTheme="majorHAnsi"/>
                <w:b/>
                <w:bCs/>
                <w:color w:val="000000"/>
                <w:lang w:val="lv-LV" w:eastAsia="lv-LV"/>
              </w:rPr>
              <w:lastRenderedPageBreak/>
              <w:t>Rīcības virziens mērķa sasniegšanai:</w:t>
            </w:r>
          </w:p>
        </w:tc>
        <w:tc>
          <w:tcPr>
            <w:tcW w:w="9639" w:type="dxa"/>
            <w:gridSpan w:val="4"/>
            <w:tcBorders>
              <w:bottom w:val="single" w:sz="4" w:space="0" w:color="auto"/>
            </w:tcBorders>
            <w:shd w:val="clear" w:color="auto" w:fill="EEECE1"/>
          </w:tcPr>
          <w:p w:rsidR="006A79E2" w:rsidRPr="0019406C" w:rsidRDefault="002331CF" w:rsidP="0021315F">
            <w:pPr>
              <w:pStyle w:val="SLONormal"/>
              <w:tabs>
                <w:tab w:val="left" w:pos="3478"/>
              </w:tabs>
              <w:spacing w:line="276" w:lineRule="auto"/>
              <w:rPr>
                <w:rFonts w:asciiTheme="majorHAnsi" w:hAnsiTheme="majorHAnsi"/>
                <w:b/>
                <w:sz w:val="20"/>
                <w:szCs w:val="20"/>
                <w:lang w:val="lv-LV" w:eastAsia="lv-LV"/>
              </w:rPr>
            </w:pPr>
            <w:r w:rsidRPr="0019406C">
              <w:rPr>
                <w:rFonts w:asciiTheme="majorHAnsi" w:hAnsiTheme="majorHAnsi"/>
                <w:b/>
                <w:sz w:val="20"/>
                <w:szCs w:val="20"/>
                <w:lang w:val="lv-LV" w:eastAsia="lv-LV"/>
              </w:rPr>
              <w:t>2. Licences un atļaujas, un citas inspekciju izdotās apliecības/ standarti par atbilstību</w:t>
            </w:r>
            <w:r w:rsidRPr="0019406C">
              <w:rPr>
                <w:rFonts w:asciiTheme="majorHAnsi" w:hAnsiTheme="majorHAnsi"/>
                <w:b/>
                <w:sz w:val="20"/>
                <w:szCs w:val="20"/>
                <w:lang w:val="lv-LV" w:eastAsia="lv-LV"/>
              </w:rPr>
              <w:tab/>
            </w:r>
          </w:p>
        </w:tc>
      </w:tr>
      <w:tr w:rsidR="00A25840" w:rsidRPr="00BB0049" w:rsidTr="004C671C">
        <w:tc>
          <w:tcPr>
            <w:tcW w:w="5495" w:type="dxa"/>
            <w:shd w:val="clear" w:color="auto" w:fill="auto"/>
          </w:tcPr>
          <w:p w:rsidR="00A25840" w:rsidRPr="0019406C" w:rsidRDefault="00A25840" w:rsidP="00A25840">
            <w:pPr>
              <w:spacing w:line="276" w:lineRule="auto"/>
              <w:ind w:left="426" w:hanging="426"/>
              <w:rPr>
                <w:rFonts w:asciiTheme="majorHAnsi" w:eastAsia="Calibri" w:hAnsiTheme="majorHAnsi" w:cs="Times New Roman"/>
                <w:b/>
                <w:color w:val="000000"/>
                <w:lang w:val="lv-LV"/>
              </w:rPr>
            </w:pPr>
            <w:r w:rsidRPr="0019406C">
              <w:rPr>
                <w:rFonts w:asciiTheme="majorHAnsi" w:eastAsia="Calibri" w:hAnsiTheme="majorHAnsi" w:cs="Times New Roman"/>
                <w:b/>
                <w:color w:val="000000"/>
                <w:lang w:val="lv-LV"/>
              </w:rPr>
              <w:t xml:space="preserve">2.1. Portāla </w:t>
            </w:r>
            <w:hyperlink r:id="rId40" w:history="1">
              <w:r w:rsidRPr="0019406C">
                <w:rPr>
                  <w:rFonts w:asciiTheme="majorHAnsi" w:eastAsia="Calibri" w:hAnsiTheme="majorHAnsi" w:cs="Times New Roman"/>
                  <w:u w:val="single"/>
                  <w:lang w:val="lv-LV"/>
                </w:rPr>
                <w:t>www.latvija.lv</w:t>
              </w:r>
            </w:hyperlink>
            <w:r w:rsidRPr="0019406C">
              <w:rPr>
                <w:rFonts w:asciiTheme="majorHAnsi" w:eastAsia="Calibri" w:hAnsiTheme="majorHAnsi" w:cs="Times New Roman"/>
                <w:b/>
                <w:color w:val="000000"/>
                <w:lang w:val="lv-LV"/>
              </w:rPr>
              <w:t xml:space="preserve"> funkcionalitātes papildināšana ar informāciju par licencēm un atļaujām</w:t>
            </w:r>
          </w:p>
          <w:p w:rsidR="002C1F90" w:rsidRPr="0019406C" w:rsidRDefault="002C1F90" w:rsidP="00A25840">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 xml:space="preserve">Pēc esošās situācijas analīzes secinām, ka </w:t>
            </w:r>
            <w:r w:rsidR="00A25840" w:rsidRPr="0019406C">
              <w:rPr>
                <w:rFonts w:asciiTheme="majorHAnsi" w:eastAsia="Calibri" w:hAnsiTheme="majorHAnsi" w:cs="Calibri"/>
                <w:color w:val="000000"/>
                <w:lang w:val="lv-LV"/>
              </w:rPr>
              <w:t xml:space="preserve">Latvijā šobrīd nepastāv vienots e-pakalpojums pieprasījumam saņemt licences, pamatojoties uz kuru uzņēmēji varētu ērti un efektīvi atrast kādas uzņēmējdarbībai nepieciešamās licences un atļaujas tam ir nepieciešams saņemt pie dažādiem darbības veidiem. </w:t>
            </w:r>
          </w:p>
          <w:p w:rsidR="002C1F90" w:rsidRPr="0019406C" w:rsidRDefault="00D2460E" w:rsidP="00A25840">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 xml:space="preserve">Pēc </w:t>
            </w:r>
            <w:r w:rsidR="002C1F90" w:rsidRPr="0019406C">
              <w:rPr>
                <w:rFonts w:asciiTheme="majorHAnsi" w:eastAsia="Calibri" w:hAnsiTheme="majorHAnsi" w:cs="Calibri"/>
                <w:color w:val="000000"/>
                <w:lang w:val="lv-LV"/>
              </w:rPr>
              <w:t xml:space="preserve">Latvijas Faktu veiktās uzņēmēju </w:t>
            </w:r>
            <w:r w:rsidRPr="0019406C">
              <w:rPr>
                <w:rFonts w:asciiTheme="majorHAnsi" w:eastAsia="Calibri" w:hAnsiTheme="majorHAnsi" w:cs="Calibri"/>
                <w:color w:val="000000"/>
                <w:lang w:val="lv-LV"/>
              </w:rPr>
              <w:t>aptaujas rezultātiem</w:t>
            </w:r>
            <w:r w:rsidR="002C1F90" w:rsidRPr="0019406C">
              <w:rPr>
                <w:rFonts w:asciiTheme="majorHAnsi" w:eastAsia="Calibri" w:hAnsiTheme="majorHAnsi" w:cs="Calibri"/>
                <w:color w:val="000000"/>
                <w:lang w:val="lv-LV"/>
              </w:rPr>
              <w:t xml:space="preserve"> izriet, ka</w:t>
            </w:r>
            <w:r w:rsidRPr="0019406C">
              <w:rPr>
                <w:rFonts w:asciiTheme="majorHAnsi" w:eastAsia="Calibri" w:hAnsiTheme="majorHAnsi" w:cs="Calibri"/>
                <w:color w:val="000000"/>
                <w:lang w:val="lv-LV"/>
              </w:rPr>
              <w:t xml:space="preserve"> 46</w:t>
            </w:r>
            <w:r w:rsidR="00773AD6" w:rsidRPr="0019406C">
              <w:rPr>
                <w:rFonts w:asciiTheme="majorHAnsi" w:eastAsia="Calibri" w:hAnsiTheme="majorHAnsi" w:cs="Calibri"/>
                <w:color w:val="000000"/>
                <w:lang w:val="lv-LV"/>
              </w:rPr>
              <w:t>,</w:t>
            </w:r>
            <w:r w:rsidRPr="0019406C">
              <w:rPr>
                <w:rFonts w:asciiTheme="majorHAnsi" w:eastAsia="Calibri" w:hAnsiTheme="majorHAnsi" w:cs="Calibri"/>
                <w:color w:val="000000"/>
                <w:lang w:val="lv-LV"/>
              </w:rPr>
              <w:t>2% aptaujātos uzņēmumu ir nepieciešamas licences un/vai atļaujas. Turklāt jo lielāks uzņēmums, jo vairāk atļauju un licenču būs vajadzīgas (aptaujas rezultāti liecina, ka 78</w:t>
            </w:r>
            <w:r w:rsidR="0083227F" w:rsidRPr="0019406C">
              <w:rPr>
                <w:rFonts w:asciiTheme="majorHAnsi" w:eastAsia="Calibri" w:hAnsiTheme="majorHAnsi" w:cs="Calibri"/>
                <w:color w:val="000000"/>
                <w:lang w:val="lv-LV"/>
              </w:rPr>
              <w:t>,</w:t>
            </w:r>
            <w:r w:rsidRPr="0019406C">
              <w:rPr>
                <w:rFonts w:asciiTheme="majorHAnsi" w:eastAsia="Calibri" w:hAnsiTheme="majorHAnsi" w:cs="Calibri"/>
                <w:color w:val="000000"/>
                <w:lang w:val="lv-LV"/>
              </w:rPr>
              <w:t xml:space="preserve">3% no lielajiem uzņēmumiem ir nepieciešamas licences un atļaujas). </w:t>
            </w:r>
          </w:p>
          <w:p w:rsidR="00A25840" w:rsidRPr="0019406C" w:rsidRDefault="00A25840" w:rsidP="00A25840">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Lai arī uzņēmējiem nepieciešamās licences un atļaujas ir atrunātas attiecīgajos normatīvajos aktos, kas tās regulē, uzņēmējiem nav viegli gūt pārliecību par to, ka viņi ir visas nepieciešamās licences un atļaujas nokārtojuši.</w:t>
            </w:r>
          </w:p>
          <w:p w:rsidR="00A25840" w:rsidRPr="0019406C" w:rsidRDefault="00A25840" w:rsidP="00A25840">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lastRenderedPageBreak/>
              <w:t xml:space="preserve">Šobrīd informācija par visām uzņēmējdarbībai nepieciešamajām atļaujām un licencēm ir apkopota portālā </w:t>
            </w:r>
            <w:hyperlink r:id="rId41" w:history="1">
              <w:r w:rsidR="00D2460E" w:rsidRPr="0019406C">
                <w:rPr>
                  <w:rStyle w:val="Hyperlink"/>
                  <w:rFonts w:asciiTheme="majorHAnsi" w:eastAsia="Calibri" w:hAnsiTheme="majorHAnsi" w:cs="Calibri"/>
                  <w:lang w:val="lv-LV"/>
                </w:rPr>
                <w:t>www.latvija.lv</w:t>
              </w:r>
            </w:hyperlink>
            <w:r w:rsidRPr="0019406C">
              <w:rPr>
                <w:rFonts w:asciiTheme="majorHAnsi" w:eastAsia="Calibri" w:hAnsiTheme="majorHAnsi" w:cs="Calibri"/>
                <w:color w:val="000000"/>
                <w:lang w:val="lv-LV"/>
              </w:rPr>
              <w:t>, kur ir apkopota informācija par  administratīvajām procedūrām, kuras jāveic, lai iegūtu attiecīgo licenci vai atļauju.</w:t>
            </w:r>
          </w:p>
          <w:p w:rsidR="00A25840" w:rsidRPr="0019406C" w:rsidRDefault="00A25840" w:rsidP="00A25840">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 xml:space="preserve">Izvērtējot portālā </w:t>
            </w:r>
            <w:hyperlink r:id="rId42" w:history="1">
              <w:r w:rsidRPr="0019406C">
                <w:rPr>
                  <w:rStyle w:val="Hyperlink"/>
                  <w:rFonts w:asciiTheme="majorHAnsi" w:eastAsia="Calibri" w:hAnsiTheme="majorHAnsi" w:cs="Calibri"/>
                  <w:lang w:val="lv-LV"/>
                </w:rPr>
                <w:t>www.latvija.lv</w:t>
              </w:r>
            </w:hyperlink>
            <w:r w:rsidRPr="0019406C">
              <w:rPr>
                <w:rFonts w:asciiTheme="majorHAnsi" w:eastAsia="Calibri" w:hAnsiTheme="majorHAnsi" w:cs="Calibri"/>
                <w:color w:val="000000"/>
                <w:lang w:val="lv-LV"/>
              </w:rPr>
              <w:t xml:space="preserve"> pieejamo informāciju, identificējām, ka tā nav viegli pārskatāma un pastāv iespēja pilnveidot portāla </w:t>
            </w:r>
            <w:hyperlink r:id="rId43" w:history="1">
              <w:r w:rsidRPr="0019406C">
                <w:rPr>
                  <w:rStyle w:val="Hyperlink"/>
                  <w:rFonts w:asciiTheme="majorHAnsi" w:eastAsia="Calibri" w:hAnsiTheme="majorHAnsi" w:cs="Calibri"/>
                  <w:lang w:val="lv-LV"/>
                </w:rPr>
                <w:t>www.latvija.lv</w:t>
              </w:r>
            </w:hyperlink>
            <w:r w:rsidRPr="0019406C">
              <w:rPr>
                <w:rFonts w:asciiTheme="majorHAnsi" w:eastAsia="Calibri" w:hAnsiTheme="majorHAnsi" w:cs="Calibri"/>
                <w:color w:val="000000"/>
                <w:lang w:val="lv-LV"/>
              </w:rPr>
              <w:t xml:space="preserve"> funkcionalitāti sekojoši:</w:t>
            </w:r>
          </w:p>
          <w:p w:rsidR="00A25840" w:rsidRPr="0019406C" w:rsidRDefault="00A25840" w:rsidP="00E521EE">
            <w:pPr>
              <w:pStyle w:val="CommentText"/>
              <w:numPr>
                <w:ilvl w:val="0"/>
                <w:numId w:val="23"/>
              </w:numPr>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 xml:space="preserve">Sakārtot Latvijā pieejamās atļaujas, licences un citas valsts institūciju izdotās apliecības un sertifikātus atbilstoši NACE 2 klasifikācijai, tādējādi būtiski atvieglojot to meklēšanu. </w:t>
            </w:r>
          </w:p>
          <w:p w:rsidR="00A25840" w:rsidRPr="0019406C" w:rsidRDefault="00A25840" w:rsidP="00E521EE">
            <w:pPr>
              <w:pStyle w:val="CommentText"/>
              <w:numPr>
                <w:ilvl w:val="0"/>
                <w:numId w:val="23"/>
              </w:numPr>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Pilnveidot uzņēmuma reģistrācijas tiešsaistes formu ar iespēju uzreiz iniciēt reģistrēšanās procesu atļaujām un licencēm. Piemēram, izvēloties konkrētu pamatdarbības NACE 2 kodu, uzņēmējs varētu redzēt atbilstīgās licences un atļaujas, kuras nepieciešamas veiksmīgai uzņēmējdarbībai minētajā nozarē. Tādējādi varētu arī sakārtoties uzņēmēju darbības klasifikācijas kodi, tie būtu atbilstošāki uzņēmējdarbībai, ar kuru nodarbojas uzņēmums.</w:t>
            </w:r>
          </w:p>
          <w:p w:rsidR="00A25840" w:rsidRPr="0019406C" w:rsidRDefault="00A25840" w:rsidP="00E521EE">
            <w:pPr>
              <w:pStyle w:val="CommentText"/>
              <w:numPr>
                <w:ilvl w:val="0"/>
                <w:numId w:val="23"/>
              </w:numPr>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Pievienot informāciju par licencēm un atļaujām „</w:t>
            </w:r>
            <w:proofErr w:type="spellStart"/>
            <w:r w:rsidRPr="0019406C">
              <w:rPr>
                <w:rFonts w:asciiTheme="majorHAnsi" w:eastAsia="Calibri" w:hAnsiTheme="majorHAnsi" w:cs="Calibri"/>
                <w:color w:val="000000"/>
                <w:lang w:val="lv-LV"/>
              </w:rPr>
              <w:t>road</w:t>
            </w:r>
            <w:proofErr w:type="spellEnd"/>
            <w:r w:rsidRPr="0019406C">
              <w:rPr>
                <w:rFonts w:asciiTheme="majorHAnsi" w:eastAsia="Calibri" w:hAnsiTheme="majorHAnsi" w:cs="Calibri"/>
                <w:color w:val="000000"/>
                <w:lang w:val="lv-LV"/>
              </w:rPr>
              <w:t xml:space="preserve"> </w:t>
            </w:r>
            <w:proofErr w:type="spellStart"/>
            <w:r w:rsidRPr="0019406C">
              <w:rPr>
                <w:rFonts w:asciiTheme="majorHAnsi" w:eastAsia="Calibri" w:hAnsiTheme="majorHAnsi" w:cs="Calibri"/>
                <w:color w:val="000000"/>
                <w:lang w:val="lv-LV"/>
              </w:rPr>
              <w:t>map</w:t>
            </w:r>
            <w:proofErr w:type="spellEnd"/>
            <w:r w:rsidRPr="0019406C">
              <w:rPr>
                <w:rFonts w:asciiTheme="majorHAnsi" w:eastAsia="Calibri" w:hAnsiTheme="majorHAnsi" w:cs="Calibri"/>
                <w:color w:val="000000"/>
                <w:lang w:val="lv-LV"/>
              </w:rPr>
              <w:t xml:space="preserve">” principa veidā, pie uzņēmumu reģistrācijas un informācijas par </w:t>
            </w:r>
            <w:r w:rsidR="0072729F" w:rsidRPr="0019406C">
              <w:rPr>
                <w:rFonts w:asciiTheme="majorHAnsi" w:eastAsia="Calibri" w:hAnsiTheme="majorHAnsi" w:cs="Calibri"/>
                <w:color w:val="000000"/>
                <w:lang w:val="lv-LV"/>
              </w:rPr>
              <w:t>uzņēmējdarbības</w:t>
            </w:r>
            <w:r w:rsidRPr="0019406C">
              <w:rPr>
                <w:rFonts w:asciiTheme="majorHAnsi" w:eastAsia="Calibri" w:hAnsiTheme="majorHAnsi" w:cs="Calibri"/>
                <w:color w:val="000000"/>
                <w:lang w:val="lv-LV"/>
              </w:rPr>
              <w:t xml:space="preserve"> formām un ar tiem saistītajām administratīvajām procedūrām. Plašāk par šo ieteikumu aprakstīts pie uzņēmējdarbības uzsākšanas.</w:t>
            </w:r>
          </w:p>
          <w:p w:rsidR="00A25840" w:rsidRPr="0019406C" w:rsidRDefault="00A25840" w:rsidP="00E521EE">
            <w:pPr>
              <w:pStyle w:val="CommentText"/>
              <w:numPr>
                <w:ilvl w:val="0"/>
                <w:numId w:val="23"/>
              </w:numPr>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 xml:space="preserve">Papildināt </w:t>
            </w:r>
            <w:hyperlink r:id="rId44" w:history="1">
              <w:r w:rsidRPr="0019406C">
                <w:rPr>
                  <w:rStyle w:val="Hyperlink"/>
                  <w:rFonts w:asciiTheme="majorHAnsi" w:eastAsia="Calibri" w:hAnsiTheme="majorHAnsi" w:cs="Calibri"/>
                  <w:lang w:val="lv-LV"/>
                </w:rPr>
                <w:t>www.latvija.lv</w:t>
              </w:r>
            </w:hyperlink>
            <w:r w:rsidRPr="0019406C">
              <w:rPr>
                <w:rFonts w:asciiTheme="majorHAnsi" w:eastAsia="Calibri" w:hAnsiTheme="majorHAnsi" w:cs="Calibri"/>
                <w:color w:val="000000"/>
                <w:lang w:val="lv-LV"/>
              </w:rPr>
              <w:t xml:space="preserve"> funkcionalitāti tā, lai katrs uzņēmums reģistrējoties portālā redzētu savas aktīvās licences un to termiņus, uzņēmējiem tiktu izsūtīti atgādinājumi tās atjaunot, kā arī </w:t>
            </w:r>
            <w:r w:rsidRPr="0019406C">
              <w:rPr>
                <w:rFonts w:asciiTheme="majorHAnsi" w:eastAsia="Calibri" w:hAnsiTheme="majorHAnsi" w:cs="Calibri"/>
                <w:color w:val="000000"/>
                <w:lang w:val="lv-LV"/>
              </w:rPr>
              <w:lastRenderedPageBreak/>
              <w:t>aktuālā informācija par izmaiņām saistošajos likumdošanas aktos.</w:t>
            </w:r>
          </w:p>
          <w:p w:rsidR="00A25840" w:rsidRPr="0019406C" w:rsidRDefault="00A25840" w:rsidP="00A25840">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 xml:space="preserve">Pilnveidojot portāla </w:t>
            </w:r>
            <w:hyperlink r:id="rId45" w:history="1">
              <w:r w:rsidRPr="0019406C">
                <w:rPr>
                  <w:rStyle w:val="Hyperlink"/>
                  <w:rFonts w:asciiTheme="majorHAnsi" w:eastAsia="Calibri" w:hAnsiTheme="majorHAnsi" w:cs="Calibri"/>
                  <w:lang w:val="lv-LV"/>
                </w:rPr>
                <w:t>www.latvija.lv</w:t>
              </w:r>
            </w:hyperlink>
            <w:r w:rsidRPr="0019406C">
              <w:rPr>
                <w:rFonts w:asciiTheme="majorHAnsi" w:eastAsia="Calibri" w:hAnsiTheme="majorHAnsi" w:cs="Calibri"/>
                <w:color w:val="000000"/>
                <w:lang w:val="lv-LV"/>
              </w:rPr>
              <w:t xml:space="preserve"> funkcionalitāti, uzņēmējiem tiktu saīsināts laiks uzņēmējdarbībai nepieciešamo atļauju un licenču iegūšanā </w:t>
            </w:r>
            <w:r w:rsidR="00D93C38" w:rsidRPr="0019406C">
              <w:rPr>
                <w:rFonts w:asciiTheme="majorHAnsi" w:eastAsia="Calibri" w:hAnsiTheme="majorHAnsi" w:cs="Calibri"/>
                <w:color w:val="000000"/>
                <w:lang w:val="lv-LV"/>
              </w:rPr>
              <w:t xml:space="preserve">(piemēram, pēc aptaujas datiem 2014. gadā </w:t>
            </w:r>
            <w:r w:rsidR="004D5C49" w:rsidRPr="0019406C">
              <w:rPr>
                <w:rFonts w:asciiTheme="majorHAnsi" w:eastAsia="Calibri" w:hAnsiTheme="majorHAnsi" w:cs="Calibri"/>
                <w:color w:val="000000"/>
                <w:lang w:val="lv-LV"/>
              </w:rPr>
              <w:t xml:space="preserve">pasažieru </w:t>
            </w:r>
            <w:r w:rsidR="00D93C38" w:rsidRPr="0019406C">
              <w:rPr>
                <w:rFonts w:asciiTheme="majorHAnsi" w:eastAsia="Calibri" w:hAnsiTheme="majorHAnsi" w:cs="Calibri"/>
                <w:color w:val="000000"/>
                <w:lang w:val="lv-LV"/>
              </w:rPr>
              <w:t>komercpārvadājumu licen</w:t>
            </w:r>
            <w:r w:rsidR="004D5C49" w:rsidRPr="0019406C">
              <w:rPr>
                <w:rFonts w:asciiTheme="majorHAnsi" w:eastAsia="Calibri" w:hAnsiTheme="majorHAnsi" w:cs="Calibri"/>
                <w:color w:val="000000"/>
                <w:lang w:val="lv-LV"/>
              </w:rPr>
              <w:t>ču, kā arī medikamentu ražošanas/ tirdzniecības licenču</w:t>
            </w:r>
            <w:r w:rsidR="00D93C38" w:rsidRPr="0019406C">
              <w:rPr>
                <w:rFonts w:asciiTheme="majorHAnsi" w:eastAsia="Calibri" w:hAnsiTheme="majorHAnsi" w:cs="Calibri"/>
                <w:color w:val="000000"/>
                <w:lang w:val="lv-LV"/>
              </w:rPr>
              <w:t xml:space="preserve"> iegūšanai</w:t>
            </w:r>
            <w:r w:rsidR="004D5C49" w:rsidRPr="0019406C">
              <w:rPr>
                <w:rFonts w:asciiTheme="majorHAnsi" w:eastAsia="Calibri" w:hAnsiTheme="majorHAnsi" w:cs="Calibri"/>
                <w:color w:val="000000"/>
                <w:lang w:val="lv-LV"/>
              </w:rPr>
              <w:t xml:space="preserve"> </w:t>
            </w:r>
            <w:r w:rsidR="00D93C38" w:rsidRPr="0019406C">
              <w:rPr>
                <w:rFonts w:asciiTheme="majorHAnsi" w:eastAsia="Calibri" w:hAnsiTheme="majorHAnsi" w:cs="Calibri"/>
                <w:color w:val="000000"/>
                <w:lang w:val="lv-LV"/>
              </w:rPr>
              <w:t xml:space="preserve"> uzņēmumi vidēji patērēja </w:t>
            </w:r>
            <w:r w:rsidR="004D5C49" w:rsidRPr="0019406C">
              <w:rPr>
                <w:rFonts w:asciiTheme="majorHAnsi" w:eastAsia="Calibri" w:hAnsiTheme="majorHAnsi" w:cs="Calibri"/>
                <w:color w:val="000000"/>
                <w:lang w:val="lv-LV"/>
              </w:rPr>
              <w:t>12 dienas, kravu komercpārvadājumu un tirdzniecības atļauju licenču iegūšanai uzņēmumi patērēja aptuveni 11 dienas</w:t>
            </w:r>
            <w:r w:rsidR="00D93C38" w:rsidRPr="0019406C">
              <w:rPr>
                <w:rFonts w:asciiTheme="majorHAnsi" w:eastAsia="Calibri" w:hAnsiTheme="majorHAnsi" w:cs="Calibri"/>
                <w:color w:val="000000"/>
                <w:lang w:val="lv-LV"/>
              </w:rPr>
              <w:t>)</w:t>
            </w:r>
            <w:r w:rsidR="00233A91" w:rsidRPr="0019406C">
              <w:rPr>
                <w:rFonts w:asciiTheme="majorHAnsi" w:eastAsia="Calibri" w:hAnsiTheme="majorHAnsi" w:cs="Calibri"/>
                <w:color w:val="000000"/>
                <w:lang w:val="lv-LV"/>
              </w:rPr>
              <w:t>, kā arī uzlabotu uzņēmēju izpratni par tiem nepieciešamajām licencēm un atļaujām</w:t>
            </w:r>
            <w:r w:rsidRPr="0019406C">
              <w:rPr>
                <w:rFonts w:asciiTheme="majorHAnsi" w:eastAsia="Calibri" w:hAnsiTheme="majorHAnsi" w:cs="Calibri"/>
                <w:color w:val="000000"/>
                <w:lang w:val="lv-LV"/>
              </w:rPr>
              <w:t>.</w:t>
            </w:r>
          </w:p>
          <w:p w:rsidR="00A25840" w:rsidRPr="0019406C" w:rsidRDefault="00A25840" w:rsidP="00A25840">
            <w:pPr>
              <w:pStyle w:val="CommentText"/>
              <w:spacing w:before="120" w:after="0" w:line="276" w:lineRule="auto"/>
              <w:jc w:val="both"/>
              <w:rPr>
                <w:rFonts w:asciiTheme="majorHAnsi" w:eastAsia="Calibri" w:hAnsiTheme="majorHAnsi" w:cs="Calibri"/>
                <w:color w:val="000000"/>
                <w:lang w:val="lv-LV"/>
              </w:rPr>
            </w:pPr>
          </w:p>
        </w:tc>
        <w:tc>
          <w:tcPr>
            <w:tcW w:w="1701" w:type="dxa"/>
            <w:shd w:val="clear" w:color="auto" w:fill="auto"/>
          </w:tcPr>
          <w:p w:rsidR="00A25840" w:rsidRPr="0019406C" w:rsidRDefault="00A25840" w:rsidP="004D1F8A">
            <w:pPr>
              <w:spacing w:before="120" w:after="0" w:line="276" w:lineRule="auto"/>
              <w:rPr>
                <w:rFonts w:asciiTheme="majorHAnsi" w:hAnsiTheme="majorHAnsi"/>
                <w:lang w:val="lv-LV"/>
              </w:rPr>
            </w:pPr>
            <w:r w:rsidRPr="0019406C">
              <w:rPr>
                <w:rFonts w:asciiTheme="majorHAnsi" w:hAnsiTheme="majorHAnsi"/>
                <w:color w:val="000000"/>
                <w:lang w:val="lv-LV"/>
              </w:rPr>
              <w:lastRenderedPageBreak/>
              <w:t>31.12.201</w:t>
            </w:r>
            <w:r w:rsidR="005B28C9" w:rsidRPr="0019406C">
              <w:rPr>
                <w:rFonts w:asciiTheme="majorHAnsi" w:hAnsiTheme="majorHAnsi"/>
                <w:color w:val="000000"/>
                <w:lang w:val="lv-LV"/>
              </w:rPr>
              <w:t>7 (Izpildi veikt p</w:t>
            </w:r>
            <w:r w:rsidR="005B28C9" w:rsidRPr="0019406C">
              <w:rPr>
                <w:rFonts w:asciiTheme="majorHAnsi" w:eastAsia="Calibri" w:hAnsiTheme="majorHAnsi" w:cs="Calibri"/>
                <w:color w:val="000000"/>
                <w:lang w:val="lv-LV"/>
              </w:rPr>
              <w:t xml:space="preserve">ēc VARAM veiktā projekta par </w:t>
            </w:r>
            <w:r w:rsidR="005B28C9" w:rsidRPr="0019406C">
              <w:rPr>
                <w:lang w:val="lv-LV"/>
              </w:rPr>
              <w:t xml:space="preserve"> „</w:t>
            </w:r>
            <w:r w:rsidR="005B28C9" w:rsidRPr="0019406C">
              <w:rPr>
                <w:rFonts w:asciiTheme="majorHAnsi" w:eastAsia="Calibri" w:hAnsiTheme="majorHAnsi" w:cs="Calibri"/>
                <w:color w:val="000000"/>
                <w:lang w:val="lv-LV"/>
              </w:rPr>
              <w:t>Publisko individuālo un valsts administratīvo pakalpojumu klāsta izvērtējums atbilstoši apdzīvojumam” realizācijas 2016. gada 30. aprīlī</w:t>
            </w:r>
            <w:r w:rsidR="005B28C9" w:rsidRPr="0019406C">
              <w:rPr>
                <w:rFonts w:asciiTheme="majorHAnsi" w:hAnsiTheme="majorHAnsi"/>
                <w:color w:val="000000"/>
                <w:lang w:val="lv-LV"/>
              </w:rPr>
              <w:t>)</w:t>
            </w:r>
          </w:p>
        </w:tc>
        <w:tc>
          <w:tcPr>
            <w:tcW w:w="1559" w:type="dxa"/>
            <w:shd w:val="clear" w:color="auto" w:fill="auto"/>
          </w:tcPr>
          <w:p w:rsidR="00A25840" w:rsidRPr="0019406C" w:rsidRDefault="00A25840" w:rsidP="00A25840">
            <w:pPr>
              <w:spacing w:before="120" w:after="0" w:line="276" w:lineRule="auto"/>
              <w:rPr>
                <w:rFonts w:asciiTheme="majorHAnsi" w:hAnsiTheme="majorHAnsi"/>
                <w:color w:val="000000"/>
                <w:lang w:val="lv-LV"/>
              </w:rPr>
            </w:pPr>
            <w:r w:rsidRPr="0019406C">
              <w:rPr>
                <w:rFonts w:asciiTheme="majorHAnsi" w:hAnsiTheme="majorHAnsi"/>
                <w:color w:val="000000"/>
                <w:lang w:val="lv-LV"/>
              </w:rPr>
              <w:t>VARAM, UR, VID</w:t>
            </w:r>
          </w:p>
        </w:tc>
        <w:tc>
          <w:tcPr>
            <w:tcW w:w="4253" w:type="dxa"/>
            <w:shd w:val="clear" w:color="auto" w:fill="auto"/>
          </w:tcPr>
          <w:p w:rsidR="00A25840" w:rsidRPr="0019406C" w:rsidRDefault="005B28C9" w:rsidP="00E521EE">
            <w:pPr>
              <w:pStyle w:val="CommentText"/>
              <w:numPr>
                <w:ilvl w:val="0"/>
                <w:numId w:val="25"/>
              </w:numPr>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I</w:t>
            </w:r>
            <w:r w:rsidR="00A25840" w:rsidRPr="0019406C">
              <w:rPr>
                <w:rFonts w:asciiTheme="majorHAnsi" w:eastAsia="Calibri" w:hAnsiTheme="majorHAnsi" w:cs="Calibri"/>
                <w:color w:val="000000"/>
                <w:lang w:val="lv-LV"/>
              </w:rPr>
              <w:t xml:space="preserve">zvērtēt iespējas pilnveidot portāla </w:t>
            </w:r>
            <w:hyperlink r:id="rId46" w:history="1">
              <w:r w:rsidR="00A25840" w:rsidRPr="0019406C">
                <w:rPr>
                  <w:rStyle w:val="Hyperlink"/>
                  <w:rFonts w:asciiTheme="majorHAnsi" w:eastAsia="Calibri" w:hAnsiTheme="majorHAnsi" w:cs="Calibri"/>
                  <w:lang w:val="lv-LV"/>
                </w:rPr>
                <w:t>www.latvija.lv</w:t>
              </w:r>
            </w:hyperlink>
            <w:r w:rsidR="00A25840" w:rsidRPr="0019406C">
              <w:rPr>
                <w:rFonts w:asciiTheme="majorHAnsi" w:eastAsia="Calibri" w:hAnsiTheme="majorHAnsi" w:cs="Calibri"/>
                <w:color w:val="000000"/>
                <w:lang w:val="lv-LV"/>
              </w:rPr>
              <w:t xml:space="preserve"> funkcionalitāti ar licenču un atļauju sadalījumu pēc NACE 2 klasifikatora.</w:t>
            </w:r>
          </w:p>
          <w:p w:rsidR="00A25840" w:rsidRPr="0019406C" w:rsidRDefault="00A25840" w:rsidP="00E521EE">
            <w:pPr>
              <w:pStyle w:val="CommentText"/>
              <w:numPr>
                <w:ilvl w:val="0"/>
                <w:numId w:val="25"/>
              </w:numPr>
              <w:spacing w:before="120" w:after="0" w:line="276" w:lineRule="auto"/>
              <w:ind w:left="459"/>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Izvērtēt iespēju iekļaut norādi par uzņēmējdarbībai nepieciešamajām licencēm un atļaujām, izvēloties uzņēmējdarbības veidu tiešsaistes reģistrācijas formā (</w:t>
            </w:r>
            <w:proofErr w:type="spellStart"/>
            <w:r w:rsidRPr="0019406C">
              <w:rPr>
                <w:rFonts w:asciiTheme="majorHAnsi" w:eastAsia="Calibri" w:hAnsiTheme="majorHAnsi" w:cs="Calibri"/>
                <w:color w:val="000000"/>
                <w:lang w:val="lv-LV"/>
              </w:rPr>
              <w:t>t.i</w:t>
            </w:r>
            <w:proofErr w:type="spellEnd"/>
            <w:r w:rsidRPr="0019406C">
              <w:rPr>
                <w:rFonts w:asciiTheme="majorHAnsi" w:eastAsia="Calibri" w:hAnsiTheme="majorHAnsi" w:cs="Calibri"/>
                <w:color w:val="000000"/>
                <w:lang w:val="lv-LV"/>
              </w:rPr>
              <w:t>., sasaistot šo funkcionalitāti ar darbības reģistrēšanas procedūrām).</w:t>
            </w:r>
          </w:p>
          <w:p w:rsidR="00A25840" w:rsidRPr="0019406C" w:rsidRDefault="00A25840" w:rsidP="00E521EE">
            <w:pPr>
              <w:pStyle w:val="CommentText"/>
              <w:numPr>
                <w:ilvl w:val="0"/>
                <w:numId w:val="25"/>
              </w:numPr>
              <w:spacing w:before="120" w:after="0" w:line="276" w:lineRule="auto"/>
              <w:ind w:left="459"/>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Izvērtēt iespēju papildināt uzņēmējdarbības reģistrēšanas pakalpojumu pēc „</w:t>
            </w:r>
            <w:proofErr w:type="spellStart"/>
            <w:r w:rsidRPr="0019406C">
              <w:rPr>
                <w:rFonts w:asciiTheme="majorHAnsi" w:eastAsia="Calibri" w:hAnsiTheme="majorHAnsi" w:cs="Calibri"/>
                <w:color w:val="000000"/>
                <w:lang w:val="lv-LV"/>
              </w:rPr>
              <w:t>road</w:t>
            </w:r>
            <w:proofErr w:type="spellEnd"/>
            <w:r w:rsidRPr="0019406C">
              <w:rPr>
                <w:rFonts w:asciiTheme="majorHAnsi" w:eastAsia="Calibri" w:hAnsiTheme="majorHAnsi" w:cs="Calibri"/>
                <w:color w:val="000000"/>
                <w:lang w:val="lv-LV"/>
              </w:rPr>
              <w:t xml:space="preserve"> </w:t>
            </w:r>
            <w:proofErr w:type="spellStart"/>
            <w:r w:rsidRPr="0019406C">
              <w:rPr>
                <w:rFonts w:asciiTheme="majorHAnsi" w:eastAsia="Calibri" w:hAnsiTheme="majorHAnsi" w:cs="Calibri"/>
                <w:color w:val="000000"/>
                <w:lang w:val="lv-LV"/>
              </w:rPr>
              <w:t>map</w:t>
            </w:r>
            <w:proofErr w:type="spellEnd"/>
            <w:r w:rsidRPr="0019406C">
              <w:rPr>
                <w:rFonts w:asciiTheme="majorHAnsi" w:eastAsia="Calibri" w:hAnsiTheme="majorHAnsi" w:cs="Calibri"/>
                <w:color w:val="000000"/>
                <w:lang w:val="lv-LV"/>
              </w:rPr>
              <w:t>” principa (ieteikums plašāk aprakstīts zem uzņēmējdarbības reģistrēšanas sadaļas</w:t>
            </w:r>
            <w:r w:rsidR="00C27245" w:rsidRPr="0019406C">
              <w:rPr>
                <w:rFonts w:asciiTheme="majorHAnsi" w:eastAsia="Calibri" w:hAnsiTheme="majorHAnsi" w:cs="Calibri"/>
                <w:color w:val="000000"/>
                <w:lang w:val="lv-LV"/>
              </w:rPr>
              <w:t xml:space="preserve"> – </w:t>
            </w:r>
            <w:r w:rsidR="003416D5" w:rsidRPr="0019406C">
              <w:rPr>
                <w:rFonts w:asciiTheme="majorHAnsi" w:eastAsia="Calibri" w:hAnsiTheme="majorHAnsi" w:cs="Calibri"/>
                <w:color w:val="000000"/>
                <w:lang w:val="lv-LV"/>
              </w:rPr>
              <w:t>priekšlikums</w:t>
            </w:r>
            <w:r w:rsidR="0072729F">
              <w:rPr>
                <w:rFonts w:asciiTheme="majorHAnsi" w:eastAsia="Calibri" w:hAnsiTheme="majorHAnsi" w:cs="Calibri"/>
                <w:color w:val="000000"/>
                <w:lang w:val="lv-LV"/>
              </w:rPr>
              <w:t xml:space="preserve"> </w:t>
            </w:r>
            <w:proofErr w:type="spellStart"/>
            <w:r w:rsidR="0072729F">
              <w:rPr>
                <w:rFonts w:asciiTheme="majorHAnsi" w:eastAsia="Calibri" w:hAnsiTheme="majorHAnsi" w:cs="Calibri"/>
                <w:color w:val="000000"/>
                <w:lang w:val="lv-LV"/>
              </w:rPr>
              <w:t>N</w:t>
            </w:r>
            <w:r w:rsidR="00C27245" w:rsidRPr="0019406C">
              <w:rPr>
                <w:rFonts w:asciiTheme="majorHAnsi" w:eastAsia="Calibri" w:hAnsiTheme="majorHAnsi" w:cs="Calibri"/>
                <w:color w:val="000000"/>
                <w:lang w:val="lv-LV"/>
              </w:rPr>
              <w:t>r</w:t>
            </w:r>
            <w:proofErr w:type="spellEnd"/>
            <w:r w:rsidR="00C27245" w:rsidRPr="0019406C">
              <w:rPr>
                <w:rFonts w:asciiTheme="majorHAnsi" w:eastAsia="Calibri" w:hAnsiTheme="majorHAnsi" w:cs="Calibri"/>
                <w:color w:val="000000"/>
                <w:lang w:val="lv-LV"/>
              </w:rPr>
              <w:t>. 1.2.</w:t>
            </w:r>
            <w:r w:rsidRPr="0019406C">
              <w:rPr>
                <w:rFonts w:asciiTheme="majorHAnsi" w:eastAsia="Calibri" w:hAnsiTheme="majorHAnsi" w:cs="Calibri"/>
                <w:color w:val="000000"/>
                <w:lang w:val="lv-LV"/>
              </w:rPr>
              <w:t>).</w:t>
            </w:r>
          </w:p>
          <w:p w:rsidR="00A25840" w:rsidRPr="0019406C" w:rsidRDefault="00A25840" w:rsidP="00A25840">
            <w:pPr>
              <w:spacing w:before="120" w:after="0" w:line="276" w:lineRule="auto"/>
              <w:rPr>
                <w:rFonts w:asciiTheme="majorHAnsi" w:hAnsiTheme="majorHAnsi"/>
                <w:color w:val="000000"/>
                <w:lang w:val="lv-LV"/>
              </w:rPr>
            </w:pPr>
          </w:p>
        </w:tc>
        <w:tc>
          <w:tcPr>
            <w:tcW w:w="2126" w:type="dxa"/>
          </w:tcPr>
          <w:p w:rsidR="00A25840" w:rsidRPr="0019406C" w:rsidRDefault="00A25840" w:rsidP="00A25840">
            <w:pPr>
              <w:pStyle w:val="CommentText"/>
              <w:spacing w:before="120" w:after="0" w:line="276" w:lineRule="auto"/>
              <w:jc w:val="both"/>
              <w:rPr>
                <w:rFonts w:asciiTheme="majorHAnsi" w:hAnsiTheme="majorHAnsi" w:cs="Times New Roman"/>
                <w:lang w:val="lv-LV"/>
              </w:rPr>
            </w:pPr>
          </w:p>
        </w:tc>
      </w:tr>
      <w:tr w:rsidR="003E76FE" w:rsidRPr="0019406C" w:rsidTr="00410806">
        <w:tc>
          <w:tcPr>
            <w:tcW w:w="5495" w:type="dxa"/>
            <w:shd w:val="clear" w:color="auto" w:fill="EEECE1"/>
            <w:vAlign w:val="center"/>
          </w:tcPr>
          <w:p w:rsidR="003E76FE" w:rsidRPr="0019406C" w:rsidRDefault="003E76FE" w:rsidP="003E76FE">
            <w:pPr>
              <w:spacing w:before="120" w:after="120" w:line="276" w:lineRule="auto"/>
              <w:rPr>
                <w:rFonts w:asciiTheme="majorHAnsi" w:eastAsia="Times New Roman" w:hAnsiTheme="majorHAnsi"/>
                <w:b/>
                <w:bCs/>
                <w:color w:val="000000"/>
                <w:lang w:val="lv-LV" w:eastAsia="lv-LV"/>
              </w:rPr>
            </w:pPr>
            <w:r w:rsidRPr="0019406C">
              <w:rPr>
                <w:rFonts w:asciiTheme="majorHAnsi" w:eastAsia="Times New Roman" w:hAnsiTheme="majorHAnsi"/>
                <w:b/>
                <w:bCs/>
                <w:color w:val="000000"/>
                <w:lang w:val="lv-LV" w:eastAsia="lv-LV"/>
              </w:rPr>
              <w:lastRenderedPageBreak/>
              <w:t>Rīcības virziens mērķa sasniegšanai:</w:t>
            </w:r>
          </w:p>
        </w:tc>
        <w:tc>
          <w:tcPr>
            <w:tcW w:w="9639" w:type="dxa"/>
            <w:gridSpan w:val="4"/>
            <w:shd w:val="clear" w:color="auto" w:fill="EEECE1"/>
          </w:tcPr>
          <w:p w:rsidR="003E76FE" w:rsidRPr="0019406C" w:rsidRDefault="003E76FE" w:rsidP="003E76FE">
            <w:pPr>
              <w:pStyle w:val="SLONormal"/>
              <w:tabs>
                <w:tab w:val="left" w:pos="3478"/>
              </w:tabs>
              <w:spacing w:line="276" w:lineRule="auto"/>
              <w:rPr>
                <w:rFonts w:asciiTheme="majorHAnsi" w:hAnsiTheme="majorHAnsi"/>
                <w:b/>
                <w:sz w:val="20"/>
                <w:szCs w:val="20"/>
                <w:lang w:val="lv-LV" w:eastAsia="lv-LV"/>
              </w:rPr>
            </w:pPr>
            <w:r w:rsidRPr="0019406C">
              <w:rPr>
                <w:rFonts w:asciiTheme="majorHAnsi" w:hAnsiTheme="majorHAnsi"/>
                <w:b/>
                <w:sz w:val="20"/>
                <w:szCs w:val="20"/>
                <w:lang w:val="lv-LV" w:eastAsia="lv-LV"/>
              </w:rPr>
              <w:t>3. E-pakalpojumi</w:t>
            </w:r>
            <w:r w:rsidRPr="0019406C">
              <w:rPr>
                <w:rFonts w:asciiTheme="majorHAnsi" w:hAnsiTheme="majorHAnsi"/>
                <w:b/>
                <w:sz w:val="20"/>
                <w:szCs w:val="20"/>
                <w:lang w:val="lv-LV" w:eastAsia="lv-LV"/>
              </w:rPr>
              <w:tab/>
            </w:r>
          </w:p>
        </w:tc>
      </w:tr>
      <w:tr w:rsidR="003E76FE" w:rsidRPr="00BB0049" w:rsidTr="004C671C">
        <w:tc>
          <w:tcPr>
            <w:tcW w:w="5495" w:type="dxa"/>
            <w:shd w:val="clear" w:color="auto" w:fill="auto"/>
          </w:tcPr>
          <w:p w:rsidR="003E76FE" w:rsidRPr="0019406C" w:rsidRDefault="003E76FE" w:rsidP="003E76FE">
            <w:pPr>
              <w:pStyle w:val="CommentText"/>
              <w:spacing w:before="120" w:after="0" w:line="276" w:lineRule="auto"/>
              <w:ind w:left="567" w:hanging="567"/>
              <w:jc w:val="both"/>
              <w:rPr>
                <w:rFonts w:asciiTheme="majorHAnsi" w:eastAsia="Calibri" w:hAnsiTheme="majorHAnsi" w:cs="Calibri"/>
                <w:b/>
                <w:color w:val="000000"/>
                <w:lang w:val="lv-LV"/>
              </w:rPr>
            </w:pPr>
            <w:r w:rsidRPr="0019406C">
              <w:rPr>
                <w:rFonts w:asciiTheme="majorHAnsi" w:eastAsia="Calibri" w:hAnsiTheme="majorHAnsi" w:cs="Calibri"/>
                <w:b/>
                <w:color w:val="000000"/>
                <w:lang w:val="lv-LV"/>
              </w:rPr>
              <w:t>3.1. Vienota un droša e-paraksta lietošana pašvaldību un valsts iestāžu pakalpojumos</w:t>
            </w:r>
          </w:p>
          <w:p w:rsidR="003E76FE" w:rsidRPr="0019406C" w:rsidRDefault="003E76FE" w:rsidP="003E76FE">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 xml:space="preserve">Pēc Latvijas Faktu veiktās uzņēmēju aptaujas rezultātiem varam secināt, ka joprojām Latvijā nav plaši izplatīts e-paraksts un līdz ar to arī </w:t>
            </w:r>
            <w:hyperlink r:id="rId47" w:history="1">
              <w:r w:rsidRPr="0019406C">
                <w:rPr>
                  <w:rStyle w:val="Hyperlink"/>
                  <w:rFonts w:asciiTheme="majorHAnsi" w:eastAsia="Calibri" w:hAnsiTheme="majorHAnsi" w:cs="Calibri"/>
                  <w:lang w:val="lv-LV"/>
                </w:rPr>
                <w:t>www.latvija.lv</w:t>
              </w:r>
            </w:hyperlink>
            <w:r w:rsidRPr="0019406C">
              <w:rPr>
                <w:rFonts w:asciiTheme="majorHAnsi" w:eastAsia="Calibri" w:hAnsiTheme="majorHAnsi" w:cs="Calibri"/>
                <w:color w:val="000000"/>
                <w:lang w:val="lv-LV"/>
              </w:rPr>
              <w:t xml:space="preserve"> un citur tiešsaistē pieejamie e-pakalpojumi. Liela daļa aptaujāto uzņēmēju neredz vērtību e-pakalpojumu un e-paraksta lietošanā. 76,1% uzņēmēju ir informēti par e-parakstu, kur </w:t>
            </w:r>
            <w:r w:rsidRPr="0019406C">
              <w:rPr>
                <w:rFonts w:ascii="Georgia" w:eastAsia="Calibri" w:hAnsi="Georgia" w:cs="Times New Roman"/>
                <w:color w:val="EEECE1"/>
                <w:lang w:val="lv-LV"/>
              </w:rPr>
              <w:t xml:space="preserve"> </w:t>
            </w:r>
            <w:r w:rsidRPr="0019406C">
              <w:rPr>
                <w:rFonts w:ascii="Georgia" w:eastAsia="Calibri" w:hAnsi="Georgia" w:cs="Times New Roman"/>
                <w:color w:val="1E1C11"/>
                <w:lang w:val="lv-LV"/>
              </w:rPr>
              <w:t xml:space="preserve">paraksts var tikt ģenerēts internetā bez plastikāta kartes, vairāk </w:t>
            </w:r>
            <w:r w:rsidRPr="0019406C">
              <w:rPr>
                <w:rFonts w:ascii="Georgia" w:eastAsia="Calibri" w:hAnsi="Georgia" w:cs="Times New Roman"/>
                <w:color w:val="EEECE1"/>
                <w:lang w:val="lv-LV"/>
              </w:rPr>
              <w:t xml:space="preserve"> </w:t>
            </w:r>
            <w:r w:rsidRPr="0019406C">
              <w:rPr>
                <w:rFonts w:ascii="Georgia" w:eastAsia="Calibri" w:hAnsi="Georgia" w:cs="Times New Roman"/>
                <w:color w:val="1E1C11"/>
                <w:lang w:val="lv-LV"/>
              </w:rPr>
              <w:t>nekā 2011. gadā (65%), taču tikai 29% uzņēmumu izmanto šo pakalpojumu (22% 2011. gadā).</w:t>
            </w:r>
            <w:r w:rsidRPr="0019406C">
              <w:rPr>
                <w:rFonts w:ascii="Georgia" w:eastAsia="Calibri" w:hAnsi="Georgia" w:cs="Times New Roman"/>
                <w:color w:val="EEECE1"/>
                <w:lang w:val="lv-LV"/>
              </w:rPr>
              <w:t xml:space="preserve"> </w:t>
            </w:r>
            <w:r w:rsidRPr="0019406C">
              <w:rPr>
                <w:rFonts w:ascii="Georgia" w:eastAsia="Calibri" w:hAnsi="Georgia" w:cs="Times New Roman"/>
                <w:color w:val="1E1C11"/>
                <w:lang w:val="lv-LV"/>
              </w:rPr>
              <w:t xml:space="preserve">No tiem, kas e-pakalpojumus neizmanto, 54% joprojām neredz vērtību šo pakalpojumu izmantošanā, savukārt 20% uzskata, ka pagaidām nav pietiekamu šo pakalpojumu izmantošanas iespēju. </w:t>
            </w:r>
            <w:r w:rsidRPr="0019406C">
              <w:rPr>
                <w:rFonts w:asciiTheme="majorHAnsi" w:eastAsia="Calibri" w:hAnsiTheme="majorHAnsi" w:cs="Calibri"/>
                <w:color w:val="000000"/>
                <w:lang w:val="lv-LV"/>
              </w:rPr>
              <w:t xml:space="preserve">Tādējādi secinām, ka e-pakalpojumu pielietojuma kavējošais faktors ir gan e-paraksta ierobežotā izplatība un tā ierobežotās pielietojuma iespējas, gan e-pakalpojumu popularitāte un lietošanas ērtums, jo arvien vairāk tiek </w:t>
            </w:r>
            <w:r w:rsidRPr="0019406C">
              <w:rPr>
                <w:rFonts w:asciiTheme="majorHAnsi" w:eastAsia="Calibri" w:hAnsiTheme="majorHAnsi" w:cs="Calibri"/>
                <w:color w:val="000000"/>
                <w:lang w:val="lv-LV"/>
              </w:rPr>
              <w:lastRenderedPageBreak/>
              <w:t xml:space="preserve">paplašināti valsts nodrošināto e-pakalpojumu </w:t>
            </w:r>
            <w:r w:rsidR="0072729F" w:rsidRPr="0019406C">
              <w:rPr>
                <w:rFonts w:asciiTheme="majorHAnsi" w:eastAsia="Calibri" w:hAnsiTheme="majorHAnsi" w:cs="Calibri"/>
                <w:color w:val="000000"/>
                <w:lang w:val="lv-LV"/>
              </w:rPr>
              <w:t>skaits. Labā</w:t>
            </w:r>
            <w:r w:rsidRPr="0019406C">
              <w:rPr>
                <w:rFonts w:asciiTheme="majorHAnsi" w:eastAsia="Calibri" w:hAnsiTheme="majorHAnsi" w:cs="Calibri"/>
                <w:color w:val="000000"/>
                <w:lang w:val="lv-LV"/>
              </w:rPr>
              <w:t xml:space="preserve"> prakse citās valstīs norāda, ka tieši e-paraksta plašāka pielietošana un pieejamība stimulē lietot e-pakalpojumus, kas būtiski atvieglo uzņēmējdarbības reģistrēšanas </w:t>
            </w:r>
            <w:r w:rsidR="0072729F" w:rsidRPr="0019406C">
              <w:rPr>
                <w:rFonts w:asciiTheme="majorHAnsi" w:eastAsia="Calibri" w:hAnsiTheme="majorHAnsi" w:cs="Calibri"/>
                <w:color w:val="000000"/>
                <w:lang w:val="lv-LV"/>
              </w:rPr>
              <w:t>procedūru. Ekspertu</w:t>
            </w:r>
            <w:r w:rsidRPr="0019406C">
              <w:rPr>
                <w:rFonts w:asciiTheme="majorHAnsi" w:eastAsia="Calibri" w:hAnsiTheme="majorHAnsi" w:cs="Calibri"/>
                <w:color w:val="000000"/>
                <w:lang w:val="lv-LV"/>
              </w:rPr>
              <w:t xml:space="preserve"> diskusijas rezultātā tika izvirzīts priekšlikums strādāt pie</w:t>
            </w:r>
            <w:r w:rsidRPr="0019406C">
              <w:rPr>
                <w:lang w:val="lv-LV"/>
              </w:rPr>
              <w:t xml:space="preserve"> </w:t>
            </w:r>
            <w:r w:rsidRPr="0019406C">
              <w:rPr>
                <w:rFonts w:asciiTheme="majorHAnsi" w:eastAsia="Calibri" w:hAnsiTheme="majorHAnsi" w:cs="Calibri"/>
                <w:color w:val="000000"/>
                <w:lang w:val="lv-LV"/>
              </w:rPr>
              <w:t xml:space="preserve">vienota un droša e-paraksta lietošana pašvaldībās un valsts iestādēs. </w:t>
            </w:r>
          </w:p>
          <w:p w:rsidR="003E76FE" w:rsidRPr="0019406C" w:rsidRDefault="003E76FE" w:rsidP="003E76FE">
            <w:pPr>
              <w:pStyle w:val="CommentText"/>
              <w:spacing w:before="120" w:after="0" w:line="276" w:lineRule="auto"/>
              <w:jc w:val="both"/>
              <w:rPr>
                <w:rFonts w:asciiTheme="majorHAnsi" w:eastAsia="Calibri" w:hAnsiTheme="majorHAnsi" w:cs="Calibri"/>
                <w:color w:val="000000"/>
                <w:lang w:val="lv-LV"/>
              </w:rPr>
            </w:pPr>
          </w:p>
        </w:tc>
        <w:tc>
          <w:tcPr>
            <w:tcW w:w="1701" w:type="dxa"/>
            <w:shd w:val="clear" w:color="auto" w:fill="auto"/>
          </w:tcPr>
          <w:p w:rsidR="003E76FE" w:rsidRPr="0019406C" w:rsidRDefault="003E76FE" w:rsidP="003E76FE">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lastRenderedPageBreak/>
              <w:t>31.12.2015</w:t>
            </w:r>
          </w:p>
        </w:tc>
        <w:tc>
          <w:tcPr>
            <w:tcW w:w="1559" w:type="dxa"/>
            <w:shd w:val="clear" w:color="auto" w:fill="auto"/>
          </w:tcPr>
          <w:p w:rsidR="003E76FE" w:rsidRPr="0019406C" w:rsidRDefault="003E76FE" w:rsidP="003E76FE">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LVRTC, VARAM</w:t>
            </w:r>
          </w:p>
        </w:tc>
        <w:tc>
          <w:tcPr>
            <w:tcW w:w="4253" w:type="dxa"/>
            <w:shd w:val="clear" w:color="auto" w:fill="auto"/>
          </w:tcPr>
          <w:p w:rsidR="003E76FE" w:rsidRPr="0019406C" w:rsidRDefault="003E76FE" w:rsidP="00E521EE">
            <w:pPr>
              <w:pStyle w:val="CommentText"/>
              <w:numPr>
                <w:ilvl w:val="0"/>
                <w:numId w:val="22"/>
              </w:numPr>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Veicināt politiku, kas atbalsta vienota un droša e-paraksta lietošanu valsts un pašvaldību iestādēs un to piedāvātajos pakalpojumos.</w:t>
            </w:r>
          </w:p>
        </w:tc>
        <w:tc>
          <w:tcPr>
            <w:tcW w:w="2126" w:type="dxa"/>
          </w:tcPr>
          <w:p w:rsidR="003E76FE" w:rsidRPr="0019406C" w:rsidRDefault="003E76FE" w:rsidP="003E76FE">
            <w:pPr>
              <w:pStyle w:val="CommentText"/>
              <w:spacing w:before="120" w:after="0" w:line="276" w:lineRule="auto"/>
              <w:jc w:val="both"/>
              <w:rPr>
                <w:rFonts w:asciiTheme="majorHAnsi" w:hAnsiTheme="majorHAnsi" w:cs="Times New Roman"/>
                <w:highlight w:val="yellow"/>
                <w:lang w:val="lv-LV"/>
              </w:rPr>
            </w:pPr>
          </w:p>
        </w:tc>
      </w:tr>
      <w:tr w:rsidR="003E76FE" w:rsidRPr="0019406C" w:rsidTr="00410806">
        <w:tc>
          <w:tcPr>
            <w:tcW w:w="5495" w:type="dxa"/>
            <w:shd w:val="clear" w:color="auto" w:fill="EEECE1"/>
            <w:vAlign w:val="center"/>
          </w:tcPr>
          <w:p w:rsidR="003E76FE" w:rsidRPr="0019406C" w:rsidRDefault="003E76FE" w:rsidP="003E76FE">
            <w:pPr>
              <w:spacing w:before="120" w:after="120" w:line="276" w:lineRule="auto"/>
              <w:rPr>
                <w:rFonts w:asciiTheme="majorHAnsi" w:eastAsia="Times New Roman" w:hAnsiTheme="majorHAnsi"/>
                <w:b/>
                <w:bCs/>
                <w:color w:val="000000"/>
                <w:lang w:val="lv-LV" w:eastAsia="lv-LV"/>
              </w:rPr>
            </w:pPr>
            <w:r w:rsidRPr="0019406C">
              <w:rPr>
                <w:rFonts w:asciiTheme="majorHAnsi" w:eastAsia="Times New Roman" w:hAnsiTheme="majorHAnsi"/>
                <w:b/>
                <w:bCs/>
                <w:color w:val="000000"/>
                <w:lang w:val="lv-LV" w:eastAsia="lv-LV"/>
              </w:rPr>
              <w:lastRenderedPageBreak/>
              <w:t>Rīcības virziens mērķa sasniegšanai:</w:t>
            </w:r>
          </w:p>
        </w:tc>
        <w:tc>
          <w:tcPr>
            <w:tcW w:w="9639" w:type="dxa"/>
            <w:gridSpan w:val="4"/>
            <w:shd w:val="clear" w:color="auto" w:fill="EEECE1"/>
          </w:tcPr>
          <w:p w:rsidR="003E76FE" w:rsidRPr="0019406C" w:rsidRDefault="003E76FE" w:rsidP="003E76FE">
            <w:pPr>
              <w:spacing w:before="120" w:after="120" w:line="276" w:lineRule="auto"/>
              <w:rPr>
                <w:rFonts w:asciiTheme="majorHAnsi" w:eastAsia="Times New Roman" w:hAnsiTheme="majorHAnsi"/>
                <w:b/>
                <w:bCs/>
                <w:color w:val="000000"/>
                <w:lang w:val="lv-LV" w:eastAsia="lv-LV"/>
              </w:rPr>
            </w:pPr>
            <w:r w:rsidRPr="0019406C">
              <w:rPr>
                <w:rFonts w:asciiTheme="majorHAnsi" w:eastAsia="Times New Roman" w:hAnsiTheme="majorHAnsi"/>
                <w:b/>
                <w:bCs/>
                <w:color w:val="000000"/>
                <w:lang w:val="lv-LV" w:eastAsia="lv-LV"/>
              </w:rPr>
              <w:t xml:space="preserve">4. </w:t>
            </w:r>
            <w:r w:rsidRPr="0019406C">
              <w:rPr>
                <w:rFonts w:asciiTheme="majorHAnsi" w:hAnsiTheme="majorHAnsi"/>
                <w:lang w:val="lv-LV"/>
              </w:rPr>
              <w:t xml:space="preserve"> </w:t>
            </w:r>
            <w:r w:rsidRPr="0019406C">
              <w:rPr>
                <w:rFonts w:asciiTheme="majorHAnsi" w:eastAsia="Times New Roman" w:hAnsiTheme="majorHAnsi"/>
                <w:b/>
                <w:bCs/>
                <w:color w:val="000000"/>
                <w:lang w:val="lv-LV" w:eastAsia="lv-LV"/>
              </w:rPr>
              <w:t>Nodokļu administrēšana</w:t>
            </w:r>
            <w:r w:rsidRPr="0019406C">
              <w:rPr>
                <w:rFonts w:asciiTheme="majorHAnsi" w:eastAsia="Times New Roman" w:hAnsiTheme="majorHAnsi"/>
                <w:b/>
                <w:bCs/>
                <w:color w:val="000000"/>
                <w:lang w:val="lv-LV" w:eastAsia="lv-LV"/>
              </w:rPr>
              <w:tab/>
            </w:r>
          </w:p>
        </w:tc>
      </w:tr>
      <w:tr w:rsidR="003E76FE" w:rsidRPr="00BB0049" w:rsidTr="004C671C">
        <w:tc>
          <w:tcPr>
            <w:tcW w:w="5495" w:type="dxa"/>
            <w:shd w:val="clear" w:color="auto" w:fill="auto"/>
          </w:tcPr>
          <w:p w:rsidR="003E76FE" w:rsidRPr="0019406C" w:rsidRDefault="003E76FE" w:rsidP="00E521EE">
            <w:pPr>
              <w:pStyle w:val="ListParagraph"/>
              <w:numPr>
                <w:ilvl w:val="1"/>
                <w:numId w:val="26"/>
              </w:numPr>
              <w:spacing w:line="276" w:lineRule="auto"/>
              <w:rPr>
                <w:rFonts w:asciiTheme="majorHAnsi" w:eastAsiaTheme="minorHAnsi" w:hAnsiTheme="majorHAnsi"/>
                <w:b/>
                <w:sz w:val="20"/>
                <w:lang w:val="lv-LV" w:eastAsia="en-US"/>
              </w:rPr>
            </w:pPr>
            <w:r w:rsidRPr="0019406C">
              <w:rPr>
                <w:rFonts w:asciiTheme="majorHAnsi" w:eastAsiaTheme="minorHAnsi" w:hAnsiTheme="majorHAnsi"/>
                <w:b/>
                <w:sz w:val="20"/>
                <w:lang w:val="lv-LV" w:eastAsia="en-US"/>
              </w:rPr>
              <w:t>Informēšana par neiesniegtām atskaitēm VID</w:t>
            </w:r>
          </w:p>
          <w:p w:rsidR="003E76FE" w:rsidRPr="0019406C" w:rsidRDefault="003E76FE" w:rsidP="003E76FE">
            <w:pPr>
              <w:spacing w:after="0" w:line="276" w:lineRule="auto"/>
              <w:jc w:val="both"/>
              <w:rPr>
                <w:rFonts w:asciiTheme="majorHAnsi" w:hAnsiTheme="majorHAnsi" w:cs="Times New Roman"/>
                <w:lang w:val="lv-LV"/>
              </w:rPr>
            </w:pPr>
          </w:p>
          <w:p w:rsidR="003E76FE" w:rsidRPr="0019406C" w:rsidRDefault="003E76FE" w:rsidP="003E76FE">
            <w:pPr>
              <w:spacing w:line="276" w:lineRule="auto"/>
              <w:jc w:val="both"/>
              <w:rPr>
                <w:rFonts w:asciiTheme="majorHAnsi" w:hAnsiTheme="majorHAnsi" w:cs="Times New Roman"/>
                <w:lang w:val="lv-LV"/>
              </w:rPr>
            </w:pPr>
            <w:r w:rsidRPr="0019406C">
              <w:rPr>
                <w:rFonts w:asciiTheme="majorHAnsi" w:hAnsiTheme="majorHAnsi" w:cs="Times New Roman"/>
                <w:lang w:val="lv-LV"/>
              </w:rPr>
              <w:t>Liela  daļa uzņēmēju norādījuši, ka soda naudu piespriešana un nekonsekvence uzskatāma par būtisku slogu uzņēmējdarbībai. Atbilstoši uzņēmēju aptaujas rezultātiem, soda naudu apjoms un piemērošanas konsekvence rada šķēršļus attiecīgi 8,7% un 6,3% uzņēmumu.</w:t>
            </w:r>
          </w:p>
          <w:p w:rsidR="003E76FE" w:rsidRPr="0019406C" w:rsidRDefault="003E76FE" w:rsidP="003E76FE">
            <w:pPr>
              <w:spacing w:line="276" w:lineRule="auto"/>
              <w:jc w:val="both"/>
              <w:rPr>
                <w:rFonts w:asciiTheme="majorHAnsi" w:hAnsiTheme="majorHAnsi" w:cs="Times New Roman"/>
                <w:lang w:val="lv-LV"/>
              </w:rPr>
            </w:pPr>
            <w:r w:rsidRPr="0019406C">
              <w:rPr>
                <w:rFonts w:asciiTheme="majorHAnsi" w:hAnsiTheme="majorHAnsi" w:cs="Times New Roman"/>
                <w:lang w:val="lv-LV"/>
              </w:rPr>
              <w:t>Lai izvairītos no soda naudu neatbilstošas piespriešanas un datu vēlākas saņemšanas, būtu jāveicina uzņēmēju informēšana par neiesniegtām atskaitēm pirms soda naudu piespriešanas.</w:t>
            </w:r>
          </w:p>
          <w:p w:rsidR="003E76FE" w:rsidRPr="0019406C" w:rsidRDefault="003E76FE" w:rsidP="003E76FE">
            <w:pPr>
              <w:spacing w:line="276" w:lineRule="auto"/>
              <w:jc w:val="both"/>
              <w:rPr>
                <w:rFonts w:asciiTheme="majorHAnsi" w:hAnsiTheme="majorHAnsi" w:cs="Times New Roman"/>
                <w:lang w:val="lv-LV"/>
              </w:rPr>
            </w:pPr>
            <w:r w:rsidRPr="0019406C">
              <w:rPr>
                <w:rFonts w:asciiTheme="majorHAnsi" w:hAnsiTheme="majorHAnsi" w:cs="Times New Roman"/>
                <w:lang w:val="lv-LV"/>
              </w:rPr>
              <w:t>Šobrīd VID jau veic uzlabojumus EDS sistēmā, iekļaujot papildus funkcionalitāti ar atskaišu iesniegšanas kalendāru un informēšanu par parādu apmēriem.</w:t>
            </w:r>
          </w:p>
          <w:p w:rsidR="003E76FE" w:rsidRPr="0019406C" w:rsidRDefault="003E76FE" w:rsidP="003E76FE">
            <w:pPr>
              <w:spacing w:line="276" w:lineRule="auto"/>
              <w:jc w:val="both"/>
              <w:rPr>
                <w:rFonts w:asciiTheme="majorHAnsi" w:hAnsiTheme="majorHAnsi" w:cs="Times New Roman"/>
                <w:lang w:val="lv-LV"/>
              </w:rPr>
            </w:pPr>
            <w:r w:rsidRPr="0019406C">
              <w:rPr>
                <w:rFonts w:asciiTheme="majorHAnsi" w:hAnsiTheme="majorHAnsi" w:cs="Times New Roman"/>
                <w:lang w:val="lv-LV"/>
              </w:rPr>
              <w:t xml:space="preserve">Papildus EDS funkcionalitātei un informēšanai par atskaišu iesniegšanu EDS sistēmā, vajadzētu informēt EDS reģistrētās </w:t>
            </w:r>
            <w:proofErr w:type="spellStart"/>
            <w:r w:rsidRPr="0019406C">
              <w:rPr>
                <w:rFonts w:asciiTheme="majorHAnsi" w:hAnsiTheme="majorHAnsi" w:cs="Times New Roman"/>
                <w:lang w:val="lv-LV"/>
              </w:rPr>
              <w:t>paraksttiesīgās</w:t>
            </w:r>
            <w:proofErr w:type="spellEnd"/>
            <w:r w:rsidRPr="0019406C">
              <w:rPr>
                <w:rFonts w:asciiTheme="majorHAnsi" w:hAnsiTheme="majorHAnsi" w:cs="Times New Roman"/>
                <w:lang w:val="lv-LV"/>
              </w:rPr>
              <w:t xml:space="preserve"> personas izmantojot to e-pasta adreses un/vai telefona numurus, lai atbildīgās personas neieejot EDS sistēmā būtu informētas par kavējumu.</w:t>
            </w:r>
          </w:p>
          <w:p w:rsidR="003E76FE" w:rsidRPr="0019406C" w:rsidRDefault="003E76FE" w:rsidP="003E76FE">
            <w:pPr>
              <w:spacing w:line="276" w:lineRule="auto"/>
              <w:jc w:val="both"/>
              <w:rPr>
                <w:rFonts w:asciiTheme="majorHAnsi" w:hAnsiTheme="majorHAnsi" w:cs="Times New Roman"/>
                <w:lang w:val="lv-LV"/>
              </w:rPr>
            </w:pPr>
            <w:r w:rsidRPr="0019406C">
              <w:rPr>
                <w:rFonts w:asciiTheme="majorHAnsi" w:hAnsiTheme="majorHAnsi" w:cs="Times New Roman"/>
                <w:lang w:val="lv-LV"/>
              </w:rPr>
              <w:lastRenderedPageBreak/>
              <w:t>Galvenais ieguvums būtu ātrāka nepieciešamo datu iegūšana, samazinātas izmaksas uzņēmuma informēšanai ar vēstulēm papīra formā. Ieviešot šo priekšlikumu iespējama pozitīva ietekme uz Doing Business rādītājiem attiecībā uz nodokļu administrēšanā patērēto laiku.</w:t>
            </w:r>
          </w:p>
        </w:tc>
        <w:tc>
          <w:tcPr>
            <w:tcW w:w="1701" w:type="dxa"/>
            <w:shd w:val="clear" w:color="auto" w:fill="auto"/>
          </w:tcPr>
          <w:p w:rsidR="003E76FE" w:rsidRPr="0019406C" w:rsidRDefault="003E76FE" w:rsidP="003E76FE">
            <w:pPr>
              <w:spacing w:before="120" w:after="0" w:line="276" w:lineRule="auto"/>
              <w:rPr>
                <w:rFonts w:asciiTheme="majorHAnsi" w:hAnsiTheme="majorHAnsi" w:cs="Times New Roman"/>
                <w:lang w:val="lv-LV"/>
              </w:rPr>
            </w:pPr>
            <w:r w:rsidRPr="0019406C">
              <w:rPr>
                <w:rFonts w:asciiTheme="majorHAnsi" w:hAnsiTheme="majorHAnsi" w:cs="Times New Roman"/>
                <w:lang w:val="lv-LV"/>
              </w:rPr>
              <w:lastRenderedPageBreak/>
              <w:t>31.12.2014</w:t>
            </w:r>
          </w:p>
        </w:tc>
        <w:tc>
          <w:tcPr>
            <w:tcW w:w="1559" w:type="dxa"/>
            <w:shd w:val="clear" w:color="auto" w:fill="auto"/>
          </w:tcPr>
          <w:p w:rsidR="003E76FE" w:rsidRPr="0019406C" w:rsidRDefault="003E76FE" w:rsidP="003E76FE">
            <w:pPr>
              <w:spacing w:before="120" w:after="0" w:line="276" w:lineRule="auto"/>
              <w:rPr>
                <w:rFonts w:asciiTheme="majorHAnsi" w:hAnsiTheme="majorHAnsi" w:cs="Times New Roman"/>
                <w:lang w:val="lv-LV"/>
              </w:rPr>
            </w:pPr>
            <w:r w:rsidRPr="0019406C">
              <w:rPr>
                <w:rFonts w:asciiTheme="majorHAnsi" w:hAnsiTheme="majorHAnsi" w:cs="Times New Roman"/>
                <w:lang w:val="lv-LV"/>
              </w:rPr>
              <w:t>VID</w:t>
            </w:r>
          </w:p>
        </w:tc>
        <w:tc>
          <w:tcPr>
            <w:tcW w:w="4253" w:type="dxa"/>
            <w:shd w:val="clear" w:color="auto" w:fill="auto"/>
          </w:tcPr>
          <w:p w:rsidR="003E76FE" w:rsidRPr="0019406C" w:rsidRDefault="003E76FE" w:rsidP="0072729F">
            <w:pPr>
              <w:pStyle w:val="CommentText"/>
              <w:numPr>
                <w:ilvl w:val="0"/>
                <w:numId w:val="57"/>
              </w:numPr>
              <w:tabs>
                <w:tab w:val="left" w:pos="305"/>
              </w:tabs>
              <w:spacing w:before="120" w:after="0" w:line="276" w:lineRule="auto"/>
              <w:ind w:left="459" w:hanging="283"/>
              <w:jc w:val="both"/>
              <w:rPr>
                <w:rFonts w:asciiTheme="majorHAnsi" w:hAnsiTheme="majorHAnsi" w:cs="Times New Roman"/>
                <w:color w:val="000000"/>
                <w:lang w:val="lv-LV"/>
              </w:rPr>
            </w:pPr>
            <w:r w:rsidRPr="0019406C">
              <w:rPr>
                <w:rFonts w:asciiTheme="majorHAnsi" w:hAnsiTheme="majorHAnsi" w:cs="Times New Roman"/>
                <w:color w:val="000000"/>
                <w:lang w:val="lv-LV"/>
              </w:rPr>
              <w:t xml:space="preserve">Paredzēt EDS sistēmā paziņojumu nosūtīšanu uzņēmuma </w:t>
            </w:r>
            <w:proofErr w:type="spellStart"/>
            <w:r w:rsidRPr="0019406C">
              <w:rPr>
                <w:rFonts w:asciiTheme="majorHAnsi" w:hAnsiTheme="majorHAnsi" w:cs="Times New Roman"/>
                <w:color w:val="000000"/>
                <w:lang w:val="lv-LV"/>
              </w:rPr>
              <w:t>paraksttiesīgajām</w:t>
            </w:r>
            <w:proofErr w:type="spellEnd"/>
            <w:r w:rsidRPr="0019406C">
              <w:rPr>
                <w:rFonts w:asciiTheme="majorHAnsi" w:hAnsiTheme="majorHAnsi" w:cs="Times New Roman"/>
                <w:color w:val="000000"/>
                <w:lang w:val="lv-LV"/>
              </w:rPr>
              <w:t xml:space="preserve"> personām uz ārējo kontakt</w:t>
            </w:r>
            <w:r w:rsidR="0072729F">
              <w:rPr>
                <w:rFonts w:asciiTheme="majorHAnsi" w:hAnsiTheme="majorHAnsi" w:cs="Times New Roman"/>
                <w:color w:val="000000"/>
                <w:lang w:val="lv-LV"/>
              </w:rPr>
              <w:t xml:space="preserve">informāciju (e-pasts, telefona </w:t>
            </w:r>
            <w:proofErr w:type="spellStart"/>
            <w:r w:rsidR="0072729F">
              <w:rPr>
                <w:rFonts w:asciiTheme="majorHAnsi" w:hAnsiTheme="majorHAnsi" w:cs="Times New Roman"/>
                <w:color w:val="000000"/>
                <w:lang w:val="lv-LV"/>
              </w:rPr>
              <w:t>N</w:t>
            </w:r>
            <w:r w:rsidRPr="0019406C">
              <w:rPr>
                <w:rFonts w:asciiTheme="majorHAnsi" w:hAnsiTheme="majorHAnsi" w:cs="Times New Roman"/>
                <w:color w:val="000000"/>
                <w:lang w:val="lv-LV"/>
              </w:rPr>
              <w:t>r</w:t>
            </w:r>
            <w:proofErr w:type="spellEnd"/>
            <w:r w:rsidRPr="0019406C">
              <w:rPr>
                <w:rFonts w:asciiTheme="majorHAnsi" w:hAnsiTheme="majorHAnsi" w:cs="Times New Roman"/>
                <w:color w:val="000000"/>
                <w:lang w:val="lv-LV"/>
              </w:rPr>
              <w:t>.) par nokavētiem atskaišu/ deklarāciju iesniegšanas termiņiem.</w:t>
            </w:r>
          </w:p>
        </w:tc>
        <w:tc>
          <w:tcPr>
            <w:tcW w:w="2126" w:type="dxa"/>
          </w:tcPr>
          <w:p w:rsidR="003E76FE" w:rsidRPr="0019406C" w:rsidRDefault="003E76FE" w:rsidP="003E76FE">
            <w:pPr>
              <w:spacing w:before="120" w:after="0" w:line="276" w:lineRule="auto"/>
              <w:rPr>
                <w:rFonts w:asciiTheme="majorHAnsi" w:hAnsiTheme="majorHAnsi" w:cs="Times New Roman"/>
                <w:lang w:val="lv-LV"/>
              </w:rPr>
            </w:pPr>
          </w:p>
        </w:tc>
      </w:tr>
      <w:tr w:rsidR="003E76FE" w:rsidRPr="0019406C" w:rsidTr="00410806">
        <w:tc>
          <w:tcPr>
            <w:tcW w:w="5495" w:type="dxa"/>
            <w:shd w:val="clear" w:color="auto" w:fill="EEECE1"/>
            <w:vAlign w:val="center"/>
          </w:tcPr>
          <w:p w:rsidR="003E76FE" w:rsidRPr="0019406C" w:rsidRDefault="003E76FE" w:rsidP="003E76FE">
            <w:pPr>
              <w:spacing w:before="120" w:after="120" w:line="276" w:lineRule="auto"/>
              <w:rPr>
                <w:rFonts w:asciiTheme="majorHAnsi" w:eastAsia="Times New Roman" w:hAnsiTheme="majorHAnsi" w:cs="Times New Roman"/>
                <w:b/>
                <w:bCs/>
                <w:color w:val="000000"/>
                <w:lang w:val="lv-LV" w:eastAsia="lv-LV"/>
              </w:rPr>
            </w:pPr>
            <w:r w:rsidRPr="0019406C">
              <w:rPr>
                <w:rFonts w:asciiTheme="majorHAnsi" w:eastAsia="Times New Roman" w:hAnsiTheme="majorHAnsi" w:cs="Times New Roman"/>
                <w:b/>
                <w:bCs/>
                <w:color w:val="000000"/>
                <w:lang w:val="lv-LV" w:eastAsia="lv-LV"/>
              </w:rPr>
              <w:lastRenderedPageBreak/>
              <w:t>Rīcības virziens mērķa sasniegšanai:</w:t>
            </w:r>
          </w:p>
        </w:tc>
        <w:tc>
          <w:tcPr>
            <w:tcW w:w="9639" w:type="dxa"/>
            <w:gridSpan w:val="4"/>
            <w:shd w:val="clear" w:color="auto" w:fill="EEECE1"/>
          </w:tcPr>
          <w:p w:rsidR="003E76FE" w:rsidRPr="0019406C" w:rsidRDefault="003E76FE" w:rsidP="00E521EE">
            <w:pPr>
              <w:pStyle w:val="CommentText"/>
              <w:numPr>
                <w:ilvl w:val="0"/>
                <w:numId w:val="26"/>
              </w:numPr>
              <w:spacing w:before="120" w:after="0" w:line="276" w:lineRule="auto"/>
              <w:jc w:val="both"/>
              <w:rPr>
                <w:rFonts w:asciiTheme="majorHAnsi" w:hAnsiTheme="majorHAnsi" w:cs="Times New Roman"/>
                <w:b/>
                <w:lang w:val="lv-LV"/>
              </w:rPr>
            </w:pPr>
            <w:r w:rsidRPr="0019406C">
              <w:rPr>
                <w:rFonts w:asciiTheme="majorHAnsi" w:eastAsia="Times New Roman" w:hAnsiTheme="majorHAnsi" w:cs="Times New Roman"/>
                <w:b/>
                <w:bCs/>
                <w:color w:val="000000"/>
                <w:lang w:val="lv-LV" w:eastAsia="lv-LV"/>
              </w:rPr>
              <w:t>Uzņēmējdarbības izbeigšana</w:t>
            </w:r>
          </w:p>
        </w:tc>
      </w:tr>
      <w:tr w:rsidR="003E76FE" w:rsidRPr="00BB0049" w:rsidTr="004C671C">
        <w:tc>
          <w:tcPr>
            <w:tcW w:w="5495" w:type="dxa"/>
            <w:shd w:val="clear" w:color="auto" w:fill="auto"/>
          </w:tcPr>
          <w:p w:rsidR="003E76FE" w:rsidRPr="0019406C" w:rsidRDefault="003E76FE" w:rsidP="003E76FE">
            <w:pPr>
              <w:pStyle w:val="CommentText"/>
              <w:spacing w:before="120" w:after="0" w:line="276" w:lineRule="auto"/>
              <w:jc w:val="both"/>
              <w:rPr>
                <w:rFonts w:asciiTheme="majorHAnsi" w:eastAsia="Calibri" w:hAnsiTheme="majorHAnsi" w:cs="Times New Roman"/>
                <w:b/>
                <w:color w:val="000000"/>
                <w:lang w:val="lv-LV"/>
              </w:rPr>
            </w:pPr>
            <w:r w:rsidRPr="0019406C">
              <w:rPr>
                <w:rFonts w:asciiTheme="majorHAnsi" w:eastAsia="Calibri" w:hAnsiTheme="majorHAnsi" w:cs="Times New Roman"/>
                <w:b/>
                <w:color w:val="000000"/>
                <w:lang w:val="lv-LV"/>
              </w:rPr>
              <w:t>5.1.</w:t>
            </w:r>
            <w:r w:rsidRPr="0019406C">
              <w:rPr>
                <w:rFonts w:asciiTheme="majorHAnsi" w:eastAsia="Calibri" w:hAnsiTheme="majorHAnsi" w:cs="Times New Roman"/>
                <w:b/>
                <w:color w:val="000000"/>
                <w:lang w:val="lv-LV"/>
              </w:rPr>
              <w:tab/>
              <w:t>Maksātnespējas administratora atbildības palielināšanas iespēju izvērtēšana</w:t>
            </w:r>
          </w:p>
          <w:p w:rsidR="003E76FE" w:rsidRPr="0019406C" w:rsidRDefault="003E76FE" w:rsidP="003E76FE">
            <w:pPr>
              <w:pStyle w:val="CommentText"/>
              <w:spacing w:before="120" w:after="0" w:line="276" w:lineRule="auto"/>
              <w:jc w:val="both"/>
              <w:rPr>
                <w:rFonts w:asciiTheme="majorHAnsi" w:eastAsia="Calibri" w:hAnsiTheme="majorHAnsi" w:cs="Times New Roman"/>
                <w:color w:val="000000"/>
                <w:lang w:val="lv-LV"/>
              </w:rPr>
            </w:pPr>
            <w:r w:rsidRPr="0019406C">
              <w:rPr>
                <w:rFonts w:asciiTheme="majorHAnsi" w:eastAsia="Calibri" w:hAnsiTheme="majorHAnsi" w:cs="Times New Roman"/>
                <w:color w:val="000000"/>
                <w:lang w:val="lv-LV"/>
              </w:rPr>
              <w:t xml:space="preserve">Maksātnespējas likums šobrīd paredz, ka maksātnespējas administratoram jāskaņo noteiktas darbības ar tiesu, piemēram, jāapstiprina pārdošanas plāns vai jānodrošina visu nodrošināto </w:t>
            </w:r>
            <w:r w:rsidR="0072729F" w:rsidRPr="0019406C">
              <w:rPr>
                <w:rFonts w:asciiTheme="majorHAnsi" w:eastAsia="Calibri" w:hAnsiTheme="majorHAnsi" w:cs="Times New Roman"/>
                <w:color w:val="000000"/>
                <w:lang w:val="lv-LV"/>
              </w:rPr>
              <w:t>kreditoru</w:t>
            </w:r>
            <w:r w:rsidRPr="0019406C">
              <w:rPr>
                <w:rFonts w:asciiTheme="majorHAnsi" w:eastAsia="Calibri" w:hAnsiTheme="majorHAnsi" w:cs="Times New Roman"/>
                <w:color w:val="000000"/>
                <w:lang w:val="lv-LV"/>
              </w:rPr>
              <w:t xml:space="preserve"> piekrišana, kas var ieilgt un samazināt atgūstamās investīcijas perspektīvas. Tieslietu ministrijas 2013.gada 10.decembrī MK informatīvajā ziņojumā „Par maksātnespējas procesa administratoru darbības uzraudzības sistēmas pilnveidošanu” izvērtēti aspekti par administratoru atbildības palielināšanu, tomēr šobrīd nav izvērtēti aspekti par procesa ātrāku norisi. Pēc aptaujas rezultātiem aptaujātajiem uzņēmumiem maksātnespējas procesam nācās patērēt aptuveni 53 dienas. Tomēr </w:t>
            </w:r>
            <w:r w:rsidRPr="0019406C">
              <w:rPr>
                <w:rFonts w:ascii="Georgia" w:eastAsia="Calibri" w:hAnsi="Georgia" w:cs="Times New Roman"/>
                <w:color w:val="EEECE1"/>
                <w:lang w:val="lv-LV"/>
              </w:rPr>
              <w:t>n</w:t>
            </w:r>
            <w:r w:rsidRPr="0019406C">
              <w:rPr>
                <w:rFonts w:ascii="Georgia" w:eastAsia="Calibri" w:hAnsi="Georgia" w:cs="Times New Roman"/>
                <w:color w:val="1E1C11"/>
                <w:lang w:val="lv-LV"/>
              </w:rPr>
              <w:t>elielais atbildētāju skaits (16) neļauj šos rezultātus vispārināt uz visu izlases kopu un salīdzināt ar iepriekšējo gadu rezultātiem.</w:t>
            </w:r>
          </w:p>
          <w:p w:rsidR="003E76FE" w:rsidRPr="0019406C" w:rsidRDefault="003E76FE" w:rsidP="003E76FE">
            <w:pPr>
              <w:pStyle w:val="CommentText"/>
              <w:spacing w:before="120" w:after="0" w:line="276" w:lineRule="auto"/>
              <w:jc w:val="both"/>
              <w:rPr>
                <w:rFonts w:asciiTheme="majorHAnsi" w:eastAsia="Calibri" w:hAnsiTheme="majorHAnsi" w:cs="Times New Roman"/>
                <w:color w:val="000000"/>
                <w:lang w:val="lv-LV"/>
              </w:rPr>
            </w:pPr>
            <w:r w:rsidRPr="0019406C">
              <w:rPr>
                <w:rFonts w:asciiTheme="majorHAnsi" w:eastAsia="Calibri" w:hAnsiTheme="majorHAnsi" w:cs="Times New Roman"/>
                <w:color w:val="000000"/>
                <w:lang w:val="lv-LV"/>
              </w:rPr>
              <w:t xml:space="preserve">Tādējādi ieteikums būtu šāds: lai samazinātu uzņēmējdarbības izbeigšanas procesiem veltīto laiku, kā arī, lai palielinātu investoriem iespējamo atgūstamo ieguldījumu apjomu, jāpalielina maksātnespējas administratora tiesības pieņemt lēmumu atbilstoši kreditoru interesēm, negaidot saskaņojumu ar tiesu un nepildot tiesai nepieciešamās prasības. Tādējādi tiktu paātrināts maksātnespējas process, rodot iespēju </w:t>
            </w:r>
            <w:r w:rsidRPr="0019406C">
              <w:rPr>
                <w:rFonts w:asciiTheme="majorHAnsi" w:eastAsia="Calibri" w:hAnsiTheme="majorHAnsi" w:cs="Times New Roman"/>
                <w:color w:val="000000"/>
                <w:lang w:val="lv-LV"/>
              </w:rPr>
              <w:lastRenderedPageBreak/>
              <w:t>administratoram ātrāk veikt darbības, kas nepieciešamas, piemēram, uzņēmuma pārdošanai.</w:t>
            </w:r>
          </w:p>
          <w:p w:rsidR="003E76FE" w:rsidRPr="0019406C" w:rsidRDefault="003E76FE" w:rsidP="003E76FE">
            <w:pPr>
              <w:pStyle w:val="CommentText"/>
              <w:spacing w:before="120" w:after="0" w:line="276" w:lineRule="auto"/>
              <w:jc w:val="both"/>
              <w:rPr>
                <w:rFonts w:asciiTheme="majorHAnsi" w:eastAsia="Calibri" w:hAnsiTheme="majorHAnsi" w:cs="Times New Roman"/>
                <w:color w:val="000000"/>
                <w:lang w:val="lv-LV"/>
              </w:rPr>
            </w:pPr>
            <w:r w:rsidRPr="0019406C">
              <w:rPr>
                <w:rFonts w:asciiTheme="majorHAnsi" w:eastAsia="Calibri" w:hAnsiTheme="majorHAnsi" w:cs="Times New Roman"/>
                <w:color w:val="000000"/>
                <w:lang w:val="lv-LV"/>
              </w:rPr>
              <w:t>Ieguvums būtu ātrāks procesa norises laiks, kas nozīmē uzņēmuma ātrāku atgriešanos uzņēmējdarbībā, kā arī ātrāku investoru naudas atgriešanu.</w:t>
            </w:r>
          </w:p>
          <w:p w:rsidR="003E76FE" w:rsidRPr="0019406C" w:rsidRDefault="003E76FE" w:rsidP="003E76FE">
            <w:pPr>
              <w:pStyle w:val="CommentText"/>
              <w:spacing w:before="120" w:after="0" w:line="276" w:lineRule="auto"/>
              <w:jc w:val="both"/>
              <w:rPr>
                <w:rFonts w:asciiTheme="majorHAnsi" w:eastAsia="Calibri" w:hAnsiTheme="majorHAnsi" w:cs="Times New Roman"/>
                <w:color w:val="000000"/>
                <w:lang w:val="lv-LV"/>
              </w:rPr>
            </w:pPr>
          </w:p>
        </w:tc>
        <w:tc>
          <w:tcPr>
            <w:tcW w:w="1701" w:type="dxa"/>
            <w:shd w:val="clear" w:color="auto" w:fill="auto"/>
          </w:tcPr>
          <w:p w:rsidR="003E76FE" w:rsidRPr="0019406C" w:rsidRDefault="003E76FE" w:rsidP="003E76FE">
            <w:pPr>
              <w:pStyle w:val="CommentText"/>
              <w:spacing w:before="120" w:after="0" w:line="276" w:lineRule="auto"/>
              <w:jc w:val="both"/>
              <w:rPr>
                <w:rFonts w:asciiTheme="majorHAnsi" w:eastAsia="Calibri" w:hAnsiTheme="majorHAnsi" w:cs="Times New Roman"/>
                <w:color w:val="000000"/>
                <w:lang w:val="lv-LV"/>
              </w:rPr>
            </w:pPr>
            <w:r w:rsidRPr="0019406C">
              <w:rPr>
                <w:rFonts w:asciiTheme="majorHAnsi" w:eastAsia="Calibri" w:hAnsiTheme="majorHAnsi" w:cs="Times New Roman"/>
                <w:color w:val="000000"/>
                <w:lang w:val="lv-LV"/>
              </w:rPr>
              <w:lastRenderedPageBreak/>
              <w:t>31.12.2014</w:t>
            </w:r>
          </w:p>
        </w:tc>
        <w:tc>
          <w:tcPr>
            <w:tcW w:w="1559" w:type="dxa"/>
            <w:shd w:val="clear" w:color="auto" w:fill="auto"/>
          </w:tcPr>
          <w:p w:rsidR="003E76FE" w:rsidRPr="0019406C" w:rsidRDefault="003E76FE" w:rsidP="003E76FE">
            <w:pPr>
              <w:pStyle w:val="CommentText"/>
              <w:spacing w:before="120" w:after="0" w:line="276" w:lineRule="auto"/>
              <w:jc w:val="both"/>
              <w:rPr>
                <w:rFonts w:asciiTheme="majorHAnsi" w:eastAsia="Calibri" w:hAnsiTheme="majorHAnsi" w:cs="Times New Roman"/>
                <w:color w:val="000000"/>
                <w:lang w:val="lv-LV"/>
              </w:rPr>
            </w:pPr>
            <w:r w:rsidRPr="0019406C">
              <w:rPr>
                <w:rFonts w:asciiTheme="majorHAnsi" w:eastAsia="Calibri" w:hAnsiTheme="majorHAnsi" w:cs="Times New Roman"/>
                <w:color w:val="000000"/>
                <w:lang w:val="lv-LV"/>
              </w:rPr>
              <w:t>TM</w:t>
            </w:r>
          </w:p>
        </w:tc>
        <w:tc>
          <w:tcPr>
            <w:tcW w:w="4253" w:type="dxa"/>
            <w:shd w:val="clear" w:color="auto" w:fill="auto"/>
          </w:tcPr>
          <w:p w:rsidR="003E76FE" w:rsidRPr="0019406C" w:rsidRDefault="003E76FE" w:rsidP="00E521EE">
            <w:pPr>
              <w:pStyle w:val="ListParagraph"/>
              <w:numPr>
                <w:ilvl w:val="0"/>
                <w:numId w:val="58"/>
              </w:numPr>
              <w:tabs>
                <w:tab w:val="left" w:pos="275"/>
              </w:tabs>
              <w:spacing w:before="120" w:line="276" w:lineRule="auto"/>
              <w:ind w:left="459" w:hanging="283"/>
              <w:jc w:val="both"/>
              <w:rPr>
                <w:rFonts w:asciiTheme="majorHAnsi" w:hAnsiTheme="majorHAnsi"/>
                <w:sz w:val="20"/>
                <w:lang w:val="lv-LV"/>
              </w:rPr>
            </w:pPr>
            <w:r w:rsidRPr="0019406C">
              <w:rPr>
                <w:rFonts w:asciiTheme="majorHAnsi" w:hAnsiTheme="majorHAnsi"/>
                <w:sz w:val="20"/>
                <w:lang w:val="lv-LV"/>
              </w:rPr>
              <w:t>Izvērtēt iespēju palielināt maksātnespējas administratora pienākumus un tiesības pieņemt lēmumus attiecībā uz parādnieka mantas pārdošanu atbilstoši kreditoriem izdevīgākajam variantam, negaidot saskaņojumu ar tiesu vai visiem kreditoriem.</w:t>
            </w:r>
          </w:p>
        </w:tc>
        <w:tc>
          <w:tcPr>
            <w:tcW w:w="2126" w:type="dxa"/>
          </w:tcPr>
          <w:p w:rsidR="003E76FE" w:rsidRPr="0019406C" w:rsidRDefault="003E76FE" w:rsidP="003E76FE">
            <w:pPr>
              <w:pStyle w:val="CommentText"/>
              <w:spacing w:before="120" w:after="0" w:line="276" w:lineRule="auto"/>
              <w:jc w:val="both"/>
              <w:rPr>
                <w:rFonts w:asciiTheme="majorHAnsi" w:hAnsiTheme="majorHAnsi" w:cs="Times New Roman"/>
                <w:highlight w:val="yellow"/>
                <w:lang w:val="lv-LV"/>
              </w:rPr>
            </w:pPr>
          </w:p>
        </w:tc>
      </w:tr>
      <w:tr w:rsidR="003E76FE" w:rsidRPr="0019406C" w:rsidTr="004C671C">
        <w:tc>
          <w:tcPr>
            <w:tcW w:w="5495" w:type="dxa"/>
            <w:shd w:val="clear" w:color="auto" w:fill="auto"/>
          </w:tcPr>
          <w:p w:rsidR="003E76FE" w:rsidRPr="0019406C" w:rsidRDefault="003E76FE" w:rsidP="003E76FE">
            <w:pPr>
              <w:pStyle w:val="CommentText"/>
              <w:spacing w:before="120" w:after="0" w:line="276" w:lineRule="auto"/>
              <w:jc w:val="both"/>
              <w:rPr>
                <w:rFonts w:asciiTheme="majorHAnsi" w:eastAsia="Calibri" w:hAnsiTheme="majorHAnsi" w:cs="Times New Roman"/>
                <w:b/>
                <w:color w:val="000000"/>
                <w:lang w:val="lv-LV"/>
              </w:rPr>
            </w:pPr>
            <w:r w:rsidRPr="0019406C">
              <w:rPr>
                <w:rFonts w:asciiTheme="majorHAnsi" w:eastAsia="Calibri" w:hAnsiTheme="majorHAnsi" w:cs="Times New Roman"/>
                <w:b/>
                <w:color w:val="000000"/>
                <w:lang w:val="lv-LV"/>
              </w:rPr>
              <w:lastRenderedPageBreak/>
              <w:t>5.2.</w:t>
            </w:r>
            <w:r w:rsidRPr="0019406C">
              <w:rPr>
                <w:rFonts w:asciiTheme="majorHAnsi" w:eastAsia="Calibri" w:hAnsiTheme="majorHAnsi" w:cs="Times New Roman"/>
                <w:b/>
                <w:color w:val="000000"/>
                <w:lang w:val="lv-LV"/>
              </w:rPr>
              <w:tab/>
              <w:t>Maksātnespējas administratoru kvalifikācijas prasību un licencēšanas izvērtēšana</w:t>
            </w:r>
          </w:p>
          <w:p w:rsidR="003E76FE" w:rsidRPr="0019406C" w:rsidRDefault="003E76FE" w:rsidP="003E76FE">
            <w:pPr>
              <w:pStyle w:val="CommentText"/>
              <w:spacing w:before="120" w:after="0" w:line="276" w:lineRule="auto"/>
              <w:jc w:val="both"/>
              <w:rPr>
                <w:rFonts w:asciiTheme="majorHAnsi" w:eastAsia="Calibri" w:hAnsiTheme="majorHAnsi" w:cs="Times New Roman"/>
                <w:color w:val="000000"/>
                <w:lang w:val="lv-LV"/>
              </w:rPr>
            </w:pPr>
            <w:r w:rsidRPr="0019406C">
              <w:rPr>
                <w:rFonts w:asciiTheme="majorHAnsi" w:eastAsia="Calibri" w:hAnsiTheme="majorHAnsi" w:cs="Times New Roman"/>
                <w:color w:val="000000"/>
                <w:lang w:val="lv-LV"/>
              </w:rPr>
              <w:t>Maksātnespējas likums nosaka, ka par maksātnespējas administratoru var būt persona ar juridisko izglītību. Maksātnespējas administrācija veic šo administratoru apmācību grāmatvedības un finanšu jautājumos. Esošā kārtība nosaka, ka par maksātnespējas administratoriem lielākoties var kļūt juristi, kas ne vienmēr nodrošina atbilstību Maksātnespējas likuma vienam no principiem – nodrošināt maksimālu kreditoru prasību apmierināšanu, ņemot vērā to, ka šī principa izpilde prasa, galvenokārt, zināšanas finansēs. Pēc uzņēmēju aptaujas datiem tikai 3% vērtē maksātnespējas procesa administratoru profesionalitāti kā ļoti labu un 23% kā labu. 16% vērtē to kā diezgan sliktu, 13% kā sliktu, bet 12% kā ļoti sliktu. Taču ņemot vērā to, ka</w:t>
            </w:r>
            <w:r w:rsidRPr="0019406C">
              <w:rPr>
                <w:rFonts w:ascii="Georgia" w:eastAsia="Calibri" w:hAnsi="Georgia" w:cs="Times New Roman"/>
                <w:color w:val="EEECE1"/>
                <w:lang w:val="lv-LV"/>
              </w:rPr>
              <w:t xml:space="preserve"> </w:t>
            </w:r>
            <w:r w:rsidRPr="0019406C">
              <w:rPr>
                <w:rFonts w:ascii="Georgia" w:eastAsia="Calibri" w:hAnsi="Georgia" w:cs="Times New Roman"/>
                <w:color w:val="1E1C11"/>
                <w:lang w:val="lv-LV"/>
              </w:rPr>
              <w:t xml:space="preserve">šie nav procesi, ar kuriem saskaras daudzi uzņēmēji, </w:t>
            </w:r>
            <w:r w:rsidRPr="0019406C">
              <w:rPr>
                <w:rFonts w:ascii="Georgia" w:eastAsia="Calibri" w:hAnsi="Georgia" w:cs="Times New Roman"/>
                <w:color w:val="EEECE1"/>
                <w:lang w:val="lv-LV"/>
              </w:rPr>
              <w:t xml:space="preserve"> </w:t>
            </w:r>
            <w:r w:rsidRPr="0019406C">
              <w:rPr>
                <w:rFonts w:ascii="Georgia" w:eastAsia="Calibri" w:hAnsi="Georgia" w:cs="Times New Roman"/>
                <w:color w:val="1E1C11"/>
                <w:lang w:val="lv-LV"/>
              </w:rPr>
              <w:t>nelielais atbildētāju skaits (16) neļauj šos rezultātus vispārināt uz visu izlases kopu un salīdzināt ar iepriekšējo gadu rezultātiem.</w:t>
            </w:r>
          </w:p>
          <w:p w:rsidR="003E76FE" w:rsidRPr="0019406C" w:rsidRDefault="003E76FE" w:rsidP="003E76FE">
            <w:pPr>
              <w:pStyle w:val="CommentText"/>
              <w:spacing w:before="120" w:after="0" w:line="276" w:lineRule="auto"/>
              <w:jc w:val="both"/>
              <w:rPr>
                <w:rFonts w:asciiTheme="majorHAnsi" w:eastAsia="Calibri" w:hAnsiTheme="majorHAnsi" w:cs="Times New Roman"/>
                <w:color w:val="000000"/>
                <w:lang w:val="lv-LV"/>
              </w:rPr>
            </w:pPr>
            <w:r w:rsidRPr="0019406C">
              <w:rPr>
                <w:rFonts w:asciiTheme="majorHAnsi" w:eastAsia="Calibri" w:hAnsiTheme="majorHAnsi" w:cs="Times New Roman"/>
                <w:color w:val="000000"/>
                <w:lang w:val="lv-LV"/>
              </w:rPr>
              <w:t>Tieslietu ministrijas 2013.</w:t>
            </w:r>
            <w:r w:rsidR="00EB67E5">
              <w:rPr>
                <w:rFonts w:asciiTheme="majorHAnsi" w:eastAsia="Calibri" w:hAnsiTheme="majorHAnsi" w:cs="Times New Roman"/>
                <w:color w:val="000000"/>
                <w:lang w:val="lv-LV"/>
              </w:rPr>
              <w:t xml:space="preserve"> </w:t>
            </w:r>
            <w:r w:rsidRPr="0019406C">
              <w:rPr>
                <w:rFonts w:asciiTheme="majorHAnsi" w:eastAsia="Calibri" w:hAnsiTheme="majorHAnsi" w:cs="Times New Roman"/>
                <w:color w:val="000000"/>
                <w:lang w:val="lv-LV"/>
              </w:rPr>
              <w:t>gada 10.</w:t>
            </w:r>
            <w:r w:rsidR="00EB67E5">
              <w:rPr>
                <w:rFonts w:asciiTheme="majorHAnsi" w:eastAsia="Calibri" w:hAnsiTheme="majorHAnsi" w:cs="Times New Roman"/>
                <w:color w:val="000000"/>
                <w:lang w:val="lv-LV"/>
              </w:rPr>
              <w:t xml:space="preserve"> </w:t>
            </w:r>
            <w:r w:rsidRPr="0019406C">
              <w:rPr>
                <w:rFonts w:asciiTheme="majorHAnsi" w:eastAsia="Calibri" w:hAnsiTheme="majorHAnsi" w:cs="Times New Roman"/>
                <w:color w:val="000000"/>
                <w:lang w:val="lv-LV"/>
              </w:rPr>
              <w:t xml:space="preserve">decembrī MK informatīvajā ziņojumā „Par maksātnespējas procesa administratoru darbības uzraudzības sistēmas pilnveidošanu” izvērtēti aspekti par Maksātnespējas administratoru sertificēšanu, tomēr šobrīd nav izvērtēti aspekti par izglītības prasību nomaiņu par labu finanšu speciālistu piesaistei, kas nodrošinātu iespēju efektīvāk </w:t>
            </w:r>
            <w:r w:rsidRPr="0019406C">
              <w:rPr>
                <w:rFonts w:asciiTheme="majorHAnsi" w:eastAsia="Calibri" w:hAnsiTheme="majorHAnsi" w:cs="Times New Roman"/>
                <w:color w:val="000000"/>
                <w:lang w:val="lv-LV"/>
              </w:rPr>
              <w:lastRenderedPageBreak/>
              <w:t>risināt kreditoru ieguldījumu atgūšanu. Ņemot vērā, ka Maksātnespējas likuma mērķis ir atgūt maksātnespējā nonākušu uzņēmumu kreditoriem pēc iespējas maksimālu ieguldītā finansējuma daļu, tad jāizvērtē, vai šobrīd noteiktās administratoru licencēšanas prasības ir pietiekošas, lai administrators spētu orientēties ne tik daudz uz procesa juridisko pusi, bet tieši uz finansiālo pusi, tādēļ jāizvērtē, vai atbilstoša ir norma, ka administratoram ir likumā noteikta prasība būt ar juridisko izglītību, jo galvenajām prasībām jāizriet no sertificēšanas institūcijas prasībām. Katrā ziņā juridiskā izglītība nav nosakāma kā prioritāra. Tāpat arī jāizvērtē, vai tiek dota iespēja kreditoriem par administratoru izvēlēties profesionāļus, kas nav licencēti Latvijā. Likumdošanas normu izmaiņas par labu finanšu sfēras profesionāļiem kopā ar citiem ierosinājumiem veicinātu procesa ātrāku norisi un augstāku atgūstamā ieguldījuma apjomu, kā arī uzņēmuma atgriešanu biznesā (ja tas rada kreditoriem augstāku vērtību).</w:t>
            </w:r>
          </w:p>
        </w:tc>
        <w:tc>
          <w:tcPr>
            <w:tcW w:w="1701" w:type="dxa"/>
            <w:shd w:val="clear" w:color="auto" w:fill="auto"/>
          </w:tcPr>
          <w:p w:rsidR="003E76FE" w:rsidRPr="0019406C" w:rsidRDefault="003E76FE" w:rsidP="003E76FE">
            <w:pPr>
              <w:pStyle w:val="CommentText"/>
              <w:spacing w:before="120" w:after="0" w:line="276" w:lineRule="auto"/>
              <w:jc w:val="both"/>
              <w:rPr>
                <w:rFonts w:asciiTheme="majorHAnsi" w:eastAsia="Calibri" w:hAnsiTheme="majorHAnsi" w:cs="Times New Roman"/>
                <w:color w:val="000000"/>
                <w:lang w:val="lv-LV"/>
              </w:rPr>
            </w:pPr>
            <w:r w:rsidRPr="0019406C">
              <w:rPr>
                <w:rFonts w:asciiTheme="majorHAnsi" w:eastAsia="Calibri" w:hAnsiTheme="majorHAnsi" w:cs="Times New Roman"/>
                <w:color w:val="000000"/>
                <w:lang w:val="lv-LV"/>
              </w:rPr>
              <w:lastRenderedPageBreak/>
              <w:t>31.12.2014</w:t>
            </w:r>
          </w:p>
        </w:tc>
        <w:tc>
          <w:tcPr>
            <w:tcW w:w="1559" w:type="dxa"/>
            <w:shd w:val="clear" w:color="auto" w:fill="auto"/>
          </w:tcPr>
          <w:p w:rsidR="003E76FE" w:rsidRPr="0019406C" w:rsidRDefault="003E76FE" w:rsidP="003E76FE">
            <w:pPr>
              <w:pStyle w:val="CommentText"/>
              <w:spacing w:before="120" w:after="0" w:line="276" w:lineRule="auto"/>
              <w:jc w:val="both"/>
              <w:rPr>
                <w:rFonts w:asciiTheme="majorHAnsi" w:eastAsia="Calibri" w:hAnsiTheme="majorHAnsi" w:cs="Times New Roman"/>
                <w:color w:val="000000"/>
                <w:lang w:val="lv-LV"/>
              </w:rPr>
            </w:pPr>
            <w:r w:rsidRPr="0019406C">
              <w:rPr>
                <w:rFonts w:asciiTheme="majorHAnsi" w:eastAsia="Calibri" w:hAnsiTheme="majorHAnsi" w:cs="Times New Roman"/>
                <w:color w:val="000000"/>
                <w:lang w:val="lv-LV"/>
              </w:rPr>
              <w:t>TM</w:t>
            </w:r>
          </w:p>
        </w:tc>
        <w:tc>
          <w:tcPr>
            <w:tcW w:w="4253" w:type="dxa"/>
            <w:shd w:val="clear" w:color="auto" w:fill="auto"/>
          </w:tcPr>
          <w:p w:rsidR="003E76FE" w:rsidRPr="0019406C" w:rsidRDefault="003E76FE" w:rsidP="00E521EE">
            <w:pPr>
              <w:pStyle w:val="ListParagraph"/>
              <w:numPr>
                <w:ilvl w:val="0"/>
                <w:numId w:val="27"/>
              </w:numPr>
              <w:tabs>
                <w:tab w:val="left" w:pos="275"/>
              </w:tabs>
              <w:spacing w:before="120" w:line="276" w:lineRule="auto"/>
              <w:jc w:val="both"/>
              <w:rPr>
                <w:rFonts w:asciiTheme="majorHAnsi" w:hAnsiTheme="majorHAnsi"/>
                <w:sz w:val="20"/>
                <w:lang w:val="lv-LV"/>
              </w:rPr>
            </w:pPr>
            <w:r w:rsidRPr="0019406C">
              <w:rPr>
                <w:rFonts w:asciiTheme="majorHAnsi" w:hAnsiTheme="majorHAnsi"/>
                <w:sz w:val="20"/>
                <w:lang w:val="lv-LV"/>
              </w:rPr>
              <w:t>Ierosināt no Maksātnespējas likuma izņemt prasību par juridisko izglītību.</w:t>
            </w:r>
          </w:p>
          <w:p w:rsidR="003E76FE" w:rsidRPr="0019406C" w:rsidRDefault="003E76FE" w:rsidP="00E521EE">
            <w:pPr>
              <w:pStyle w:val="ListParagraph"/>
              <w:numPr>
                <w:ilvl w:val="0"/>
                <w:numId w:val="27"/>
              </w:numPr>
              <w:tabs>
                <w:tab w:val="left" w:pos="275"/>
              </w:tabs>
              <w:spacing w:before="120" w:line="276" w:lineRule="auto"/>
              <w:jc w:val="both"/>
              <w:rPr>
                <w:rFonts w:asciiTheme="majorHAnsi" w:hAnsiTheme="majorHAnsi"/>
                <w:sz w:val="20"/>
                <w:lang w:val="lv-LV"/>
              </w:rPr>
            </w:pPr>
            <w:r w:rsidRPr="0019406C">
              <w:rPr>
                <w:rFonts w:asciiTheme="majorHAnsi" w:hAnsiTheme="majorHAnsi"/>
                <w:sz w:val="20"/>
                <w:lang w:val="lv-LV"/>
              </w:rPr>
              <w:t>Pastiprināt prasības maksātnespējas administratoru sertificēšanā finanšu un grāmatvedības jomā.</w:t>
            </w:r>
          </w:p>
          <w:p w:rsidR="003E76FE" w:rsidRPr="0019406C" w:rsidRDefault="003E76FE" w:rsidP="00E521EE">
            <w:pPr>
              <w:pStyle w:val="ListParagraph"/>
              <w:numPr>
                <w:ilvl w:val="0"/>
                <w:numId w:val="27"/>
              </w:numPr>
              <w:tabs>
                <w:tab w:val="left" w:pos="275"/>
              </w:tabs>
              <w:spacing w:before="120" w:line="276" w:lineRule="auto"/>
              <w:jc w:val="both"/>
              <w:rPr>
                <w:rFonts w:asciiTheme="majorHAnsi" w:hAnsiTheme="majorHAnsi"/>
                <w:sz w:val="20"/>
                <w:lang w:val="lv-LV"/>
              </w:rPr>
            </w:pPr>
            <w:r w:rsidRPr="0019406C">
              <w:rPr>
                <w:rFonts w:asciiTheme="majorHAnsi" w:hAnsiTheme="majorHAnsi"/>
                <w:sz w:val="20"/>
                <w:lang w:val="lv-LV"/>
              </w:rPr>
              <w:t>Izvērtēt ārvalsts profesionāļu iespēju kļūt par maksātnespējas administratoriem.</w:t>
            </w:r>
          </w:p>
        </w:tc>
        <w:tc>
          <w:tcPr>
            <w:tcW w:w="2126" w:type="dxa"/>
          </w:tcPr>
          <w:p w:rsidR="003E76FE" w:rsidRPr="0019406C" w:rsidRDefault="003E76FE" w:rsidP="003E76FE">
            <w:pPr>
              <w:pStyle w:val="CommentText"/>
              <w:spacing w:before="120" w:after="0" w:line="276" w:lineRule="auto"/>
              <w:jc w:val="both"/>
              <w:rPr>
                <w:rFonts w:asciiTheme="majorHAnsi" w:hAnsiTheme="majorHAnsi" w:cs="Times New Roman"/>
                <w:highlight w:val="yellow"/>
                <w:lang w:val="lv-LV"/>
              </w:rPr>
            </w:pPr>
          </w:p>
        </w:tc>
      </w:tr>
      <w:tr w:rsidR="003E76FE" w:rsidRPr="0019406C" w:rsidTr="00410806">
        <w:tc>
          <w:tcPr>
            <w:tcW w:w="5495" w:type="dxa"/>
            <w:shd w:val="clear" w:color="auto" w:fill="EEECE1"/>
          </w:tcPr>
          <w:p w:rsidR="003E76FE" w:rsidRPr="0019406C" w:rsidRDefault="003E76FE" w:rsidP="003E76FE">
            <w:pPr>
              <w:pStyle w:val="CommentText"/>
              <w:spacing w:before="120" w:after="0" w:line="276" w:lineRule="auto"/>
              <w:ind w:left="567" w:hanging="567"/>
              <w:jc w:val="both"/>
              <w:rPr>
                <w:rFonts w:asciiTheme="majorHAnsi" w:eastAsia="Calibri" w:hAnsiTheme="majorHAnsi" w:cs="Calibri"/>
                <w:b/>
                <w:color w:val="000000"/>
                <w:lang w:val="lv-LV"/>
              </w:rPr>
            </w:pPr>
            <w:r w:rsidRPr="0019406C">
              <w:rPr>
                <w:rFonts w:asciiTheme="majorHAnsi" w:eastAsia="Times New Roman" w:hAnsiTheme="majorHAnsi" w:cs="Times New Roman"/>
                <w:b/>
                <w:bCs/>
                <w:color w:val="000000"/>
                <w:lang w:val="lv-LV" w:eastAsia="lv-LV"/>
              </w:rPr>
              <w:lastRenderedPageBreak/>
              <w:t>Rīcības virziens mērķa sasniegšanai:</w:t>
            </w:r>
          </w:p>
        </w:tc>
        <w:tc>
          <w:tcPr>
            <w:tcW w:w="9639" w:type="dxa"/>
            <w:gridSpan w:val="4"/>
            <w:shd w:val="clear" w:color="auto" w:fill="EEECE1"/>
          </w:tcPr>
          <w:p w:rsidR="003E76FE" w:rsidRPr="0019406C" w:rsidRDefault="003E76FE" w:rsidP="00E521EE">
            <w:pPr>
              <w:pStyle w:val="CommentText"/>
              <w:numPr>
                <w:ilvl w:val="0"/>
                <w:numId w:val="26"/>
              </w:numPr>
              <w:spacing w:before="120" w:after="0" w:line="276" w:lineRule="auto"/>
              <w:jc w:val="both"/>
              <w:rPr>
                <w:rFonts w:asciiTheme="majorHAnsi" w:eastAsia="Calibri" w:hAnsiTheme="majorHAnsi" w:cs="Calibri"/>
                <w:b/>
                <w:color w:val="000000"/>
                <w:lang w:val="lv-LV"/>
              </w:rPr>
            </w:pPr>
            <w:r w:rsidRPr="0019406C">
              <w:rPr>
                <w:rFonts w:asciiTheme="majorHAnsi" w:hAnsiTheme="majorHAnsi" w:cs="Times New Roman"/>
                <w:b/>
                <w:lang w:val="lv-LV"/>
              </w:rPr>
              <w:t>Nekustamā īpašuma reģistrācija</w:t>
            </w:r>
          </w:p>
        </w:tc>
      </w:tr>
      <w:tr w:rsidR="003E76FE" w:rsidRPr="00BB0049" w:rsidTr="004C671C">
        <w:tc>
          <w:tcPr>
            <w:tcW w:w="5495" w:type="dxa"/>
            <w:shd w:val="clear" w:color="auto" w:fill="auto"/>
          </w:tcPr>
          <w:p w:rsidR="003E76FE" w:rsidRPr="0019406C" w:rsidRDefault="003E76FE" w:rsidP="003E76FE">
            <w:pPr>
              <w:pStyle w:val="CommentText"/>
              <w:spacing w:before="120" w:after="0" w:line="276" w:lineRule="auto"/>
              <w:ind w:left="567" w:hanging="567"/>
              <w:jc w:val="both"/>
              <w:rPr>
                <w:rFonts w:asciiTheme="majorHAnsi" w:eastAsia="Times New Roman" w:hAnsiTheme="majorHAnsi" w:cs="Times New Roman"/>
                <w:b/>
                <w:bCs/>
                <w:color w:val="000000"/>
                <w:lang w:val="lv-LV" w:eastAsia="lv-LV"/>
              </w:rPr>
            </w:pPr>
            <w:r w:rsidRPr="0019406C">
              <w:rPr>
                <w:rFonts w:asciiTheme="majorHAnsi" w:eastAsia="Times New Roman" w:hAnsiTheme="majorHAnsi" w:cs="Times New Roman"/>
                <w:b/>
                <w:bCs/>
                <w:color w:val="000000"/>
                <w:lang w:val="lv-LV" w:eastAsia="lv-LV"/>
              </w:rPr>
              <w:t>6.1 Teritoriju plānojumu papildināšana, norādot objektus uz kuriem  pašvaldība varētu izmantot pirmpirkuma tiesības.</w:t>
            </w:r>
          </w:p>
          <w:p w:rsidR="003E76FE" w:rsidRPr="0019406C" w:rsidRDefault="003E76FE" w:rsidP="003E76FE">
            <w:pPr>
              <w:pStyle w:val="CommentText"/>
              <w:spacing w:before="120" w:after="0" w:line="276" w:lineRule="auto"/>
              <w:jc w:val="both"/>
              <w:rPr>
                <w:rFonts w:asciiTheme="majorHAnsi" w:eastAsia="Times New Roman" w:hAnsiTheme="majorHAnsi" w:cs="Times New Roman"/>
                <w:bCs/>
                <w:color w:val="000000"/>
                <w:lang w:val="lv-LV" w:eastAsia="lv-LV"/>
              </w:rPr>
            </w:pPr>
            <w:r w:rsidRPr="0019406C">
              <w:rPr>
                <w:rFonts w:asciiTheme="majorHAnsi" w:eastAsia="Times New Roman" w:hAnsiTheme="majorHAnsi" w:cs="Times New Roman"/>
                <w:bCs/>
                <w:color w:val="000000"/>
                <w:lang w:val="lv-LV" w:eastAsia="lv-LV"/>
              </w:rPr>
              <w:t xml:space="preserve">MK noteikumi </w:t>
            </w:r>
            <w:proofErr w:type="spellStart"/>
            <w:r w:rsidRPr="0019406C">
              <w:rPr>
                <w:rFonts w:asciiTheme="majorHAnsi" w:eastAsia="Times New Roman" w:hAnsiTheme="majorHAnsi" w:cs="Times New Roman"/>
                <w:bCs/>
                <w:color w:val="000000"/>
                <w:lang w:val="lv-LV" w:eastAsia="lv-LV"/>
              </w:rPr>
              <w:t>Nr</w:t>
            </w:r>
            <w:proofErr w:type="spellEnd"/>
            <w:r w:rsidRPr="0019406C">
              <w:rPr>
                <w:rFonts w:asciiTheme="majorHAnsi" w:eastAsia="Times New Roman" w:hAnsiTheme="majorHAnsi" w:cs="Times New Roman"/>
                <w:bCs/>
                <w:color w:val="000000"/>
                <w:lang w:val="lv-LV" w:eastAsia="lv-LV"/>
              </w:rPr>
              <w:t>. 919 „Noteikumi par vietējo pašvaldību pirmpirkuma tiesību izmantošanas kārtību un termiņiem” paredz, ka tajos gadījumos, kad vietējai pašvaldībai atsavināmais īpašums ir nepieciešams, tā pieņem lēmumu par tiesību izmantošanu vai atteikumu ne vēlāk kā 20 dienu laikā pēc pirkuma līguma vai tā noraksta saņemšanas. Gadījumā, ja pašvaldībai īpašums nav nepieciešams, šis lēmums jāpieņem ne vēlāk kā 5 darbdienu laikā.</w:t>
            </w:r>
          </w:p>
          <w:p w:rsidR="003E76FE" w:rsidRPr="0019406C" w:rsidRDefault="003E76FE" w:rsidP="003E76FE">
            <w:pPr>
              <w:pStyle w:val="CommentText"/>
              <w:spacing w:before="120" w:after="0" w:line="276" w:lineRule="auto"/>
              <w:jc w:val="both"/>
              <w:rPr>
                <w:rFonts w:asciiTheme="majorHAnsi" w:eastAsia="Times New Roman" w:hAnsiTheme="majorHAnsi" w:cs="Times New Roman"/>
                <w:bCs/>
                <w:color w:val="000000"/>
                <w:lang w:val="lv-LV" w:eastAsia="lv-LV"/>
              </w:rPr>
            </w:pPr>
            <w:r w:rsidRPr="0019406C">
              <w:rPr>
                <w:rFonts w:asciiTheme="majorHAnsi" w:eastAsia="Times New Roman" w:hAnsiTheme="majorHAnsi" w:cs="Times New Roman"/>
                <w:bCs/>
                <w:color w:val="000000"/>
                <w:lang w:val="lv-LV" w:eastAsia="lv-LV"/>
              </w:rPr>
              <w:t xml:space="preserve">Pamatojoties uz intervijās gūto informāciju, praksē pašvaldības pirmpirkuma tiesības izmanto reti. Turklāt </w:t>
            </w:r>
            <w:r w:rsidRPr="0019406C">
              <w:rPr>
                <w:rFonts w:asciiTheme="majorHAnsi" w:eastAsia="Times New Roman" w:hAnsiTheme="majorHAnsi" w:cs="Times New Roman"/>
                <w:bCs/>
                <w:color w:val="000000"/>
                <w:lang w:val="lv-LV" w:eastAsia="lv-LV"/>
              </w:rPr>
              <w:lastRenderedPageBreak/>
              <w:t xml:space="preserve">uzņēmēju aptaujas rezultāti parāda, ka, salīdzinājumā ar 2011. gadu, kad paziņojuma saņemšanai par pašvaldības atteikšanos no pirmpirkuma tiesībām vidēji uzņēmumi patērēja 16 dienas, procesam nepieciešamo dienu skaits 2014. gadā ir pieaudzis līdz 24 dienām. Tāpat jāņem vērā, ka pašlaik visiem gadījumiem termiņš ir vienāds – 20 dienas neatkarīgi no tā sarežģītības pakāpes. </w:t>
            </w:r>
          </w:p>
          <w:p w:rsidR="003E76FE" w:rsidRPr="0019406C" w:rsidRDefault="003E76FE" w:rsidP="003E76FE">
            <w:pPr>
              <w:pStyle w:val="CommentText"/>
              <w:spacing w:before="120" w:after="0" w:line="276" w:lineRule="auto"/>
              <w:jc w:val="both"/>
              <w:rPr>
                <w:rFonts w:asciiTheme="majorHAnsi" w:eastAsia="Times New Roman" w:hAnsiTheme="majorHAnsi" w:cs="Times New Roman"/>
                <w:bCs/>
                <w:color w:val="000000"/>
                <w:lang w:val="lv-LV" w:eastAsia="lv-LV"/>
              </w:rPr>
            </w:pPr>
            <w:r w:rsidRPr="0019406C">
              <w:rPr>
                <w:rFonts w:asciiTheme="majorHAnsi" w:eastAsia="Times New Roman" w:hAnsiTheme="majorHAnsi" w:cs="Times New Roman"/>
                <w:bCs/>
                <w:color w:val="000000"/>
                <w:lang w:val="lv-LV" w:eastAsia="lv-LV"/>
              </w:rPr>
              <w:t xml:space="preserve">Lai minēto problēmu risinātu, ekspertu </w:t>
            </w:r>
            <w:r w:rsidRPr="0019406C">
              <w:rPr>
                <w:rFonts w:asciiTheme="majorHAnsi" w:hAnsiTheme="majorHAnsi"/>
                <w:szCs w:val="22"/>
                <w:lang w:val="lv-LV"/>
              </w:rPr>
              <w:t>diskusiju rezultātā tika izvirzīts priekšlikums par pirmpirkuma tiesību objektu iekļaušanu teritoriju plānojumos. Tādējādi dodot iespēju interesentiem jau laicīgi redzēt uz kurām zemēm pašvaldība pretendē un varētu izmantot pirmpirkuma tiesības un uz kurām tās netiks izmantotas. Šāds risinājums dotu iespēju atsevišķos gadījumos izlaist procesu, kur pašvaldība izskata savu pirmpirkuma tiesību izmantošanu un tādējādi varētu panākt procesa diferenciāciju un atsevišķos gadījumos to paātrināt, izlaižot pašvaldības pirmpirkuma tiesību izskatīšanu.</w:t>
            </w:r>
          </w:p>
          <w:p w:rsidR="003E76FE" w:rsidRPr="0019406C" w:rsidRDefault="003E76FE" w:rsidP="003E76FE">
            <w:pPr>
              <w:pStyle w:val="CommentText"/>
              <w:spacing w:before="120" w:after="0" w:line="276" w:lineRule="auto"/>
              <w:jc w:val="both"/>
              <w:rPr>
                <w:rFonts w:asciiTheme="majorHAnsi" w:eastAsia="Times New Roman" w:hAnsiTheme="majorHAnsi" w:cs="Times New Roman"/>
                <w:bCs/>
                <w:color w:val="000000"/>
                <w:lang w:val="lv-LV" w:eastAsia="lv-LV"/>
              </w:rPr>
            </w:pPr>
          </w:p>
        </w:tc>
        <w:tc>
          <w:tcPr>
            <w:tcW w:w="1701" w:type="dxa"/>
            <w:shd w:val="clear" w:color="auto" w:fill="auto"/>
          </w:tcPr>
          <w:p w:rsidR="003E76FE" w:rsidRPr="0019406C" w:rsidRDefault="003E76FE" w:rsidP="003E76FE">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lastRenderedPageBreak/>
              <w:t>31.12.2015</w:t>
            </w:r>
          </w:p>
        </w:tc>
        <w:tc>
          <w:tcPr>
            <w:tcW w:w="1559" w:type="dxa"/>
            <w:shd w:val="clear" w:color="auto" w:fill="auto"/>
          </w:tcPr>
          <w:p w:rsidR="003E76FE" w:rsidRPr="0019406C" w:rsidRDefault="003E76FE" w:rsidP="003E76FE">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VARAM</w:t>
            </w:r>
          </w:p>
        </w:tc>
        <w:tc>
          <w:tcPr>
            <w:tcW w:w="4253" w:type="dxa"/>
            <w:shd w:val="clear" w:color="auto" w:fill="auto"/>
          </w:tcPr>
          <w:p w:rsidR="003E76FE" w:rsidRPr="0019406C" w:rsidRDefault="003E76FE" w:rsidP="00E521EE">
            <w:pPr>
              <w:pStyle w:val="CommentText"/>
              <w:numPr>
                <w:ilvl w:val="0"/>
                <w:numId w:val="37"/>
              </w:numPr>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Pēc pašvaldību teritoriju plānojumu izstrādes, iekļaut pašvaldību teritoriju plānojumos informāciju par objektiem, kuriem pašvaldība pretendē uz pirmpirkuma tiesību izmantošanu.</w:t>
            </w:r>
          </w:p>
        </w:tc>
        <w:tc>
          <w:tcPr>
            <w:tcW w:w="2126" w:type="dxa"/>
          </w:tcPr>
          <w:p w:rsidR="003E76FE" w:rsidRPr="0019406C" w:rsidRDefault="003E76FE" w:rsidP="003E76FE">
            <w:pPr>
              <w:pStyle w:val="CommentText"/>
              <w:spacing w:before="120" w:after="0" w:line="276" w:lineRule="auto"/>
              <w:jc w:val="both"/>
              <w:rPr>
                <w:rFonts w:asciiTheme="majorHAnsi" w:hAnsiTheme="majorHAnsi" w:cs="Times New Roman"/>
                <w:highlight w:val="yellow"/>
                <w:lang w:val="lv-LV"/>
              </w:rPr>
            </w:pPr>
          </w:p>
        </w:tc>
      </w:tr>
      <w:tr w:rsidR="003E76FE" w:rsidRPr="0019406C" w:rsidTr="00410806">
        <w:tc>
          <w:tcPr>
            <w:tcW w:w="5495" w:type="dxa"/>
            <w:shd w:val="clear" w:color="auto" w:fill="EEECE1"/>
          </w:tcPr>
          <w:p w:rsidR="003E76FE" w:rsidRPr="0019406C" w:rsidRDefault="003E76FE" w:rsidP="003E76FE">
            <w:pPr>
              <w:pStyle w:val="CommentText"/>
              <w:spacing w:before="120" w:after="0" w:line="276" w:lineRule="auto"/>
              <w:ind w:left="567" w:hanging="567"/>
              <w:jc w:val="both"/>
              <w:rPr>
                <w:rFonts w:asciiTheme="majorHAnsi" w:eastAsia="Calibri" w:hAnsiTheme="majorHAnsi" w:cs="Calibri"/>
                <w:b/>
                <w:color w:val="000000"/>
                <w:lang w:val="lv-LV"/>
              </w:rPr>
            </w:pPr>
            <w:r w:rsidRPr="0019406C">
              <w:rPr>
                <w:rFonts w:asciiTheme="majorHAnsi" w:eastAsia="Times New Roman" w:hAnsiTheme="majorHAnsi" w:cs="Times New Roman"/>
                <w:b/>
                <w:bCs/>
                <w:color w:val="000000"/>
                <w:lang w:val="lv-LV" w:eastAsia="lv-LV"/>
              </w:rPr>
              <w:lastRenderedPageBreak/>
              <w:t>Rīcības virziens mērķa sasniegšanai:</w:t>
            </w:r>
          </w:p>
        </w:tc>
        <w:tc>
          <w:tcPr>
            <w:tcW w:w="9639" w:type="dxa"/>
            <w:gridSpan w:val="4"/>
            <w:shd w:val="clear" w:color="auto" w:fill="EEECE1"/>
          </w:tcPr>
          <w:p w:rsidR="003E76FE" w:rsidRPr="0019406C" w:rsidRDefault="003E76FE" w:rsidP="00E521EE">
            <w:pPr>
              <w:pStyle w:val="CommentText"/>
              <w:numPr>
                <w:ilvl w:val="0"/>
                <w:numId w:val="26"/>
              </w:numPr>
              <w:spacing w:before="120" w:after="0" w:line="276" w:lineRule="auto"/>
              <w:jc w:val="both"/>
              <w:rPr>
                <w:rFonts w:asciiTheme="majorHAnsi" w:hAnsiTheme="majorHAnsi" w:cs="Times New Roman"/>
                <w:lang w:val="lv-LV"/>
              </w:rPr>
            </w:pPr>
            <w:r w:rsidRPr="0019406C">
              <w:rPr>
                <w:rFonts w:asciiTheme="majorHAnsi" w:hAnsiTheme="majorHAnsi" w:cs="Times New Roman"/>
                <w:b/>
                <w:lang w:val="lv-LV"/>
              </w:rPr>
              <w:t>Būvniecība</w:t>
            </w:r>
          </w:p>
        </w:tc>
      </w:tr>
      <w:tr w:rsidR="003E76FE" w:rsidRPr="00BB0049" w:rsidTr="004C671C">
        <w:tc>
          <w:tcPr>
            <w:tcW w:w="5495" w:type="dxa"/>
            <w:shd w:val="clear" w:color="auto" w:fill="auto"/>
          </w:tcPr>
          <w:p w:rsidR="003E76FE" w:rsidRPr="0019406C" w:rsidRDefault="003E76FE" w:rsidP="00E521EE">
            <w:pPr>
              <w:pStyle w:val="BodyText"/>
              <w:numPr>
                <w:ilvl w:val="1"/>
                <w:numId w:val="51"/>
              </w:numPr>
              <w:spacing w:line="276" w:lineRule="auto"/>
              <w:jc w:val="both"/>
              <w:rPr>
                <w:rFonts w:cs="Times New Roman"/>
                <w:lang w:val="lv-LV"/>
              </w:rPr>
            </w:pPr>
            <w:r w:rsidRPr="0019406C">
              <w:rPr>
                <w:rFonts w:cs="Times New Roman"/>
                <w:b/>
                <w:lang w:val="lv-LV"/>
              </w:rPr>
              <w:t>Precīza būvvaldes veikto pārbaužu un saskaņojumu definēšana normatīvajos aktos.</w:t>
            </w:r>
          </w:p>
          <w:p w:rsidR="003E76FE" w:rsidRPr="0019406C" w:rsidRDefault="003E76FE" w:rsidP="003E76FE">
            <w:pPr>
              <w:pStyle w:val="BodyText"/>
              <w:spacing w:before="240" w:line="276" w:lineRule="auto"/>
              <w:jc w:val="both"/>
              <w:rPr>
                <w:rFonts w:cs="Times New Roman"/>
                <w:lang w:val="lv-LV"/>
              </w:rPr>
            </w:pPr>
            <w:r w:rsidRPr="0019406C">
              <w:rPr>
                <w:rFonts w:cs="Times New Roman"/>
                <w:lang w:val="lv-LV"/>
              </w:rPr>
              <w:t>Jaunajā Būvniecības likumā būvvaldes pienākumi ir ļoti plaši definēti. Saskaņā ar Būvniecības likumu, kas stāsies spēkā 2014.gada 1.oktobrī  būvvaldei tiek noteiktas šādas funkcijas:</w:t>
            </w:r>
          </w:p>
          <w:p w:rsidR="003E76FE" w:rsidRPr="0019406C" w:rsidRDefault="003E76FE" w:rsidP="00EB67E5">
            <w:pPr>
              <w:pStyle w:val="BodyText"/>
              <w:spacing w:after="0" w:line="276" w:lineRule="auto"/>
              <w:ind w:left="426"/>
              <w:jc w:val="both"/>
              <w:rPr>
                <w:rFonts w:cs="Times New Roman"/>
                <w:lang w:val="lv-LV"/>
              </w:rPr>
            </w:pPr>
            <w:r w:rsidRPr="0019406C">
              <w:rPr>
                <w:rFonts w:cs="Times New Roman"/>
                <w:lang w:val="lv-LV"/>
              </w:rPr>
              <w:t>1. kontrolē būvniecības procesu un tā atbilstību šā likuma un citu būvniecību regulējošu normatīvo aktu prasībām;</w:t>
            </w:r>
          </w:p>
          <w:p w:rsidR="003E76FE" w:rsidRPr="0019406C" w:rsidRDefault="003E76FE" w:rsidP="00EB67E5">
            <w:pPr>
              <w:pStyle w:val="BodyText"/>
              <w:spacing w:after="0" w:line="276" w:lineRule="auto"/>
              <w:ind w:left="426"/>
              <w:jc w:val="both"/>
              <w:rPr>
                <w:rFonts w:cs="Times New Roman"/>
                <w:lang w:val="lv-LV"/>
              </w:rPr>
            </w:pPr>
            <w:r w:rsidRPr="0019406C">
              <w:rPr>
                <w:rFonts w:cs="Times New Roman"/>
                <w:lang w:val="lv-LV"/>
              </w:rPr>
              <w:t xml:space="preserve">2. sniedz ziņas par teritorijas izmantošanas un apbūves nosacījumiem, kā arī teritorijā esošajiem </w:t>
            </w:r>
            <w:r w:rsidRPr="0019406C">
              <w:rPr>
                <w:rFonts w:cs="Times New Roman"/>
                <w:lang w:val="lv-LV"/>
              </w:rPr>
              <w:lastRenderedPageBreak/>
              <w:t>inženiertīkliem;</w:t>
            </w:r>
          </w:p>
          <w:p w:rsidR="003E76FE" w:rsidRPr="0019406C" w:rsidRDefault="003E76FE" w:rsidP="00EB67E5">
            <w:pPr>
              <w:pStyle w:val="BodyText"/>
              <w:spacing w:after="0" w:line="276" w:lineRule="auto"/>
              <w:ind w:left="426"/>
              <w:jc w:val="both"/>
              <w:rPr>
                <w:rFonts w:cs="Times New Roman"/>
                <w:lang w:val="lv-LV"/>
              </w:rPr>
            </w:pPr>
            <w:r w:rsidRPr="0019406C">
              <w:rPr>
                <w:rFonts w:cs="Times New Roman"/>
                <w:lang w:val="lv-LV"/>
              </w:rPr>
              <w:t>3. informē par notiekošās būvniecības tiesisko pamatojumu un sniedz ziņas par būvi;</w:t>
            </w:r>
          </w:p>
          <w:p w:rsidR="003E76FE" w:rsidRPr="0019406C" w:rsidRDefault="003E76FE" w:rsidP="00EB67E5">
            <w:pPr>
              <w:pStyle w:val="BodyText"/>
              <w:spacing w:after="0" w:line="276" w:lineRule="auto"/>
              <w:ind w:left="426"/>
              <w:jc w:val="both"/>
              <w:rPr>
                <w:rFonts w:cs="Times New Roman"/>
                <w:lang w:val="lv-LV"/>
              </w:rPr>
            </w:pPr>
            <w:r w:rsidRPr="0019406C">
              <w:rPr>
                <w:rFonts w:cs="Times New Roman"/>
                <w:lang w:val="lv-LV"/>
              </w:rPr>
              <w:t>4. izskata iesniegumus un pieņem lēmumus par būvniecības ieceri;</w:t>
            </w:r>
          </w:p>
          <w:p w:rsidR="003E76FE" w:rsidRPr="0019406C" w:rsidRDefault="003E76FE" w:rsidP="00EB67E5">
            <w:pPr>
              <w:pStyle w:val="BodyText"/>
              <w:spacing w:after="0" w:line="276" w:lineRule="auto"/>
              <w:ind w:left="426"/>
              <w:jc w:val="both"/>
              <w:rPr>
                <w:rFonts w:cs="Times New Roman"/>
                <w:lang w:val="lv-LV"/>
              </w:rPr>
            </w:pPr>
            <w:r w:rsidRPr="0019406C">
              <w:rPr>
                <w:rFonts w:cs="Times New Roman"/>
                <w:lang w:val="lv-LV"/>
              </w:rPr>
              <w:t>5. izskata būvuzraudzības plānu;</w:t>
            </w:r>
          </w:p>
          <w:p w:rsidR="003E76FE" w:rsidRPr="0019406C" w:rsidRDefault="003E76FE" w:rsidP="00EB67E5">
            <w:pPr>
              <w:pStyle w:val="BodyText"/>
              <w:spacing w:after="0" w:line="276" w:lineRule="auto"/>
              <w:ind w:left="426"/>
              <w:jc w:val="both"/>
              <w:rPr>
                <w:rFonts w:cs="Times New Roman"/>
                <w:lang w:val="lv-LV"/>
              </w:rPr>
            </w:pPr>
            <w:r w:rsidRPr="0019406C">
              <w:rPr>
                <w:rFonts w:cs="Times New Roman"/>
                <w:lang w:val="lv-LV"/>
              </w:rPr>
              <w:t>6. izskata alternatīvus tehniskos risinājumus vides pieejamības nodrošināšanai, ja nepieciešams, lūdzot attiecīgās jomas nevalstisko organizāciju ekspertu viedokli gadījumos, kad būvprojektā nav iespējams ievērot būvnormatīvu tehniskās prasības;</w:t>
            </w:r>
          </w:p>
          <w:p w:rsidR="003E76FE" w:rsidRPr="0019406C" w:rsidRDefault="003E76FE" w:rsidP="00EB67E5">
            <w:pPr>
              <w:pStyle w:val="BodyText"/>
              <w:spacing w:after="0" w:line="276" w:lineRule="auto"/>
              <w:ind w:left="426"/>
              <w:jc w:val="both"/>
              <w:rPr>
                <w:rFonts w:cs="Times New Roman"/>
                <w:lang w:val="lv-LV"/>
              </w:rPr>
            </w:pPr>
            <w:r w:rsidRPr="0019406C">
              <w:rPr>
                <w:rFonts w:cs="Times New Roman"/>
                <w:lang w:val="lv-LV"/>
              </w:rPr>
              <w:t>7. pieņem būves ekspluatācijā;</w:t>
            </w:r>
          </w:p>
          <w:p w:rsidR="003E76FE" w:rsidRPr="0019406C" w:rsidRDefault="003E76FE" w:rsidP="00EB67E5">
            <w:pPr>
              <w:pStyle w:val="BodyText"/>
              <w:spacing w:after="0" w:line="276" w:lineRule="auto"/>
              <w:ind w:left="426"/>
              <w:jc w:val="both"/>
              <w:rPr>
                <w:rFonts w:cs="Times New Roman"/>
                <w:lang w:val="lv-LV"/>
              </w:rPr>
            </w:pPr>
            <w:r w:rsidRPr="0019406C">
              <w:rPr>
                <w:rFonts w:cs="Times New Roman"/>
                <w:lang w:val="lv-LV"/>
              </w:rPr>
              <w:t>8. izskata iesniegumus un pieņem lēmumus par būves vai tās daļas lietošanas veida maiņu bez pārbūves;</w:t>
            </w:r>
          </w:p>
          <w:p w:rsidR="003E76FE" w:rsidRPr="0019406C" w:rsidRDefault="003E76FE" w:rsidP="00EB67E5">
            <w:pPr>
              <w:pStyle w:val="BodyText"/>
              <w:spacing w:after="0" w:line="276" w:lineRule="auto"/>
              <w:ind w:left="426"/>
              <w:jc w:val="both"/>
              <w:rPr>
                <w:rFonts w:cs="Times New Roman"/>
                <w:lang w:val="lv-LV"/>
              </w:rPr>
            </w:pPr>
            <w:r w:rsidRPr="0019406C">
              <w:rPr>
                <w:rFonts w:cs="Times New Roman"/>
                <w:lang w:val="lv-LV"/>
              </w:rPr>
              <w:t>9. sniedz konsultācijas par būvniecības procesa kārtību;</w:t>
            </w:r>
          </w:p>
          <w:p w:rsidR="003E76FE" w:rsidRPr="0019406C" w:rsidRDefault="003E76FE" w:rsidP="00EB67E5">
            <w:pPr>
              <w:pStyle w:val="BodyText"/>
              <w:spacing w:after="0" w:line="276" w:lineRule="auto"/>
              <w:ind w:left="426"/>
              <w:jc w:val="both"/>
              <w:rPr>
                <w:rFonts w:cs="Times New Roman"/>
                <w:lang w:val="lv-LV"/>
              </w:rPr>
            </w:pPr>
            <w:r w:rsidRPr="0019406C">
              <w:rPr>
                <w:rFonts w:cs="Times New Roman"/>
                <w:lang w:val="lv-LV"/>
              </w:rPr>
              <w:t>10. veic citas ar būvniecības procesu un tā atbilstību normatīvo aktu prasībām saistītas darbības;</w:t>
            </w:r>
          </w:p>
          <w:p w:rsidR="003E76FE" w:rsidRPr="0019406C" w:rsidRDefault="003E76FE" w:rsidP="00EB67E5">
            <w:pPr>
              <w:pStyle w:val="BodyText"/>
              <w:spacing w:after="0" w:line="276" w:lineRule="auto"/>
              <w:ind w:left="426"/>
              <w:jc w:val="both"/>
              <w:rPr>
                <w:rFonts w:cs="Times New Roman"/>
                <w:lang w:val="lv-LV"/>
              </w:rPr>
            </w:pPr>
            <w:r w:rsidRPr="0019406C">
              <w:rPr>
                <w:rFonts w:cs="Times New Roman"/>
                <w:lang w:val="lv-LV"/>
              </w:rPr>
              <w:t>11. reģistrē citu institūciju izdotās būvatļaujas;</w:t>
            </w:r>
          </w:p>
          <w:p w:rsidR="003E76FE" w:rsidRPr="0019406C" w:rsidRDefault="003E76FE" w:rsidP="00EB67E5">
            <w:pPr>
              <w:pStyle w:val="BodyText"/>
              <w:spacing w:after="0" w:line="276" w:lineRule="auto"/>
              <w:ind w:left="426"/>
              <w:jc w:val="both"/>
              <w:rPr>
                <w:rFonts w:cs="Times New Roman"/>
                <w:lang w:val="lv-LV"/>
              </w:rPr>
            </w:pPr>
            <w:r w:rsidRPr="0019406C">
              <w:rPr>
                <w:rFonts w:cs="Times New Roman"/>
                <w:lang w:val="lv-LV"/>
              </w:rPr>
              <w:t>12. sniedz konsultācijas par būvniecības iespējām attiecīgajā teritorijā.</w:t>
            </w:r>
          </w:p>
          <w:p w:rsidR="003E76FE" w:rsidRPr="0019406C" w:rsidRDefault="003E76FE" w:rsidP="003E76FE">
            <w:pPr>
              <w:pStyle w:val="BodyText"/>
              <w:spacing w:before="240" w:line="276" w:lineRule="auto"/>
              <w:jc w:val="both"/>
              <w:rPr>
                <w:rFonts w:cs="Times New Roman"/>
                <w:lang w:val="lv-LV"/>
              </w:rPr>
            </w:pPr>
            <w:r w:rsidRPr="0019406C">
              <w:rPr>
                <w:rFonts w:cs="Times New Roman"/>
                <w:lang w:val="lv-LV"/>
              </w:rPr>
              <w:t>Lai gan, valdoties pēc ekspertu diskusijā iegūtās informācijas, jaunajos būvnoteikumos būvvaldes atbildība ir iezīmēta skaidrāk (tas ir, no likuma stāšanās spēkā 2014. gada 1. oktobrī uz būvvaldi attieksies ar sabiedrību saistīti gadījumi), būtu jāizvērtē iespēja būvnoteikumos skaidri noteikt, kāda ir būvvaldes loma pārbaudēs un saskaņošanā, piemēram, pārliecinoties reģistrā par to, vai personai ir spēkā esošs sertifikāts vai arī Zemesgrāmatā ir veiktas kādas izmaiņas.</w:t>
            </w:r>
          </w:p>
          <w:p w:rsidR="005F1DBA" w:rsidRPr="0019406C" w:rsidRDefault="005F1DBA" w:rsidP="003E76FE">
            <w:pPr>
              <w:pStyle w:val="BodyText"/>
              <w:spacing w:before="240" w:line="276" w:lineRule="auto"/>
              <w:jc w:val="both"/>
              <w:rPr>
                <w:rFonts w:cs="Times New Roman"/>
                <w:lang w:val="lv-LV"/>
              </w:rPr>
            </w:pPr>
          </w:p>
        </w:tc>
        <w:tc>
          <w:tcPr>
            <w:tcW w:w="1701" w:type="dxa"/>
            <w:shd w:val="clear" w:color="auto" w:fill="auto"/>
          </w:tcPr>
          <w:p w:rsidR="003E76FE" w:rsidRPr="0019406C" w:rsidRDefault="003E76FE" w:rsidP="003E76FE">
            <w:pPr>
              <w:pStyle w:val="CommentText"/>
              <w:spacing w:before="120" w:after="0" w:line="276" w:lineRule="auto"/>
              <w:jc w:val="both"/>
              <w:rPr>
                <w:rFonts w:asciiTheme="majorHAnsi" w:eastAsia="Calibri" w:hAnsiTheme="majorHAnsi" w:cs="Times New Roman"/>
                <w:color w:val="000000"/>
                <w:lang w:val="lv-LV"/>
              </w:rPr>
            </w:pPr>
            <w:r w:rsidRPr="0019406C">
              <w:rPr>
                <w:rFonts w:asciiTheme="majorHAnsi" w:eastAsia="Calibri" w:hAnsiTheme="majorHAnsi" w:cs="Times New Roman"/>
                <w:color w:val="000000"/>
                <w:lang w:val="lv-LV"/>
              </w:rPr>
              <w:lastRenderedPageBreak/>
              <w:t>31.12.2014</w:t>
            </w:r>
          </w:p>
        </w:tc>
        <w:tc>
          <w:tcPr>
            <w:tcW w:w="1559" w:type="dxa"/>
            <w:shd w:val="clear" w:color="auto" w:fill="auto"/>
          </w:tcPr>
          <w:p w:rsidR="003E76FE" w:rsidRPr="0019406C" w:rsidRDefault="003E76FE" w:rsidP="003E76FE">
            <w:pPr>
              <w:pStyle w:val="CommentText"/>
              <w:spacing w:before="120" w:after="0" w:line="276" w:lineRule="auto"/>
              <w:jc w:val="both"/>
              <w:rPr>
                <w:rFonts w:asciiTheme="majorHAnsi" w:eastAsia="Calibri" w:hAnsiTheme="majorHAnsi" w:cs="Times New Roman"/>
                <w:color w:val="000000"/>
                <w:lang w:val="lv-LV"/>
              </w:rPr>
            </w:pPr>
            <w:r w:rsidRPr="0019406C">
              <w:rPr>
                <w:rFonts w:asciiTheme="majorHAnsi" w:eastAsia="Calibri" w:hAnsiTheme="majorHAnsi" w:cs="Times New Roman"/>
                <w:color w:val="000000"/>
                <w:lang w:val="lv-LV"/>
              </w:rPr>
              <w:t>EM</w:t>
            </w:r>
          </w:p>
        </w:tc>
        <w:tc>
          <w:tcPr>
            <w:tcW w:w="4253" w:type="dxa"/>
            <w:shd w:val="clear" w:color="auto" w:fill="auto"/>
          </w:tcPr>
          <w:p w:rsidR="003E76FE" w:rsidRPr="0019406C" w:rsidRDefault="003E76FE" w:rsidP="00E521EE">
            <w:pPr>
              <w:pStyle w:val="BodyText"/>
              <w:numPr>
                <w:ilvl w:val="0"/>
                <w:numId w:val="44"/>
              </w:numPr>
              <w:spacing w:line="276" w:lineRule="auto"/>
              <w:ind w:left="459" w:hanging="283"/>
              <w:jc w:val="both"/>
              <w:rPr>
                <w:rFonts w:asciiTheme="majorHAnsi" w:eastAsia="Times New Roman" w:hAnsiTheme="majorHAnsi" w:cs="Times New Roman"/>
                <w:bCs/>
                <w:color w:val="000000"/>
                <w:lang w:val="lv-LV" w:eastAsia="lv-LV"/>
              </w:rPr>
            </w:pPr>
            <w:r w:rsidRPr="0019406C">
              <w:rPr>
                <w:rFonts w:asciiTheme="majorHAnsi" w:hAnsiTheme="majorHAnsi" w:cs="Times New Roman"/>
                <w:lang w:val="lv-LV"/>
              </w:rPr>
              <w:t>Skaidri un precīzi definēt ko, kad un kā pārbauda un saskaņo būvvalde, tādējādi nodrošinot, ka dokumentu iesniedzēji pilnvērtīgi saprot, kāpēc tiek iesniegti konkrēti dokumenti, kā tie tiek pārbaudīti un par ko būvvalde atbild. Precīzs pārbaudes apjoms un procedūra būtu jānosaka par visiem dokumentiem, kurus uzņēmējs iesniedz būvvaldē.</w:t>
            </w:r>
          </w:p>
        </w:tc>
        <w:tc>
          <w:tcPr>
            <w:tcW w:w="2126" w:type="dxa"/>
          </w:tcPr>
          <w:p w:rsidR="003E76FE" w:rsidRPr="0019406C" w:rsidRDefault="003E76FE" w:rsidP="003E76FE">
            <w:pPr>
              <w:pStyle w:val="CommentText"/>
              <w:spacing w:before="120" w:after="0" w:line="276" w:lineRule="auto"/>
              <w:jc w:val="both"/>
              <w:rPr>
                <w:rFonts w:asciiTheme="majorHAnsi" w:eastAsia="Times New Roman" w:hAnsiTheme="majorHAnsi" w:cs="Times New Roman"/>
                <w:bCs/>
                <w:color w:val="000000"/>
                <w:lang w:val="lv-LV" w:eastAsia="lv-LV"/>
              </w:rPr>
            </w:pPr>
          </w:p>
        </w:tc>
      </w:tr>
      <w:tr w:rsidR="003E76FE" w:rsidRPr="00BB0049" w:rsidTr="004C671C">
        <w:tc>
          <w:tcPr>
            <w:tcW w:w="5495" w:type="dxa"/>
            <w:shd w:val="clear" w:color="auto" w:fill="auto"/>
          </w:tcPr>
          <w:p w:rsidR="003E76FE" w:rsidRPr="0019406C" w:rsidRDefault="003E76FE" w:rsidP="00E521EE">
            <w:pPr>
              <w:pStyle w:val="BodyText"/>
              <w:numPr>
                <w:ilvl w:val="1"/>
                <w:numId w:val="51"/>
              </w:numPr>
              <w:spacing w:before="240" w:line="276" w:lineRule="auto"/>
              <w:jc w:val="both"/>
              <w:rPr>
                <w:rFonts w:asciiTheme="majorHAnsi" w:hAnsiTheme="majorHAnsi" w:cs="Times New Roman"/>
                <w:lang w:val="lv-LV"/>
              </w:rPr>
            </w:pPr>
            <w:proofErr w:type="spellStart"/>
            <w:r w:rsidRPr="0019406C">
              <w:rPr>
                <w:rFonts w:asciiTheme="majorHAnsi" w:hAnsiTheme="majorHAnsi" w:cs="Times New Roman"/>
                <w:b/>
                <w:lang w:val="lv-LV"/>
              </w:rPr>
              <w:lastRenderedPageBreak/>
              <w:t>Būvkomersantu</w:t>
            </w:r>
            <w:proofErr w:type="spellEnd"/>
            <w:r w:rsidRPr="0019406C">
              <w:rPr>
                <w:rFonts w:asciiTheme="majorHAnsi" w:hAnsiTheme="majorHAnsi" w:cs="Times New Roman"/>
                <w:b/>
                <w:lang w:val="lv-LV"/>
              </w:rPr>
              <w:t xml:space="preserve"> </w:t>
            </w:r>
            <w:r w:rsidR="0072729F" w:rsidRPr="0019406C">
              <w:rPr>
                <w:rFonts w:asciiTheme="majorHAnsi" w:hAnsiTheme="majorHAnsi" w:cs="Times New Roman"/>
                <w:b/>
                <w:lang w:val="lv-LV"/>
              </w:rPr>
              <w:t>reģistra</w:t>
            </w:r>
            <w:r w:rsidRPr="0019406C">
              <w:rPr>
                <w:rFonts w:asciiTheme="majorHAnsi" w:hAnsiTheme="majorHAnsi" w:cs="Times New Roman"/>
                <w:b/>
                <w:lang w:val="lv-LV"/>
              </w:rPr>
              <w:t xml:space="preserve"> pilnveidošana un reģistrēšanas procedūras pārskatīšana</w:t>
            </w:r>
            <w:r w:rsidRPr="0019406C">
              <w:rPr>
                <w:rFonts w:asciiTheme="majorHAnsi" w:hAnsiTheme="majorHAnsi" w:cs="Times New Roman"/>
                <w:lang w:val="lv-LV"/>
              </w:rPr>
              <w:t>.</w:t>
            </w:r>
          </w:p>
          <w:p w:rsidR="003E76FE" w:rsidRPr="0019406C" w:rsidRDefault="003E76FE" w:rsidP="003E76FE">
            <w:pPr>
              <w:pStyle w:val="BodyText"/>
              <w:spacing w:line="276" w:lineRule="auto"/>
              <w:jc w:val="both"/>
              <w:rPr>
                <w:rFonts w:asciiTheme="majorHAnsi" w:hAnsiTheme="majorHAnsi" w:cs="Times New Roman"/>
                <w:lang w:val="lv-LV"/>
              </w:rPr>
            </w:pPr>
            <w:r w:rsidRPr="0019406C">
              <w:rPr>
                <w:rFonts w:asciiTheme="majorHAnsi" w:hAnsiTheme="majorHAnsi" w:cs="Times New Roman"/>
                <w:lang w:val="lv-LV"/>
              </w:rPr>
              <w:t xml:space="preserve">MK noteikumos </w:t>
            </w:r>
            <w:proofErr w:type="spellStart"/>
            <w:r w:rsidRPr="0019406C">
              <w:rPr>
                <w:rFonts w:asciiTheme="majorHAnsi" w:hAnsiTheme="majorHAnsi" w:cs="Times New Roman"/>
                <w:lang w:val="lv-LV"/>
              </w:rPr>
              <w:t>Nr</w:t>
            </w:r>
            <w:proofErr w:type="spellEnd"/>
            <w:r w:rsidRPr="0019406C">
              <w:rPr>
                <w:rFonts w:asciiTheme="majorHAnsi" w:hAnsiTheme="majorHAnsi" w:cs="Times New Roman"/>
                <w:lang w:val="lv-LV"/>
              </w:rPr>
              <w:t>.</w:t>
            </w:r>
            <w:r w:rsidR="00EB67E5">
              <w:rPr>
                <w:rFonts w:asciiTheme="majorHAnsi" w:hAnsiTheme="majorHAnsi" w:cs="Times New Roman"/>
                <w:lang w:val="lv-LV"/>
              </w:rPr>
              <w:t xml:space="preserve"> </w:t>
            </w:r>
            <w:r w:rsidRPr="0019406C">
              <w:rPr>
                <w:rFonts w:asciiTheme="majorHAnsi" w:hAnsiTheme="majorHAnsi" w:cs="Times New Roman"/>
                <w:lang w:val="lv-LV"/>
              </w:rPr>
              <w:t>799 „Būvkomersantu reģistrācijas noteikumi” pašlaik ir noteikti tikai divi kritēriji, kas ir jāizpilda, lai tiktu reģistrēts būvkomersantu reģistrā:</w:t>
            </w:r>
          </w:p>
          <w:p w:rsidR="003E76FE" w:rsidRPr="0019406C" w:rsidRDefault="003E76FE" w:rsidP="00E521EE">
            <w:pPr>
              <w:pStyle w:val="BodyText"/>
              <w:numPr>
                <w:ilvl w:val="0"/>
                <w:numId w:val="59"/>
              </w:numPr>
              <w:spacing w:line="276" w:lineRule="auto"/>
              <w:jc w:val="both"/>
              <w:rPr>
                <w:rFonts w:asciiTheme="majorHAnsi" w:hAnsiTheme="majorHAnsi" w:cs="Times New Roman"/>
                <w:lang w:val="lv-LV"/>
              </w:rPr>
            </w:pPr>
            <w:r w:rsidRPr="0019406C">
              <w:rPr>
                <w:rFonts w:asciiTheme="majorHAnsi" w:hAnsiTheme="majorHAnsi" w:cs="Times New Roman"/>
                <w:lang w:val="lv-LV"/>
              </w:rPr>
              <w:t xml:space="preserve">komersants uz darba līguma pamata nodarbina vismaz vienu arhitektu, inženierizpētes veicēju, projektētāju, </w:t>
            </w:r>
            <w:proofErr w:type="spellStart"/>
            <w:r w:rsidRPr="0019406C">
              <w:rPr>
                <w:rFonts w:asciiTheme="majorHAnsi" w:hAnsiTheme="majorHAnsi" w:cs="Times New Roman"/>
                <w:lang w:val="lv-LV"/>
              </w:rPr>
              <w:t>būvekspertu</w:t>
            </w:r>
            <w:proofErr w:type="spellEnd"/>
            <w:r w:rsidRPr="0019406C">
              <w:rPr>
                <w:rFonts w:asciiTheme="majorHAnsi" w:hAnsiTheme="majorHAnsi" w:cs="Times New Roman"/>
                <w:lang w:val="lv-LV"/>
              </w:rPr>
              <w:t>, būvdarbu vadītāju vai būvuzraugu un attiecīgajai personai ir patstāvīgas prakses tiesības saskaņā ar Būvniecības likuma 8.pantu (turpmāk – speciālists) vai komersanta valdes loceklis ir speciālists;</w:t>
            </w:r>
          </w:p>
          <w:p w:rsidR="003E76FE" w:rsidRPr="0019406C" w:rsidRDefault="003E76FE" w:rsidP="00E521EE">
            <w:pPr>
              <w:pStyle w:val="BodyText"/>
              <w:numPr>
                <w:ilvl w:val="0"/>
                <w:numId w:val="59"/>
              </w:numPr>
              <w:spacing w:line="276" w:lineRule="auto"/>
              <w:jc w:val="both"/>
              <w:rPr>
                <w:rFonts w:asciiTheme="majorHAnsi" w:hAnsiTheme="majorHAnsi" w:cs="Times New Roman"/>
                <w:lang w:val="lv-LV"/>
              </w:rPr>
            </w:pPr>
            <w:r w:rsidRPr="0019406C">
              <w:rPr>
                <w:rFonts w:asciiTheme="majorHAnsi" w:hAnsiTheme="majorHAnsi" w:cs="Times New Roman"/>
                <w:lang w:val="lv-LV"/>
              </w:rPr>
              <w:t xml:space="preserve">komersanta nodarbinātais speciālists vienlaikus kā speciālists nav darba tiesiskajās attiecībās ar vairāk nekā diviem citiem komersantiem, kas reģistrēti reģistrā (turpmāk − </w:t>
            </w:r>
            <w:proofErr w:type="spellStart"/>
            <w:r w:rsidRPr="0019406C">
              <w:rPr>
                <w:rFonts w:asciiTheme="majorHAnsi" w:hAnsiTheme="majorHAnsi" w:cs="Times New Roman"/>
                <w:lang w:val="lv-LV"/>
              </w:rPr>
              <w:t>būvkomersants</w:t>
            </w:r>
            <w:proofErr w:type="spellEnd"/>
            <w:r w:rsidRPr="0019406C">
              <w:rPr>
                <w:rFonts w:asciiTheme="majorHAnsi" w:hAnsiTheme="majorHAnsi" w:cs="Times New Roman"/>
                <w:lang w:val="lv-LV"/>
              </w:rPr>
              <w:t xml:space="preserve">). </w:t>
            </w:r>
          </w:p>
          <w:p w:rsidR="003E76FE" w:rsidRPr="0019406C" w:rsidRDefault="003E76FE" w:rsidP="003E76FE">
            <w:pPr>
              <w:pStyle w:val="BodyText"/>
              <w:spacing w:before="240" w:line="276" w:lineRule="auto"/>
              <w:jc w:val="both"/>
              <w:rPr>
                <w:rFonts w:asciiTheme="majorHAnsi" w:hAnsiTheme="majorHAnsi" w:cs="Times New Roman"/>
                <w:lang w:val="lv-LV"/>
              </w:rPr>
            </w:pPr>
            <w:r w:rsidRPr="0019406C">
              <w:rPr>
                <w:rFonts w:asciiTheme="majorHAnsi" w:hAnsiTheme="majorHAnsi" w:cs="Times New Roman"/>
                <w:lang w:val="lv-LV"/>
              </w:rPr>
              <w:t xml:space="preserve">Rezultātā būvkomersantu reģistrs kā informācijas avots par to, kuri no komersantiem ir uzskatāmi kā profesionāļi, ir nepietiekams. Būtiski šo </w:t>
            </w:r>
            <w:proofErr w:type="spellStart"/>
            <w:r w:rsidRPr="0019406C">
              <w:rPr>
                <w:rFonts w:asciiTheme="majorHAnsi" w:hAnsiTheme="majorHAnsi" w:cs="Times New Roman"/>
                <w:lang w:val="lv-LV"/>
              </w:rPr>
              <w:t>problēmjautājumu</w:t>
            </w:r>
            <w:proofErr w:type="spellEnd"/>
            <w:r w:rsidRPr="0019406C">
              <w:rPr>
                <w:rFonts w:asciiTheme="majorHAnsi" w:hAnsiTheme="majorHAnsi" w:cs="Times New Roman"/>
                <w:lang w:val="lv-LV"/>
              </w:rPr>
              <w:t xml:space="preserve"> risināt, jo </w:t>
            </w:r>
            <w:proofErr w:type="spellStart"/>
            <w:r w:rsidRPr="0019406C">
              <w:rPr>
                <w:rFonts w:asciiTheme="majorHAnsi" w:hAnsiTheme="majorHAnsi" w:cs="Times New Roman"/>
                <w:lang w:val="lv-LV"/>
              </w:rPr>
              <w:t>būvkomersantu</w:t>
            </w:r>
            <w:proofErr w:type="spellEnd"/>
            <w:r w:rsidRPr="0019406C">
              <w:rPr>
                <w:rFonts w:asciiTheme="majorHAnsi" w:hAnsiTheme="majorHAnsi" w:cs="Times New Roman"/>
                <w:lang w:val="lv-LV"/>
              </w:rPr>
              <w:t xml:space="preserve"> reģistrs ir kā vienas pieturas aģentūras viens no posmie</w:t>
            </w:r>
            <w:r w:rsidR="00EB67E5">
              <w:rPr>
                <w:rFonts w:asciiTheme="majorHAnsi" w:hAnsiTheme="majorHAnsi" w:cs="Times New Roman"/>
                <w:lang w:val="lv-LV"/>
              </w:rPr>
              <w:t>m un būtiska BIS sastāvdaļa. P</w:t>
            </w:r>
            <w:r w:rsidRPr="0019406C">
              <w:rPr>
                <w:rFonts w:asciiTheme="majorHAnsi" w:hAnsiTheme="majorHAnsi" w:cs="Times New Roman"/>
                <w:lang w:val="lv-LV"/>
              </w:rPr>
              <w:t>amatojoties uz mūsu veikto izpēti, pilnvērtīga vienas pieturas aģentūras principa esamība valstī, tiek vērtēta arī Doing Business ietvaros. Mūsu ieteikums ir veidot dažādus kritērijus, lai diferencētu komersantus pēc profesionalitātes līmeņa.</w:t>
            </w:r>
          </w:p>
          <w:p w:rsidR="005F1DBA" w:rsidRDefault="005F1DBA" w:rsidP="003E76FE">
            <w:pPr>
              <w:pStyle w:val="BodyText"/>
              <w:spacing w:before="240" w:line="276" w:lineRule="auto"/>
              <w:jc w:val="both"/>
              <w:rPr>
                <w:rFonts w:asciiTheme="majorHAnsi" w:hAnsiTheme="majorHAnsi" w:cs="Times New Roman"/>
                <w:lang w:val="lv-LV"/>
              </w:rPr>
            </w:pPr>
          </w:p>
          <w:p w:rsidR="00EB67E5" w:rsidRPr="0019406C" w:rsidRDefault="00EB67E5" w:rsidP="003E76FE">
            <w:pPr>
              <w:pStyle w:val="BodyText"/>
              <w:spacing w:before="240" w:line="276" w:lineRule="auto"/>
              <w:jc w:val="both"/>
              <w:rPr>
                <w:rFonts w:asciiTheme="majorHAnsi" w:hAnsiTheme="majorHAnsi" w:cs="Times New Roman"/>
                <w:lang w:val="lv-LV"/>
              </w:rPr>
            </w:pPr>
          </w:p>
        </w:tc>
        <w:tc>
          <w:tcPr>
            <w:tcW w:w="1701" w:type="dxa"/>
            <w:shd w:val="clear" w:color="auto" w:fill="auto"/>
          </w:tcPr>
          <w:p w:rsidR="003E76FE" w:rsidRPr="0019406C" w:rsidRDefault="003E76FE" w:rsidP="003E76FE">
            <w:pPr>
              <w:pStyle w:val="CommentText"/>
              <w:spacing w:before="120" w:after="0" w:line="276" w:lineRule="auto"/>
              <w:jc w:val="both"/>
              <w:rPr>
                <w:rFonts w:asciiTheme="majorHAnsi" w:eastAsia="Calibri" w:hAnsiTheme="majorHAnsi" w:cs="Times New Roman"/>
                <w:color w:val="000000"/>
                <w:lang w:val="lv-LV"/>
              </w:rPr>
            </w:pPr>
            <w:r w:rsidRPr="0019406C">
              <w:rPr>
                <w:rFonts w:asciiTheme="majorHAnsi" w:eastAsia="Calibri" w:hAnsiTheme="majorHAnsi" w:cs="Times New Roman"/>
                <w:color w:val="000000"/>
                <w:lang w:val="lv-LV"/>
              </w:rPr>
              <w:t>31.12.2015</w:t>
            </w:r>
          </w:p>
        </w:tc>
        <w:tc>
          <w:tcPr>
            <w:tcW w:w="1559" w:type="dxa"/>
            <w:shd w:val="clear" w:color="auto" w:fill="auto"/>
          </w:tcPr>
          <w:p w:rsidR="003E76FE" w:rsidRPr="0019406C" w:rsidRDefault="003E76FE" w:rsidP="003E76FE">
            <w:pPr>
              <w:pStyle w:val="CommentText"/>
              <w:spacing w:before="120" w:after="0" w:line="276" w:lineRule="auto"/>
              <w:jc w:val="both"/>
              <w:rPr>
                <w:rFonts w:asciiTheme="majorHAnsi" w:eastAsia="Calibri" w:hAnsiTheme="majorHAnsi" w:cs="Times New Roman"/>
                <w:color w:val="000000"/>
                <w:lang w:val="lv-LV"/>
              </w:rPr>
            </w:pPr>
            <w:r w:rsidRPr="0019406C">
              <w:rPr>
                <w:rFonts w:asciiTheme="majorHAnsi" w:eastAsia="Calibri" w:hAnsiTheme="majorHAnsi" w:cs="Times New Roman"/>
                <w:color w:val="000000"/>
                <w:lang w:val="lv-LV"/>
              </w:rPr>
              <w:t>EM</w:t>
            </w:r>
          </w:p>
        </w:tc>
        <w:tc>
          <w:tcPr>
            <w:tcW w:w="4253" w:type="dxa"/>
            <w:shd w:val="clear" w:color="auto" w:fill="auto"/>
          </w:tcPr>
          <w:p w:rsidR="003E76FE" w:rsidRPr="0019406C" w:rsidRDefault="003E76FE" w:rsidP="0019406C">
            <w:pPr>
              <w:pStyle w:val="CommentText"/>
              <w:numPr>
                <w:ilvl w:val="0"/>
                <w:numId w:val="45"/>
              </w:numPr>
              <w:spacing w:before="120" w:after="0" w:line="276" w:lineRule="auto"/>
              <w:ind w:left="459" w:hanging="283"/>
              <w:jc w:val="both"/>
              <w:rPr>
                <w:rFonts w:asciiTheme="majorHAnsi" w:eastAsia="Times New Roman" w:hAnsiTheme="majorHAnsi" w:cs="Times New Roman"/>
                <w:bCs/>
                <w:color w:val="000000"/>
                <w:lang w:val="lv-LV" w:eastAsia="lv-LV"/>
              </w:rPr>
            </w:pPr>
            <w:r w:rsidRPr="0019406C">
              <w:rPr>
                <w:rFonts w:asciiTheme="majorHAnsi" w:hAnsiTheme="majorHAnsi" w:cs="Times New Roman"/>
                <w:lang w:val="lv-LV"/>
              </w:rPr>
              <w:t>Pilnveidot būvkomersantu reģistru, paredzot BIS iespēju pārliecināties par būvkomersantu profesionalitāti, izdalot komersantus, kas sniedz profesionālos pakalpojumus, no tiem, kas ir pārējo pakalpojumu sniedzēji</w:t>
            </w:r>
            <w:r w:rsidR="0019406C" w:rsidRPr="0019406C">
              <w:rPr>
                <w:rFonts w:asciiTheme="majorHAnsi" w:hAnsiTheme="majorHAnsi" w:cs="Times New Roman"/>
                <w:lang w:val="lv-LV"/>
              </w:rPr>
              <w:t>.</w:t>
            </w:r>
          </w:p>
        </w:tc>
        <w:tc>
          <w:tcPr>
            <w:tcW w:w="2126" w:type="dxa"/>
          </w:tcPr>
          <w:p w:rsidR="003E76FE" w:rsidRPr="0019406C" w:rsidRDefault="003E76FE" w:rsidP="003E76FE">
            <w:pPr>
              <w:pStyle w:val="CommentText"/>
              <w:spacing w:before="120" w:after="0" w:line="276" w:lineRule="auto"/>
              <w:jc w:val="both"/>
              <w:rPr>
                <w:rFonts w:asciiTheme="majorHAnsi" w:eastAsia="Times New Roman" w:hAnsiTheme="majorHAnsi" w:cs="Times New Roman"/>
                <w:bCs/>
                <w:color w:val="000000"/>
                <w:lang w:val="lv-LV" w:eastAsia="lv-LV"/>
              </w:rPr>
            </w:pPr>
          </w:p>
        </w:tc>
      </w:tr>
      <w:tr w:rsidR="003E76FE" w:rsidRPr="00BB0049" w:rsidTr="004C671C">
        <w:tc>
          <w:tcPr>
            <w:tcW w:w="5495" w:type="dxa"/>
            <w:shd w:val="clear" w:color="auto" w:fill="auto"/>
          </w:tcPr>
          <w:p w:rsidR="003E76FE" w:rsidRPr="0019406C" w:rsidRDefault="003E76FE" w:rsidP="00E521EE">
            <w:pPr>
              <w:pStyle w:val="BodyText"/>
              <w:numPr>
                <w:ilvl w:val="1"/>
                <w:numId w:val="51"/>
              </w:numPr>
              <w:spacing w:before="240" w:line="276" w:lineRule="auto"/>
              <w:ind w:left="357" w:hanging="357"/>
              <w:jc w:val="both"/>
              <w:rPr>
                <w:rFonts w:asciiTheme="majorHAnsi" w:hAnsiTheme="majorHAnsi" w:cs="Times New Roman"/>
                <w:lang w:val="lv-LV"/>
              </w:rPr>
            </w:pPr>
            <w:r w:rsidRPr="0019406C">
              <w:rPr>
                <w:rFonts w:asciiTheme="majorHAnsi" w:hAnsiTheme="majorHAnsi" w:cs="Times New Roman"/>
                <w:b/>
                <w:lang w:val="lv-LV"/>
              </w:rPr>
              <w:lastRenderedPageBreak/>
              <w:t>Būvatļaujas un atkārtotas būvatļaujas saņemšanas kārtības precizēšana Būvniecības likumā un saistošajos noteikumos.</w:t>
            </w:r>
          </w:p>
          <w:p w:rsidR="003E76FE" w:rsidRPr="0019406C" w:rsidRDefault="003E76FE" w:rsidP="003E76FE">
            <w:pPr>
              <w:pStyle w:val="BodyText"/>
              <w:spacing w:before="240" w:line="276" w:lineRule="auto"/>
              <w:jc w:val="both"/>
              <w:rPr>
                <w:rFonts w:asciiTheme="majorHAnsi" w:hAnsiTheme="majorHAnsi" w:cs="Times New Roman"/>
                <w:lang w:val="lv-LV"/>
              </w:rPr>
            </w:pPr>
            <w:r w:rsidRPr="0019406C">
              <w:rPr>
                <w:rFonts w:asciiTheme="majorHAnsi" w:hAnsiTheme="majorHAnsi" w:cs="Times New Roman"/>
                <w:lang w:val="lv-LV"/>
              </w:rPr>
              <w:t xml:space="preserve">Ar jauno Būvniecības likuma stāšanos spēkā </w:t>
            </w:r>
            <w:proofErr w:type="spellStart"/>
            <w:r w:rsidRPr="0019406C">
              <w:rPr>
                <w:rFonts w:asciiTheme="majorHAnsi" w:hAnsiTheme="majorHAnsi" w:cs="Times New Roman"/>
                <w:lang w:val="lv-LV"/>
              </w:rPr>
              <w:t>š.g</w:t>
            </w:r>
            <w:proofErr w:type="spellEnd"/>
            <w:r w:rsidRPr="0019406C">
              <w:rPr>
                <w:rFonts w:asciiTheme="majorHAnsi" w:hAnsiTheme="majorHAnsi" w:cs="Times New Roman"/>
                <w:lang w:val="lv-LV"/>
              </w:rPr>
              <w:t>. 1. oktobrī būvatļaujas piešķiršana atradīsies procesa sākumā, nevis beigās, turklāt būvvaldei nebūs jāizdod plānošanas arhitektūras uzdevums. Tā kā bez pilnībā izstrādātiem tehniskajiem noteikumiem ēkas apjoms vai novietojums var mainīties, būtu jāizvērtē iespēja skaidrāk definēt Būvniecības likumā un tā saistošajos noteikumos gadījumus par (atkārtotas) būvatļaujas saņemšanas kārtību, mazinot atkārtotas būvatļaujas saņemšanas nepieciešamību.</w:t>
            </w:r>
          </w:p>
        </w:tc>
        <w:tc>
          <w:tcPr>
            <w:tcW w:w="1701" w:type="dxa"/>
            <w:shd w:val="clear" w:color="auto" w:fill="auto"/>
          </w:tcPr>
          <w:p w:rsidR="003E76FE" w:rsidRPr="0019406C" w:rsidRDefault="003E76FE" w:rsidP="003E76FE">
            <w:pPr>
              <w:pStyle w:val="CommentText"/>
              <w:spacing w:before="120" w:after="0" w:line="276" w:lineRule="auto"/>
              <w:jc w:val="both"/>
              <w:rPr>
                <w:rFonts w:asciiTheme="majorHAnsi" w:eastAsia="Calibri" w:hAnsiTheme="majorHAnsi" w:cs="Times New Roman"/>
                <w:color w:val="000000"/>
                <w:lang w:val="lv-LV"/>
              </w:rPr>
            </w:pPr>
            <w:r w:rsidRPr="0019406C">
              <w:rPr>
                <w:rFonts w:asciiTheme="majorHAnsi" w:eastAsia="Calibri" w:hAnsiTheme="majorHAnsi" w:cs="Times New Roman"/>
                <w:color w:val="000000"/>
                <w:lang w:val="lv-LV"/>
              </w:rPr>
              <w:t>31.12.2014</w:t>
            </w:r>
          </w:p>
        </w:tc>
        <w:tc>
          <w:tcPr>
            <w:tcW w:w="1559" w:type="dxa"/>
            <w:shd w:val="clear" w:color="auto" w:fill="auto"/>
          </w:tcPr>
          <w:p w:rsidR="003E76FE" w:rsidRPr="0019406C" w:rsidRDefault="003E76FE" w:rsidP="003E76FE">
            <w:pPr>
              <w:pStyle w:val="CommentText"/>
              <w:spacing w:before="120" w:after="0" w:line="276" w:lineRule="auto"/>
              <w:jc w:val="both"/>
              <w:rPr>
                <w:rFonts w:asciiTheme="majorHAnsi" w:eastAsia="Calibri" w:hAnsiTheme="majorHAnsi" w:cs="Times New Roman"/>
                <w:color w:val="000000"/>
                <w:lang w:val="lv-LV"/>
              </w:rPr>
            </w:pPr>
            <w:r w:rsidRPr="0019406C">
              <w:rPr>
                <w:rFonts w:asciiTheme="majorHAnsi" w:eastAsia="Calibri" w:hAnsiTheme="majorHAnsi" w:cs="Times New Roman"/>
                <w:color w:val="000000"/>
                <w:lang w:val="lv-LV"/>
              </w:rPr>
              <w:t>EM</w:t>
            </w:r>
          </w:p>
        </w:tc>
        <w:tc>
          <w:tcPr>
            <w:tcW w:w="4253" w:type="dxa"/>
            <w:shd w:val="clear" w:color="auto" w:fill="auto"/>
          </w:tcPr>
          <w:p w:rsidR="003E76FE" w:rsidRPr="0019406C" w:rsidRDefault="003E76FE" w:rsidP="00E521EE">
            <w:pPr>
              <w:pStyle w:val="CommentText"/>
              <w:numPr>
                <w:ilvl w:val="0"/>
                <w:numId w:val="46"/>
              </w:numPr>
              <w:spacing w:before="120" w:after="0" w:line="276" w:lineRule="auto"/>
              <w:jc w:val="both"/>
              <w:rPr>
                <w:rFonts w:asciiTheme="majorHAnsi" w:eastAsia="Times New Roman" w:hAnsiTheme="majorHAnsi" w:cs="Times New Roman"/>
                <w:bCs/>
                <w:color w:val="000000"/>
                <w:lang w:val="lv-LV" w:eastAsia="lv-LV"/>
              </w:rPr>
            </w:pPr>
            <w:r w:rsidRPr="0019406C">
              <w:rPr>
                <w:rFonts w:asciiTheme="majorHAnsi" w:hAnsiTheme="majorHAnsi" w:cs="Times New Roman"/>
                <w:lang w:val="lv-LV"/>
              </w:rPr>
              <w:t>Ņemot vērā jaunā Būvniecības likuma redakciju, iesakām skaidrāk definēt Būvniecības likumā un saistošajos normatīvajos aktos būvatļaujas saņemšanas kārtību, lai mazinātu atkārtotas būvatļaujas gadījumus.</w:t>
            </w:r>
          </w:p>
        </w:tc>
        <w:tc>
          <w:tcPr>
            <w:tcW w:w="2126" w:type="dxa"/>
          </w:tcPr>
          <w:p w:rsidR="003E76FE" w:rsidRPr="0019406C" w:rsidRDefault="003E76FE" w:rsidP="003E76FE">
            <w:pPr>
              <w:pStyle w:val="CommentText"/>
              <w:spacing w:before="120" w:after="0" w:line="276" w:lineRule="auto"/>
              <w:jc w:val="both"/>
              <w:rPr>
                <w:rFonts w:asciiTheme="majorHAnsi" w:eastAsia="Times New Roman" w:hAnsiTheme="majorHAnsi" w:cs="Times New Roman"/>
                <w:bCs/>
                <w:color w:val="000000"/>
                <w:lang w:val="lv-LV" w:eastAsia="lv-LV"/>
              </w:rPr>
            </w:pPr>
          </w:p>
        </w:tc>
      </w:tr>
      <w:tr w:rsidR="003E76FE" w:rsidRPr="00BB0049" w:rsidTr="004C671C">
        <w:tc>
          <w:tcPr>
            <w:tcW w:w="5495" w:type="dxa"/>
            <w:shd w:val="clear" w:color="auto" w:fill="auto"/>
          </w:tcPr>
          <w:p w:rsidR="003E76FE" w:rsidRPr="0019406C" w:rsidRDefault="003E76FE" w:rsidP="00E521EE">
            <w:pPr>
              <w:pStyle w:val="BodyText"/>
              <w:numPr>
                <w:ilvl w:val="1"/>
                <w:numId w:val="47"/>
              </w:numPr>
              <w:spacing w:before="240" w:line="276" w:lineRule="auto"/>
              <w:ind w:left="357" w:hanging="357"/>
              <w:jc w:val="both"/>
              <w:rPr>
                <w:rFonts w:asciiTheme="majorHAnsi" w:hAnsiTheme="majorHAnsi" w:cs="Times New Roman"/>
                <w:lang w:val="lv-LV"/>
              </w:rPr>
            </w:pPr>
            <w:r w:rsidRPr="0019406C">
              <w:rPr>
                <w:rFonts w:asciiTheme="majorHAnsi" w:hAnsiTheme="majorHAnsi" w:cs="Times New Roman"/>
                <w:b/>
                <w:lang w:val="lv-LV"/>
              </w:rPr>
              <w:t>Komunikācijas uzlabošana ar nozari par Būvniecības informācijas sistēmas mērķiem, to paredzamo atbalstu nozares darbībā.</w:t>
            </w:r>
          </w:p>
          <w:p w:rsidR="003E76FE" w:rsidRPr="0019406C" w:rsidRDefault="003E76FE" w:rsidP="003E76FE">
            <w:pPr>
              <w:pStyle w:val="BodyText"/>
              <w:spacing w:before="240" w:line="276" w:lineRule="auto"/>
              <w:jc w:val="both"/>
              <w:rPr>
                <w:rFonts w:asciiTheme="majorHAnsi" w:hAnsiTheme="majorHAnsi" w:cs="Times New Roman"/>
                <w:lang w:val="lv-LV"/>
              </w:rPr>
            </w:pPr>
            <w:r w:rsidRPr="0019406C">
              <w:rPr>
                <w:rFonts w:asciiTheme="majorHAnsi" w:hAnsiTheme="majorHAnsi" w:cs="Times New Roman"/>
                <w:lang w:val="lv-LV"/>
              </w:rPr>
              <w:t xml:space="preserve">Ņemot vērā to, ka līdz ar Būvniecības informācijas sistēmas ieviešanu pašvaldībām BIS ir jānodrošina informācijas pieejamība, kā arī informācija par </w:t>
            </w:r>
            <w:proofErr w:type="spellStart"/>
            <w:r w:rsidRPr="0019406C">
              <w:rPr>
                <w:rFonts w:asciiTheme="majorHAnsi" w:hAnsiTheme="majorHAnsi" w:cs="Times New Roman"/>
                <w:lang w:val="lv-LV"/>
              </w:rPr>
              <w:t>būvkomersantiem</w:t>
            </w:r>
            <w:proofErr w:type="spellEnd"/>
            <w:r w:rsidRPr="0019406C">
              <w:rPr>
                <w:rFonts w:asciiTheme="majorHAnsi" w:hAnsiTheme="majorHAnsi" w:cs="Times New Roman"/>
                <w:lang w:val="lv-LV"/>
              </w:rPr>
              <w:t xml:space="preserve"> BIS jābūt publiski pieejamai, ir nepieciešams nodrošināt efektīvu komunikāciju par BIS ieviešanu un tās priekšrocībām. Lai veicinātu vienas pieturas aģentūras principa ieviešanu būvniecības nozarē, nepieciešams arī skaidrot, kā BIS nodrošinās vienas pieturas aģentūras principa ieviešanu. Bez tām </w:t>
            </w:r>
            <w:proofErr w:type="spellStart"/>
            <w:r w:rsidRPr="0019406C">
              <w:rPr>
                <w:rFonts w:asciiTheme="majorHAnsi" w:hAnsiTheme="majorHAnsi" w:cs="Times New Roman"/>
                <w:lang w:val="lv-LV"/>
              </w:rPr>
              <w:t>funkcionalitātēm</w:t>
            </w:r>
            <w:proofErr w:type="spellEnd"/>
            <w:r w:rsidRPr="0019406C">
              <w:rPr>
                <w:rFonts w:asciiTheme="majorHAnsi" w:hAnsiTheme="majorHAnsi" w:cs="Times New Roman"/>
                <w:lang w:val="lv-LV"/>
              </w:rPr>
              <w:t xml:space="preserve">, kuru ieviešana BIS jau ir paredzēta, papildus būtu jāizskata un jākomunicē, kā tiks nodrošināta pārējo ar būvniecības procesu saistīto procedūru sasaiste ar BIS, kā, piemēram, gāzes apgādes tehnisko noteikumu saņemšana, kultūras pieminekļu aizsardzības prasību noteikumu saņemšana, </w:t>
            </w:r>
            <w:r w:rsidRPr="0019406C">
              <w:rPr>
                <w:lang w:val="lv-LV"/>
              </w:rPr>
              <w:t xml:space="preserve"> </w:t>
            </w:r>
            <w:r w:rsidRPr="0019406C">
              <w:rPr>
                <w:rFonts w:asciiTheme="majorHAnsi" w:hAnsiTheme="majorHAnsi" w:cs="Times New Roman"/>
                <w:lang w:val="lv-LV"/>
              </w:rPr>
              <w:lastRenderedPageBreak/>
              <w:t xml:space="preserve">ūdensapgādes un kanalizācijas  tehnisko noteikumu saņemšana, </w:t>
            </w:r>
            <w:r w:rsidRPr="0019406C">
              <w:rPr>
                <w:lang w:val="lv-LV"/>
              </w:rPr>
              <w:t xml:space="preserve"> </w:t>
            </w:r>
            <w:r w:rsidRPr="0019406C">
              <w:rPr>
                <w:rFonts w:asciiTheme="majorHAnsi" w:hAnsiTheme="majorHAnsi" w:cs="Times New Roman"/>
                <w:lang w:val="lv-LV"/>
              </w:rPr>
              <w:t xml:space="preserve">telekomunikācijas  tehnisko noteikumu saņemšana, </w:t>
            </w:r>
            <w:r w:rsidRPr="0019406C">
              <w:rPr>
                <w:lang w:val="lv-LV"/>
              </w:rPr>
              <w:t xml:space="preserve"> </w:t>
            </w:r>
            <w:r w:rsidRPr="0019406C">
              <w:rPr>
                <w:rFonts w:asciiTheme="majorHAnsi" w:hAnsiTheme="majorHAnsi" w:cs="Times New Roman"/>
                <w:lang w:val="lv-LV"/>
              </w:rPr>
              <w:t xml:space="preserve">jauns pieslēgums pie elektrotīkla vai elektrības jaudas palielināšana, </w:t>
            </w:r>
            <w:r w:rsidRPr="0019406C">
              <w:rPr>
                <w:lang w:val="lv-LV"/>
              </w:rPr>
              <w:t xml:space="preserve"> </w:t>
            </w:r>
            <w:r w:rsidRPr="0019406C">
              <w:rPr>
                <w:rFonts w:asciiTheme="majorHAnsi" w:hAnsiTheme="majorHAnsi" w:cs="Times New Roman"/>
                <w:lang w:val="lv-LV"/>
              </w:rPr>
              <w:t xml:space="preserve">ceļu un ielu  tehnisko noteikumu saņemšana, </w:t>
            </w:r>
            <w:r w:rsidRPr="0019406C">
              <w:rPr>
                <w:lang w:val="lv-LV"/>
              </w:rPr>
              <w:t xml:space="preserve"> </w:t>
            </w:r>
            <w:r w:rsidRPr="0019406C">
              <w:rPr>
                <w:rFonts w:asciiTheme="majorHAnsi" w:hAnsiTheme="majorHAnsi" w:cs="Times New Roman"/>
                <w:lang w:val="lv-LV"/>
              </w:rPr>
              <w:t xml:space="preserve">ietekmes uz vidi novērtēšana, </w:t>
            </w:r>
            <w:r w:rsidRPr="0019406C">
              <w:rPr>
                <w:lang w:val="lv-LV"/>
              </w:rPr>
              <w:t xml:space="preserve"> </w:t>
            </w:r>
            <w:r w:rsidRPr="0019406C">
              <w:rPr>
                <w:rFonts w:asciiTheme="majorHAnsi" w:hAnsiTheme="majorHAnsi" w:cs="Times New Roman"/>
                <w:lang w:val="lv-LV"/>
              </w:rPr>
              <w:t xml:space="preserve">vides un dabas aizsardzības prasības </w:t>
            </w:r>
            <w:r w:rsidRPr="0019406C">
              <w:rPr>
                <w:lang w:val="lv-LV"/>
              </w:rPr>
              <w:t xml:space="preserve"> </w:t>
            </w:r>
            <w:r w:rsidRPr="0019406C">
              <w:rPr>
                <w:rFonts w:asciiTheme="majorHAnsi" w:hAnsiTheme="majorHAnsi" w:cs="Times New Roman"/>
                <w:lang w:val="lv-LV"/>
              </w:rPr>
              <w:t xml:space="preserve">noteikumu saņemšanu, </w:t>
            </w:r>
            <w:r w:rsidRPr="0019406C">
              <w:rPr>
                <w:lang w:val="lv-LV"/>
              </w:rPr>
              <w:t xml:space="preserve"> </w:t>
            </w:r>
            <w:r w:rsidRPr="0019406C">
              <w:rPr>
                <w:rFonts w:asciiTheme="majorHAnsi" w:hAnsiTheme="majorHAnsi" w:cs="Times New Roman"/>
                <w:lang w:val="lv-LV"/>
              </w:rPr>
              <w:t xml:space="preserve">vienkāršotās renovācijas/rekonstrukcijas saskaņošana, </w:t>
            </w:r>
            <w:r w:rsidRPr="0019406C">
              <w:rPr>
                <w:lang w:val="lv-LV"/>
              </w:rPr>
              <w:t xml:space="preserve"> </w:t>
            </w:r>
            <w:r w:rsidRPr="0019406C">
              <w:rPr>
                <w:rFonts w:asciiTheme="majorHAnsi" w:hAnsiTheme="majorHAnsi" w:cs="Times New Roman"/>
                <w:lang w:val="lv-LV"/>
              </w:rPr>
              <w:t xml:space="preserve">ugunsdrošības prasības </w:t>
            </w:r>
            <w:r w:rsidRPr="0019406C">
              <w:rPr>
                <w:lang w:val="lv-LV"/>
              </w:rPr>
              <w:t xml:space="preserve"> </w:t>
            </w:r>
            <w:r w:rsidRPr="0019406C">
              <w:rPr>
                <w:rFonts w:asciiTheme="majorHAnsi" w:hAnsiTheme="majorHAnsi" w:cs="Times New Roman"/>
                <w:lang w:val="lv-LV"/>
              </w:rPr>
              <w:t xml:space="preserve">specializētu drošības noteikumu saņemšanu, </w:t>
            </w:r>
            <w:r w:rsidRPr="0019406C">
              <w:rPr>
                <w:lang w:val="lv-LV"/>
              </w:rPr>
              <w:t xml:space="preserve"> </w:t>
            </w:r>
            <w:r w:rsidRPr="0019406C">
              <w:rPr>
                <w:rFonts w:asciiTheme="majorHAnsi" w:hAnsiTheme="majorHAnsi" w:cs="Times New Roman"/>
                <w:lang w:val="lv-LV"/>
              </w:rPr>
              <w:t xml:space="preserve">higiēnas prasības  noteikumu saņemšanu. Iespējams, arī jāizskata papildus </w:t>
            </w:r>
            <w:proofErr w:type="spellStart"/>
            <w:r w:rsidRPr="0019406C">
              <w:rPr>
                <w:rFonts w:asciiTheme="majorHAnsi" w:hAnsiTheme="majorHAnsi" w:cs="Times New Roman"/>
                <w:lang w:val="lv-LV"/>
              </w:rPr>
              <w:t>funkcionalitāšu</w:t>
            </w:r>
            <w:proofErr w:type="spellEnd"/>
            <w:r w:rsidRPr="0019406C">
              <w:rPr>
                <w:rFonts w:asciiTheme="majorHAnsi" w:hAnsiTheme="majorHAnsi" w:cs="Times New Roman"/>
                <w:lang w:val="lv-LV"/>
              </w:rPr>
              <w:t xml:space="preserve"> nodrošināšana BIS. Pretējā gadījumā nozarē nav viennozīmīgas izpratnes, vai un kā valstī tiek plānotas vienas pieturas aģentūras principa ieviešana.</w:t>
            </w:r>
          </w:p>
        </w:tc>
        <w:tc>
          <w:tcPr>
            <w:tcW w:w="1701" w:type="dxa"/>
            <w:shd w:val="clear" w:color="auto" w:fill="auto"/>
          </w:tcPr>
          <w:p w:rsidR="003E76FE" w:rsidRPr="0019406C" w:rsidRDefault="003E76FE" w:rsidP="003E76FE">
            <w:pPr>
              <w:pStyle w:val="CommentText"/>
              <w:spacing w:before="120" w:after="0" w:line="276" w:lineRule="auto"/>
              <w:jc w:val="both"/>
              <w:rPr>
                <w:rFonts w:asciiTheme="majorHAnsi" w:eastAsia="Calibri" w:hAnsiTheme="majorHAnsi" w:cs="Times New Roman"/>
                <w:color w:val="000000"/>
                <w:lang w:val="lv-LV"/>
              </w:rPr>
            </w:pPr>
            <w:r w:rsidRPr="0019406C">
              <w:rPr>
                <w:rFonts w:asciiTheme="majorHAnsi" w:eastAsia="Calibri" w:hAnsiTheme="majorHAnsi" w:cs="Times New Roman"/>
                <w:color w:val="000000"/>
                <w:lang w:val="lv-LV"/>
              </w:rPr>
              <w:lastRenderedPageBreak/>
              <w:t>31.12.2014</w:t>
            </w:r>
          </w:p>
        </w:tc>
        <w:tc>
          <w:tcPr>
            <w:tcW w:w="1559" w:type="dxa"/>
            <w:shd w:val="clear" w:color="auto" w:fill="auto"/>
          </w:tcPr>
          <w:p w:rsidR="003E76FE" w:rsidRPr="0019406C" w:rsidRDefault="003E76FE" w:rsidP="003E76FE">
            <w:pPr>
              <w:pStyle w:val="CommentText"/>
              <w:spacing w:before="120" w:after="0" w:line="276" w:lineRule="auto"/>
              <w:jc w:val="both"/>
              <w:rPr>
                <w:rFonts w:asciiTheme="majorHAnsi" w:eastAsia="Calibri" w:hAnsiTheme="majorHAnsi" w:cs="Times New Roman"/>
                <w:color w:val="000000"/>
                <w:lang w:val="lv-LV"/>
              </w:rPr>
            </w:pPr>
            <w:r w:rsidRPr="0019406C">
              <w:rPr>
                <w:rFonts w:asciiTheme="majorHAnsi" w:eastAsia="Calibri" w:hAnsiTheme="majorHAnsi" w:cs="Times New Roman"/>
                <w:color w:val="000000"/>
                <w:lang w:val="lv-LV"/>
              </w:rPr>
              <w:t>EM</w:t>
            </w:r>
          </w:p>
        </w:tc>
        <w:tc>
          <w:tcPr>
            <w:tcW w:w="4253" w:type="dxa"/>
            <w:shd w:val="clear" w:color="auto" w:fill="auto"/>
          </w:tcPr>
          <w:p w:rsidR="003E76FE" w:rsidRPr="0019406C" w:rsidRDefault="003E76FE" w:rsidP="00E521EE">
            <w:pPr>
              <w:pStyle w:val="CommentText"/>
              <w:numPr>
                <w:ilvl w:val="0"/>
                <w:numId w:val="48"/>
              </w:numPr>
              <w:spacing w:before="120" w:after="0" w:line="276" w:lineRule="auto"/>
              <w:jc w:val="both"/>
              <w:rPr>
                <w:rFonts w:asciiTheme="majorHAnsi" w:eastAsia="Times New Roman" w:hAnsiTheme="majorHAnsi" w:cs="Times New Roman"/>
                <w:bCs/>
                <w:color w:val="000000"/>
                <w:lang w:val="lv-LV" w:eastAsia="lv-LV"/>
              </w:rPr>
            </w:pPr>
            <w:r w:rsidRPr="0019406C">
              <w:rPr>
                <w:rFonts w:asciiTheme="majorHAnsi" w:hAnsiTheme="majorHAnsi" w:cs="Times New Roman"/>
                <w:lang w:val="lv-LV"/>
              </w:rPr>
              <w:t>Nodrošināt efektīvāku komunikāciju ar nozari par BIS ieviešanu, precīzi parādot, kā BIS pildīs vienas pieturas aģentūras principa ieviešanu būvniecības nozarē un kā nozare to varēs izmantot sava darba optimizācijai.</w:t>
            </w:r>
          </w:p>
        </w:tc>
        <w:tc>
          <w:tcPr>
            <w:tcW w:w="2126" w:type="dxa"/>
          </w:tcPr>
          <w:p w:rsidR="003E76FE" w:rsidRPr="0019406C" w:rsidRDefault="003E76FE" w:rsidP="003E76FE">
            <w:pPr>
              <w:pStyle w:val="CommentText"/>
              <w:spacing w:before="120" w:after="0" w:line="276" w:lineRule="auto"/>
              <w:jc w:val="both"/>
              <w:rPr>
                <w:rFonts w:asciiTheme="majorHAnsi" w:eastAsia="Times New Roman" w:hAnsiTheme="majorHAnsi" w:cs="Times New Roman"/>
                <w:bCs/>
                <w:color w:val="000000"/>
                <w:lang w:val="lv-LV" w:eastAsia="lv-LV"/>
              </w:rPr>
            </w:pPr>
          </w:p>
        </w:tc>
      </w:tr>
    </w:tbl>
    <w:p w:rsidR="00C1744F" w:rsidRPr="0019406C" w:rsidRDefault="00C1744F">
      <w:pPr>
        <w:rPr>
          <w:lang w:val="lv-LV"/>
        </w:rPr>
      </w:pPr>
    </w:p>
    <w:p w:rsidR="00C1744F" w:rsidRPr="0019406C" w:rsidRDefault="00C1744F">
      <w:pPr>
        <w:rPr>
          <w:lang w:val="lv-LV"/>
        </w:rPr>
      </w:pPr>
      <w:r w:rsidRPr="0019406C">
        <w:rPr>
          <w:lang w:val="lv-LV"/>
        </w:rPr>
        <w:br w:type="page"/>
      </w:r>
    </w:p>
    <w:p w:rsidR="00133928" w:rsidRPr="0019406C" w:rsidRDefault="00133928" w:rsidP="00B41392">
      <w:pPr>
        <w:pStyle w:val="BodyText"/>
        <w:rPr>
          <w:rFonts w:asciiTheme="majorHAnsi" w:hAnsiTheme="majorHAnsi"/>
          <w:lang w:val="lv-LV"/>
        </w:rPr>
        <w:sectPr w:rsidR="00133928" w:rsidRPr="0019406C" w:rsidSect="00CD13EB">
          <w:pgSz w:w="16838" w:h="11906" w:orient="landscape" w:code="9"/>
          <w:pgMar w:top="1021" w:right="1474" w:bottom="1021" w:left="1474" w:header="567" w:footer="567" w:gutter="0"/>
          <w:cols w:space="708"/>
          <w:docGrid w:linePitch="360"/>
        </w:sectPr>
      </w:pPr>
    </w:p>
    <w:p w:rsidR="00133928" w:rsidRPr="0019406C" w:rsidRDefault="00726BD9" w:rsidP="00DA03BC">
      <w:pPr>
        <w:pStyle w:val="Heading1"/>
        <w:numPr>
          <w:ilvl w:val="0"/>
          <w:numId w:val="0"/>
        </w:numPr>
        <w:tabs>
          <w:tab w:val="left" w:pos="7371"/>
        </w:tabs>
        <w:ind w:left="432" w:hanging="432"/>
        <w:rPr>
          <w:lang w:val="lv-LV"/>
        </w:rPr>
      </w:pPr>
      <w:bookmarkStart w:id="141" w:name="_Toc389226093"/>
      <w:r w:rsidRPr="0019406C">
        <w:rPr>
          <w:lang w:val="lv-LV"/>
        </w:rPr>
        <w:lastRenderedPageBreak/>
        <w:t>II</w:t>
      </w:r>
      <w:r w:rsidR="00133928" w:rsidRPr="0019406C">
        <w:rPr>
          <w:lang w:val="lv-LV"/>
        </w:rPr>
        <w:t xml:space="preserve"> pielikums. </w:t>
      </w:r>
      <w:r w:rsidR="004D40FC" w:rsidRPr="0019406C">
        <w:rPr>
          <w:lang w:val="lv-LV"/>
        </w:rPr>
        <w:t>Papildus izvirzītie p</w:t>
      </w:r>
      <w:r w:rsidR="00AF6EDE" w:rsidRPr="0019406C">
        <w:rPr>
          <w:lang w:val="lv-LV"/>
        </w:rPr>
        <w:t>riekšlikumi</w:t>
      </w:r>
      <w:bookmarkEnd w:id="141"/>
    </w:p>
    <w:p w:rsidR="00133928" w:rsidRPr="0019406C" w:rsidRDefault="00133928" w:rsidP="00133928">
      <w:pPr>
        <w:pStyle w:val="BodyText"/>
        <w:spacing w:line="276" w:lineRule="auto"/>
        <w:jc w:val="both"/>
        <w:rPr>
          <w:rFonts w:asciiTheme="majorHAnsi" w:hAnsiTheme="majorHAnsi"/>
          <w:lang w:val="lv-LV"/>
        </w:rPr>
      </w:pPr>
      <w:r w:rsidRPr="0019406C">
        <w:rPr>
          <w:rFonts w:asciiTheme="majorHAnsi" w:hAnsiTheme="majorHAnsi"/>
          <w:lang w:val="lv-LV"/>
        </w:rPr>
        <w:t>Ša</w:t>
      </w:r>
      <w:r w:rsidR="00790F97" w:rsidRPr="0019406C">
        <w:rPr>
          <w:rFonts w:asciiTheme="majorHAnsi" w:hAnsiTheme="majorHAnsi"/>
          <w:lang w:val="lv-LV"/>
        </w:rPr>
        <w:t xml:space="preserve">jā nodaļā apkopoti </w:t>
      </w:r>
      <w:r w:rsidR="00AF6EDE" w:rsidRPr="0019406C">
        <w:rPr>
          <w:rFonts w:asciiTheme="majorHAnsi" w:hAnsiTheme="majorHAnsi"/>
          <w:lang w:val="lv-LV"/>
        </w:rPr>
        <w:t xml:space="preserve">papildus </w:t>
      </w:r>
      <w:r w:rsidR="00790F97" w:rsidRPr="0019406C">
        <w:rPr>
          <w:rFonts w:asciiTheme="majorHAnsi" w:hAnsiTheme="majorHAnsi"/>
          <w:lang w:val="lv-LV"/>
        </w:rPr>
        <w:t xml:space="preserve">priekšlikumi, kuri izvirzīti </w:t>
      </w:r>
      <w:r w:rsidR="00AF6EDE" w:rsidRPr="0019406C">
        <w:rPr>
          <w:rFonts w:asciiTheme="majorHAnsi" w:hAnsiTheme="majorHAnsi"/>
          <w:lang w:val="lv-LV"/>
        </w:rPr>
        <w:t xml:space="preserve">ziņojumā veiktās analīzes </w:t>
      </w:r>
      <w:r w:rsidR="00180394" w:rsidRPr="0019406C">
        <w:rPr>
          <w:rFonts w:asciiTheme="majorHAnsi" w:hAnsiTheme="majorHAnsi"/>
          <w:lang w:val="lv-LV"/>
        </w:rPr>
        <w:t xml:space="preserve">rezultātā </w:t>
      </w:r>
      <w:r w:rsidR="00AF6EDE" w:rsidRPr="0019406C">
        <w:rPr>
          <w:rFonts w:asciiTheme="majorHAnsi" w:hAnsiTheme="majorHAnsi"/>
          <w:lang w:val="lv-LV"/>
        </w:rPr>
        <w:t xml:space="preserve">un </w:t>
      </w:r>
      <w:r w:rsidR="00180394" w:rsidRPr="0019406C">
        <w:rPr>
          <w:rFonts w:asciiTheme="majorHAnsi" w:hAnsiTheme="majorHAnsi"/>
          <w:lang w:val="lv-LV"/>
        </w:rPr>
        <w:t xml:space="preserve">kurus tika ierosināts skatīt ekspertu diskusijā. Šie priekšlikumi </w:t>
      </w:r>
      <w:r w:rsidR="00AF6EDE" w:rsidRPr="0019406C">
        <w:rPr>
          <w:rFonts w:asciiTheme="majorHAnsi" w:hAnsiTheme="majorHAnsi"/>
          <w:lang w:val="lv-LV"/>
        </w:rPr>
        <w:t>var</w:t>
      </w:r>
      <w:r w:rsidR="00180394" w:rsidRPr="0019406C">
        <w:rPr>
          <w:rFonts w:asciiTheme="majorHAnsi" w:hAnsiTheme="majorHAnsi"/>
          <w:lang w:val="lv-LV"/>
        </w:rPr>
        <w:t>ētu</w:t>
      </w:r>
      <w:r w:rsidR="00AF6EDE" w:rsidRPr="0019406C">
        <w:rPr>
          <w:rFonts w:asciiTheme="majorHAnsi" w:hAnsiTheme="majorHAnsi"/>
          <w:lang w:val="lv-LV"/>
        </w:rPr>
        <w:t xml:space="preserve"> potenciāli uzlabot uzņēmējdarbības vidi Latvijā</w:t>
      </w:r>
      <w:r w:rsidR="00180394" w:rsidRPr="0019406C">
        <w:rPr>
          <w:rFonts w:asciiTheme="majorHAnsi" w:hAnsiTheme="majorHAnsi"/>
          <w:lang w:val="lv-LV"/>
        </w:rPr>
        <w:t xml:space="preserve">, tomēr, ņemot vērā </w:t>
      </w:r>
      <w:r w:rsidR="00AF6EDE" w:rsidRPr="0019406C">
        <w:rPr>
          <w:rFonts w:asciiTheme="majorHAnsi" w:hAnsiTheme="majorHAnsi"/>
          <w:lang w:val="lv-LV"/>
        </w:rPr>
        <w:t>ekspertu diskusijā</w:t>
      </w:r>
      <w:r w:rsidR="00180394" w:rsidRPr="0019406C">
        <w:rPr>
          <w:rFonts w:asciiTheme="majorHAnsi" w:hAnsiTheme="majorHAnsi"/>
          <w:lang w:val="lv-LV"/>
        </w:rPr>
        <w:t>s</w:t>
      </w:r>
      <w:r w:rsidR="00AF6EDE" w:rsidRPr="0019406C">
        <w:rPr>
          <w:rFonts w:asciiTheme="majorHAnsi" w:hAnsiTheme="majorHAnsi"/>
          <w:lang w:val="lv-LV"/>
        </w:rPr>
        <w:t xml:space="preserve"> </w:t>
      </w:r>
      <w:r w:rsidR="00180394" w:rsidRPr="0019406C">
        <w:rPr>
          <w:rFonts w:asciiTheme="majorHAnsi" w:hAnsiTheme="majorHAnsi"/>
          <w:lang w:val="lv-LV"/>
        </w:rPr>
        <w:t xml:space="preserve">pārrunāto, </w:t>
      </w:r>
      <w:r w:rsidR="00AF6EDE" w:rsidRPr="0019406C">
        <w:rPr>
          <w:rFonts w:asciiTheme="majorHAnsi" w:hAnsiTheme="majorHAnsi"/>
          <w:lang w:val="lv-LV"/>
        </w:rPr>
        <w:t xml:space="preserve">šobrīd netika izvirzīti iekļaušanai </w:t>
      </w:r>
      <w:r w:rsidR="00B916FF" w:rsidRPr="0019406C">
        <w:rPr>
          <w:rFonts w:asciiTheme="majorHAnsi" w:hAnsiTheme="majorHAnsi"/>
          <w:lang w:val="lv-LV"/>
        </w:rPr>
        <w:t>U</w:t>
      </w:r>
      <w:r w:rsidR="00AF6EDE" w:rsidRPr="0019406C">
        <w:rPr>
          <w:rFonts w:asciiTheme="majorHAnsi" w:hAnsiTheme="majorHAnsi"/>
          <w:lang w:val="lv-LV"/>
        </w:rPr>
        <w:t xml:space="preserve">zņēmējdarbības </w:t>
      </w:r>
      <w:r w:rsidR="00B916FF" w:rsidRPr="0019406C">
        <w:rPr>
          <w:rFonts w:asciiTheme="majorHAnsi" w:hAnsiTheme="majorHAnsi"/>
          <w:lang w:val="lv-LV"/>
        </w:rPr>
        <w:t xml:space="preserve">vides uzlabošanas pasākumu </w:t>
      </w:r>
      <w:r w:rsidR="00AF6EDE" w:rsidRPr="0019406C">
        <w:rPr>
          <w:rFonts w:asciiTheme="majorHAnsi" w:hAnsiTheme="majorHAnsi"/>
          <w:lang w:val="lv-LV"/>
        </w:rPr>
        <w:t>plānā.</w:t>
      </w:r>
      <w:r w:rsidR="00D74CE5" w:rsidRPr="0019406C">
        <w:rPr>
          <w:rFonts w:asciiTheme="majorHAnsi" w:hAnsiTheme="majorHAnsi"/>
          <w:lang w:val="lv-LV"/>
        </w:rPr>
        <w:t xml:space="preserve"> Ņemot vērā, ka šie priekšlikumi būt</w:t>
      </w:r>
      <w:r w:rsidR="0019406C" w:rsidRPr="0019406C">
        <w:rPr>
          <w:rFonts w:asciiTheme="majorHAnsi" w:hAnsiTheme="majorHAnsi"/>
          <w:lang w:val="lv-LV"/>
        </w:rPr>
        <w:t xml:space="preserve">u </w:t>
      </w:r>
      <w:r w:rsidR="0072729F" w:rsidRPr="0019406C">
        <w:rPr>
          <w:rFonts w:asciiTheme="majorHAnsi" w:hAnsiTheme="majorHAnsi"/>
          <w:lang w:val="lv-LV"/>
        </w:rPr>
        <w:t>jāvērtē</w:t>
      </w:r>
      <w:r w:rsidR="0019406C" w:rsidRPr="0019406C">
        <w:rPr>
          <w:rFonts w:asciiTheme="majorHAnsi" w:hAnsiTheme="majorHAnsi"/>
          <w:lang w:val="lv-LV"/>
        </w:rPr>
        <w:t xml:space="preserve"> uzņēmējiem, būtu ieteic</w:t>
      </w:r>
      <w:r w:rsidR="00D74CE5" w:rsidRPr="0019406C">
        <w:rPr>
          <w:rFonts w:asciiTheme="majorHAnsi" w:hAnsiTheme="majorHAnsi"/>
          <w:lang w:val="lv-LV"/>
        </w:rPr>
        <w:t>ams šos priekšlikumus virzīt diskusijām ar uzņēmējiem, it sevišķi priekšlikumu par materialitātes principa ieviešanu nodokļu administrēšanā.</w:t>
      </w:r>
    </w:p>
    <w:p w:rsidR="00133928" w:rsidRPr="0019406C" w:rsidRDefault="00133928" w:rsidP="00B41392">
      <w:pPr>
        <w:pStyle w:val="BodyText"/>
        <w:rPr>
          <w:rFonts w:asciiTheme="majorHAnsi" w:hAnsiTheme="majorHAnsi"/>
          <w:lang w:val="lv-LV"/>
        </w:rPr>
        <w:sectPr w:rsidR="00133928" w:rsidRPr="0019406C" w:rsidSect="00133928">
          <w:pgSz w:w="11906" w:h="16838" w:code="9"/>
          <w:pgMar w:top="1474" w:right="1021" w:bottom="1474" w:left="1021" w:header="567" w:footer="567" w:gutter="0"/>
          <w:cols w:space="708"/>
          <w:docGrid w:linePitch="360"/>
        </w:sectPr>
      </w:pPr>
    </w:p>
    <w:p w:rsidR="00133928" w:rsidRPr="0019406C" w:rsidRDefault="00133928">
      <w:pPr>
        <w:rPr>
          <w:rFonts w:asciiTheme="majorHAnsi" w:hAnsiTheme="majorHAnsi"/>
          <w:lang w:val="lv-LV"/>
        </w:rPr>
      </w:pPr>
    </w:p>
    <w:tbl>
      <w:tblPr>
        <w:tblpPr w:leftFromText="180" w:rightFromText="180" w:horzAnchor="margin" w:tblpY="804"/>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1701"/>
        <w:gridCol w:w="1559"/>
        <w:gridCol w:w="4253"/>
        <w:gridCol w:w="2126"/>
      </w:tblGrid>
      <w:tr w:rsidR="00133928" w:rsidRPr="0019406C" w:rsidTr="00726BD9">
        <w:tc>
          <w:tcPr>
            <w:tcW w:w="5495" w:type="dxa"/>
            <w:tcBorders>
              <w:top w:val="single" w:sz="4" w:space="0" w:color="auto"/>
              <w:bottom w:val="single" w:sz="4" w:space="0" w:color="auto"/>
            </w:tcBorders>
            <w:shd w:val="clear" w:color="auto" w:fill="EEECE1"/>
            <w:vAlign w:val="center"/>
          </w:tcPr>
          <w:p w:rsidR="00133928" w:rsidRPr="0019406C" w:rsidRDefault="00133928" w:rsidP="00726BD9">
            <w:pPr>
              <w:spacing w:before="120" w:after="120" w:line="276" w:lineRule="auto"/>
              <w:jc w:val="center"/>
              <w:rPr>
                <w:rFonts w:asciiTheme="majorHAnsi" w:eastAsia="Times New Roman" w:hAnsiTheme="majorHAnsi" w:cs="Times New Roman"/>
                <w:b/>
                <w:color w:val="000000"/>
                <w:lang w:val="lv-LV" w:eastAsia="lv-LV"/>
              </w:rPr>
            </w:pPr>
            <w:r w:rsidRPr="0019406C">
              <w:rPr>
                <w:rFonts w:asciiTheme="majorHAnsi" w:hAnsiTheme="majorHAnsi" w:cs="Times New Roman"/>
                <w:b/>
                <w:color w:val="000000"/>
                <w:lang w:val="lv-LV"/>
              </w:rPr>
              <w:t>Sasaiste ar pamatnostādnēs noteiktajiem politikas mērķiem, rīcības virzieniem vai uzdevumiem</w:t>
            </w:r>
          </w:p>
        </w:tc>
        <w:tc>
          <w:tcPr>
            <w:tcW w:w="7513" w:type="dxa"/>
            <w:gridSpan w:val="3"/>
            <w:tcBorders>
              <w:top w:val="single" w:sz="4" w:space="0" w:color="auto"/>
              <w:bottom w:val="single" w:sz="4" w:space="0" w:color="auto"/>
            </w:tcBorders>
            <w:shd w:val="clear" w:color="auto" w:fill="EEECE1"/>
            <w:vAlign w:val="center"/>
          </w:tcPr>
          <w:p w:rsidR="00133928" w:rsidRPr="0019406C" w:rsidRDefault="00133928" w:rsidP="00726BD9">
            <w:pPr>
              <w:spacing w:before="120" w:after="120" w:line="276" w:lineRule="auto"/>
              <w:jc w:val="center"/>
              <w:rPr>
                <w:rFonts w:asciiTheme="majorHAnsi" w:hAnsiTheme="majorHAnsi" w:cs="Times New Roman"/>
                <w:b/>
                <w:color w:val="000000"/>
                <w:lang w:val="lv-LV"/>
              </w:rPr>
            </w:pPr>
            <w:r w:rsidRPr="0019406C">
              <w:rPr>
                <w:rFonts w:asciiTheme="majorHAnsi" w:hAnsiTheme="majorHAnsi" w:cs="Times New Roman"/>
                <w:b/>
                <w:color w:val="000000"/>
                <w:lang w:val="lv-LV"/>
              </w:rPr>
              <w:t xml:space="preserve">MĒRĶIS: </w:t>
            </w:r>
            <w:r w:rsidRPr="0019406C">
              <w:rPr>
                <w:rFonts w:asciiTheme="majorHAnsi" w:eastAsia="Times New Roman" w:hAnsiTheme="majorHAnsi" w:cs="Times New Roman"/>
                <w:b/>
                <w:iCs/>
                <w:color w:val="000000"/>
                <w:lang w:val="lv-LV" w:eastAsia="lv-LV"/>
              </w:rPr>
              <w:t>vienkārši un kvalitat</w:t>
            </w:r>
            <w:r w:rsidRPr="0019406C">
              <w:rPr>
                <w:rFonts w:asciiTheme="majorHAnsi" w:hAnsiTheme="majorHAnsi" w:cs="Times New Roman"/>
                <w:b/>
                <w:color w:val="000000"/>
                <w:lang w:val="lv-LV"/>
              </w:rPr>
              <w:t>īvi pakalpojumi uzņēmējdarbībā: vairāk e-pakalpojumu!</w:t>
            </w:r>
          </w:p>
        </w:tc>
        <w:tc>
          <w:tcPr>
            <w:tcW w:w="2126" w:type="dxa"/>
            <w:tcBorders>
              <w:top w:val="single" w:sz="4" w:space="0" w:color="auto"/>
              <w:bottom w:val="single" w:sz="4" w:space="0" w:color="auto"/>
            </w:tcBorders>
            <w:shd w:val="clear" w:color="auto" w:fill="EEECE1"/>
          </w:tcPr>
          <w:p w:rsidR="00133928" w:rsidRPr="0019406C" w:rsidRDefault="00133928" w:rsidP="00726BD9">
            <w:pPr>
              <w:spacing w:before="120" w:after="120" w:line="276" w:lineRule="auto"/>
              <w:jc w:val="center"/>
              <w:rPr>
                <w:rFonts w:asciiTheme="majorHAnsi" w:hAnsiTheme="majorHAnsi" w:cs="Times New Roman"/>
                <w:b/>
                <w:color w:val="000000"/>
                <w:lang w:val="lv-LV"/>
              </w:rPr>
            </w:pPr>
            <w:r w:rsidRPr="0019406C">
              <w:rPr>
                <w:rFonts w:asciiTheme="majorHAnsi" w:eastAsia="Times New Roman" w:hAnsiTheme="majorHAnsi" w:cs="Times New Roman"/>
                <w:b/>
                <w:bCs/>
                <w:caps/>
                <w:lang w:val="lv-LV" w:eastAsia="lv-LV"/>
              </w:rPr>
              <w:t>Paredzētais finansējums (EUR) un tā avoti</w:t>
            </w:r>
          </w:p>
        </w:tc>
      </w:tr>
      <w:tr w:rsidR="00133928" w:rsidRPr="0019406C" w:rsidTr="00726BD9">
        <w:tc>
          <w:tcPr>
            <w:tcW w:w="5495" w:type="dxa"/>
            <w:tcBorders>
              <w:bottom w:val="single" w:sz="4" w:space="0" w:color="auto"/>
            </w:tcBorders>
            <w:shd w:val="clear" w:color="auto" w:fill="EEECE1"/>
            <w:vAlign w:val="center"/>
          </w:tcPr>
          <w:p w:rsidR="00133928" w:rsidRPr="0019406C" w:rsidRDefault="00133928" w:rsidP="00726BD9">
            <w:pPr>
              <w:spacing w:before="120" w:after="120" w:line="276" w:lineRule="auto"/>
              <w:jc w:val="center"/>
              <w:rPr>
                <w:rFonts w:asciiTheme="majorHAnsi" w:eastAsia="Times New Roman" w:hAnsiTheme="majorHAnsi" w:cs="Times New Roman"/>
                <w:b/>
                <w:color w:val="000000"/>
                <w:lang w:val="lv-LV" w:eastAsia="lv-LV"/>
              </w:rPr>
            </w:pPr>
            <w:r w:rsidRPr="0019406C">
              <w:rPr>
                <w:rFonts w:asciiTheme="majorHAnsi" w:eastAsia="Times New Roman" w:hAnsiTheme="majorHAnsi" w:cs="Times New Roman"/>
                <w:b/>
                <w:color w:val="000000"/>
                <w:lang w:val="lv-LV" w:eastAsia="lv-LV"/>
              </w:rPr>
              <w:t>Pasākumi izvirzītā mērķa sasniegšanai</w:t>
            </w:r>
          </w:p>
        </w:tc>
        <w:tc>
          <w:tcPr>
            <w:tcW w:w="1701" w:type="dxa"/>
            <w:tcBorders>
              <w:bottom w:val="single" w:sz="4" w:space="0" w:color="auto"/>
            </w:tcBorders>
            <w:shd w:val="clear" w:color="auto" w:fill="EEECE1"/>
            <w:vAlign w:val="center"/>
          </w:tcPr>
          <w:p w:rsidR="00133928" w:rsidRPr="0019406C" w:rsidRDefault="00133928" w:rsidP="00726BD9">
            <w:pPr>
              <w:spacing w:before="120" w:after="120" w:line="276" w:lineRule="auto"/>
              <w:jc w:val="center"/>
              <w:rPr>
                <w:rFonts w:asciiTheme="majorHAnsi" w:hAnsiTheme="majorHAnsi" w:cs="Times New Roman"/>
                <w:b/>
                <w:color w:val="000000"/>
                <w:lang w:val="lv-LV"/>
              </w:rPr>
            </w:pPr>
            <w:r w:rsidRPr="0019406C">
              <w:rPr>
                <w:rFonts w:asciiTheme="majorHAnsi" w:hAnsiTheme="majorHAnsi" w:cs="Times New Roman"/>
                <w:b/>
                <w:color w:val="000000"/>
                <w:lang w:val="lv-LV"/>
              </w:rPr>
              <w:t>Izpildes termiņi</w:t>
            </w:r>
          </w:p>
        </w:tc>
        <w:tc>
          <w:tcPr>
            <w:tcW w:w="1559" w:type="dxa"/>
            <w:tcBorders>
              <w:bottom w:val="single" w:sz="4" w:space="0" w:color="auto"/>
            </w:tcBorders>
            <w:shd w:val="clear" w:color="auto" w:fill="EEECE1"/>
            <w:vAlign w:val="center"/>
          </w:tcPr>
          <w:p w:rsidR="00133928" w:rsidRPr="0019406C" w:rsidRDefault="00133928" w:rsidP="00726BD9">
            <w:pPr>
              <w:spacing w:before="120" w:after="120" w:line="276" w:lineRule="auto"/>
              <w:jc w:val="center"/>
              <w:rPr>
                <w:rFonts w:asciiTheme="majorHAnsi" w:eastAsia="Times New Roman" w:hAnsiTheme="majorHAnsi" w:cs="Times New Roman"/>
                <w:b/>
                <w:color w:val="000000"/>
                <w:lang w:val="lv-LV" w:eastAsia="lv-LV"/>
              </w:rPr>
            </w:pPr>
            <w:r w:rsidRPr="0019406C">
              <w:rPr>
                <w:rFonts w:asciiTheme="majorHAnsi" w:hAnsiTheme="majorHAnsi" w:cs="Times New Roman"/>
                <w:b/>
                <w:color w:val="000000"/>
                <w:lang w:val="lv-LV"/>
              </w:rPr>
              <w:t>Atbildīgā institūcija un iesaistītās institūcijas</w:t>
            </w:r>
          </w:p>
        </w:tc>
        <w:tc>
          <w:tcPr>
            <w:tcW w:w="4253" w:type="dxa"/>
            <w:tcBorders>
              <w:bottom w:val="single" w:sz="4" w:space="0" w:color="auto"/>
            </w:tcBorders>
            <w:shd w:val="clear" w:color="auto" w:fill="EEECE1"/>
            <w:vAlign w:val="center"/>
          </w:tcPr>
          <w:p w:rsidR="00133928" w:rsidRPr="0019406C" w:rsidRDefault="00133928" w:rsidP="00726BD9">
            <w:pPr>
              <w:spacing w:before="120" w:after="120" w:line="276" w:lineRule="auto"/>
              <w:jc w:val="center"/>
              <w:rPr>
                <w:rFonts w:asciiTheme="majorHAnsi" w:hAnsiTheme="majorHAnsi" w:cs="Times New Roman"/>
                <w:b/>
                <w:color w:val="000000"/>
                <w:lang w:val="lv-LV"/>
              </w:rPr>
            </w:pPr>
            <w:r w:rsidRPr="0019406C">
              <w:rPr>
                <w:rFonts w:asciiTheme="majorHAnsi" w:hAnsiTheme="majorHAnsi" w:cs="Times New Roman"/>
                <w:b/>
                <w:color w:val="000000"/>
                <w:lang w:val="lv-LV"/>
              </w:rPr>
              <w:t xml:space="preserve">Tiešās darbības </w:t>
            </w:r>
          </w:p>
        </w:tc>
        <w:tc>
          <w:tcPr>
            <w:tcW w:w="2126" w:type="dxa"/>
            <w:tcBorders>
              <w:bottom w:val="single" w:sz="4" w:space="0" w:color="auto"/>
            </w:tcBorders>
            <w:shd w:val="clear" w:color="auto" w:fill="EEECE1"/>
          </w:tcPr>
          <w:p w:rsidR="00133928" w:rsidRPr="0019406C" w:rsidRDefault="00133928" w:rsidP="00726BD9">
            <w:pPr>
              <w:spacing w:before="120" w:after="120" w:line="276" w:lineRule="auto"/>
              <w:jc w:val="center"/>
              <w:rPr>
                <w:rFonts w:asciiTheme="majorHAnsi" w:hAnsiTheme="majorHAnsi" w:cs="Times New Roman"/>
                <w:b/>
                <w:color w:val="000000"/>
                <w:lang w:val="lv-LV"/>
              </w:rPr>
            </w:pPr>
            <w:r w:rsidRPr="0019406C">
              <w:rPr>
                <w:rFonts w:asciiTheme="majorHAnsi" w:hAnsiTheme="majorHAnsi" w:cs="Times New Roman"/>
                <w:b/>
                <w:color w:val="000000"/>
                <w:lang w:val="lv-LV"/>
              </w:rPr>
              <w:t>Paredzētais finansējuma avots (eiro) un tā apmēri</w:t>
            </w:r>
          </w:p>
        </w:tc>
      </w:tr>
      <w:tr w:rsidR="00133928" w:rsidRPr="0019406C" w:rsidTr="00726BD9">
        <w:tc>
          <w:tcPr>
            <w:tcW w:w="5495" w:type="dxa"/>
            <w:tcBorders>
              <w:bottom w:val="single" w:sz="4" w:space="0" w:color="auto"/>
            </w:tcBorders>
            <w:shd w:val="clear" w:color="auto" w:fill="EEECE1"/>
            <w:vAlign w:val="center"/>
          </w:tcPr>
          <w:p w:rsidR="00133928" w:rsidRPr="0019406C" w:rsidRDefault="00133928" w:rsidP="00726BD9">
            <w:pPr>
              <w:spacing w:before="120" w:after="120" w:line="276" w:lineRule="auto"/>
              <w:rPr>
                <w:rFonts w:asciiTheme="majorHAnsi" w:eastAsia="Times New Roman" w:hAnsiTheme="majorHAnsi" w:cs="Times New Roman"/>
                <w:b/>
                <w:bCs/>
                <w:color w:val="000000"/>
                <w:lang w:val="lv-LV" w:eastAsia="lv-LV"/>
              </w:rPr>
            </w:pPr>
            <w:r w:rsidRPr="0019406C">
              <w:rPr>
                <w:rFonts w:asciiTheme="majorHAnsi" w:eastAsia="Times New Roman" w:hAnsiTheme="majorHAnsi" w:cs="Times New Roman"/>
                <w:b/>
                <w:bCs/>
                <w:color w:val="000000"/>
                <w:lang w:val="lv-LV" w:eastAsia="lv-LV"/>
              </w:rPr>
              <w:t>Rīcības virziens mērķa sasniegšanai:</w:t>
            </w:r>
          </w:p>
        </w:tc>
        <w:tc>
          <w:tcPr>
            <w:tcW w:w="9639" w:type="dxa"/>
            <w:gridSpan w:val="4"/>
            <w:tcBorders>
              <w:bottom w:val="single" w:sz="4" w:space="0" w:color="auto"/>
            </w:tcBorders>
            <w:shd w:val="clear" w:color="auto" w:fill="EEECE1"/>
          </w:tcPr>
          <w:p w:rsidR="00133928" w:rsidRPr="0019406C" w:rsidRDefault="00133928" w:rsidP="00726BD9">
            <w:pPr>
              <w:pStyle w:val="SLONormal"/>
              <w:spacing w:line="276" w:lineRule="auto"/>
              <w:rPr>
                <w:rFonts w:asciiTheme="majorHAnsi" w:hAnsiTheme="majorHAnsi"/>
                <w:b/>
                <w:sz w:val="20"/>
                <w:szCs w:val="20"/>
                <w:lang w:val="lv-LV" w:eastAsia="lv-LV"/>
              </w:rPr>
            </w:pPr>
            <w:r w:rsidRPr="0019406C">
              <w:rPr>
                <w:rFonts w:asciiTheme="majorHAnsi" w:hAnsiTheme="majorHAnsi"/>
                <w:b/>
                <w:sz w:val="20"/>
                <w:szCs w:val="20"/>
                <w:lang w:val="lv-LV" w:eastAsia="lv-LV"/>
              </w:rPr>
              <w:t>1. Uzņēmējdarbības uzsākšana</w:t>
            </w:r>
          </w:p>
        </w:tc>
      </w:tr>
      <w:tr w:rsidR="00133928" w:rsidRPr="00BB0049" w:rsidTr="00726BD9">
        <w:tc>
          <w:tcPr>
            <w:tcW w:w="5495" w:type="dxa"/>
            <w:shd w:val="clear" w:color="auto" w:fill="auto"/>
          </w:tcPr>
          <w:p w:rsidR="00133928" w:rsidRPr="0019406C" w:rsidRDefault="00AF6EDE" w:rsidP="00AF6EDE">
            <w:pPr>
              <w:spacing w:line="276" w:lineRule="auto"/>
              <w:rPr>
                <w:rFonts w:asciiTheme="majorHAnsi" w:eastAsia="Calibri" w:hAnsiTheme="majorHAnsi" w:cs="Calibri"/>
                <w:b/>
                <w:color w:val="000000"/>
                <w:lang w:val="lv-LV"/>
              </w:rPr>
            </w:pPr>
            <w:r w:rsidRPr="0019406C">
              <w:rPr>
                <w:rFonts w:asciiTheme="majorHAnsi" w:eastAsia="Calibri" w:hAnsiTheme="majorHAnsi" w:cs="Calibri"/>
                <w:b/>
                <w:color w:val="000000"/>
                <w:lang w:val="lv-LV"/>
              </w:rPr>
              <w:t>1.1.</w:t>
            </w:r>
            <w:r w:rsidR="00133928" w:rsidRPr="0019406C">
              <w:rPr>
                <w:rFonts w:asciiTheme="majorHAnsi" w:eastAsia="Calibri" w:hAnsiTheme="majorHAnsi" w:cs="Calibri"/>
                <w:b/>
                <w:color w:val="000000"/>
                <w:lang w:val="lv-LV"/>
              </w:rPr>
              <w:t xml:space="preserve"> Prasības par pamatkapitāla iemaksāšanu (nodrošināšanu) reģistrācijas brīdī likvidēšana</w:t>
            </w:r>
          </w:p>
          <w:p w:rsidR="00133928" w:rsidRPr="0019406C" w:rsidRDefault="00133928" w:rsidP="00726BD9">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Latvijas Faktu veiktās uzņēmēju aptaujas rezultāti parāda pozitīvu tendenci uzņēmumu reģistrēšanas jomā, norādot uz uzņēmumu reģistrācijai nepieciešamā laika samazinājumu no 14</w:t>
            </w:r>
            <w:r w:rsidR="0019406C" w:rsidRPr="0019406C">
              <w:rPr>
                <w:rFonts w:asciiTheme="majorHAnsi" w:eastAsia="Calibri" w:hAnsiTheme="majorHAnsi" w:cs="Calibri"/>
                <w:color w:val="000000"/>
                <w:lang w:val="lv-LV"/>
              </w:rPr>
              <w:t>,</w:t>
            </w:r>
            <w:r w:rsidRPr="0019406C">
              <w:rPr>
                <w:rFonts w:asciiTheme="majorHAnsi" w:eastAsia="Calibri" w:hAnsiTheme="majorHAnsi" w:cs="Calibri"/>
                <w:color w:val="000000"/>
                <w:lang w:val="lv-LV"/>
              </w:rPr>
              <w:t>3 dienām 2011. gadā uz 9 dienām 2014. gadā. Tomēr pēc DB pētījuma rezultātiem var secināt, ka Latvija vēl atpaliek no konkurējošām valstīm uzņēmējdarbības reģistrēšanas ilgumā, kur konkurējošās valstīs uzņēmējdarbības reģistrēšana prasa vidēji 6 dienas.</w:t>
            </w:r>
          </w:p>
          <w:p w:rsidR="00133928" w:rsidRPr="0019406C" w:rsidRDefault="00133928" w:rsidP="00726BD9">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 xml:space="preserve">Pēc </w:t>
            </w:r>
            <w:proofErr w:type="spellStart"/>
            <w:r w:rsidRPr="0019406C">
              <w:rPr>
                <w:rFonts w:asciiTheme="majorHAnsi" w:eastAsia="Calibri" w:hAnsiTheme="majorHAnsi" w:cs="Calibri"/>
                <w:color w:val="000000"/>
                <w:lang w:val="lv-LV"/>
              </w:rPr>
              <w:t>PwC</w:t>
            </w:r>
            <w:proofErr w:type="spellEnd"/>
            <w:r w:rsidRPr="0019406C">
              <w:rPr>
                <w:rFonts w:asciiTheme="majorHAnsi" w:eastAsia="Calibri" w:hAnsiTheme="majorHAnsi" w:cs="Calibri"/>
                <w:color w:val="000000"/>
                <w:lang w:val="lv-LV"/>
              </w:rPr>
              <w:t xml:space="preserve"> ekspertu pieredzes noskaidrojām, ka sabiedrības ar ierobežotu atbildību (ar pamatkapitālu 2</w:t>
            </w:r>
            <w:r w:rsidR="0019406C" w:rsidRPr="0019406C">
              <w:rPr>
                <w:rFonts w:asciiTheme="majorHAnsi" w:eastAsia="Calibri" w:hAnsiTheme="majorHAnsi" w:cs="Calibri"/>
                <w:color w:val="000000"/>
                <w:lang w:val="lv-LV"/>
              </w:rPr>
              <w:t xml:space="preserve"> </w:t>
            </w:r>
            <w:r w:rsidRPr="0019406C">
              <w:rPr>
                <w:rFonts w:asciiTheme="majorHAnsi" w:eastAsia="Calibri" w:hAnsiTheme="majorHAnsi" w:cs="Calibri"/>
                <w:color w:val="000000"/>
                <w:lang w:val="lv-LV"/>
              </w:rPr>
              <w:t xml:space="preserve">800 EUR apmērā), pamatkapitāla iemaksāšana vai nodrošināšana reģistrācijas dienā var apgrūtināt uzņēmējam reģistrēt sev vēlamo uzņēmējdarbības formu, jo pamatkapitāla iemaksāšana reģistrācijas brīdī aizņem laiku, kā arī ir nepieciešami papildu finanšu resursi). Pamatkapitāla nodrošināšana uz reģistrācijas brīdi nenodrošina </w:t>
            </w:r>
            <w:r w:rsidRPr="0019406C">
              <w:rPr>
                <w:rFonts w:asciiTheme="majorHAnsi" w:eastAsia="Calibri" w:hAnsiTheme="majorHAnsi" w:cs="Calibri"/>
                <w:color w:val="000000"/>
                <w:lang w:val="lv-LV"/>
              </w:rPr>
              <w:lastRenderedPageBreak/>
              <w:t>pamatkapitāla palikšanu uzņēmumā jau nākamajā dienā pēc reģistrācijas, tādēļ pamatkapitāla iemaksa tieši reģistrācijas brīdī nav tik svarīga investoru aizsardzībai.</w:t>
            </w:r>
          </w:p>
          <w:p w:rsidR="00133928" w:rsidRPr="0019406C" w:rsidRDefault="00133928" w:rsidP="00726BD9">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 xml:space="preserve">Pamatkapitāla nodrošināšana tā reģistrācijas brīdī palielina ne tikai uzņēmuma reģistrācijas izmaksas uz reģistrācijas brīdi, bet arī reģistrācijas ilgumu, jo uzņēmējam jāveic papildus procedūra, apmeklējot banku un atverot bankas kontu, pirms uzņēmuma reģistrācijas. Tas ir jo īpaši svarīgi tādēļ, ka vēl joprojām lielākā daļa uzņēmumu netiek reģistrēti, izmantojot elektroniskos pakalpojumus (atbilstoši aptaujas datiem 2014. gadā tikai 13,9% uzņēmumu tika reģistrēti portālā </w:t>
            </w:r>
            <w:proofErr w:type="spellStart"/>
            <w:r w:rsidRPr="0019406C">
              <w:rPr>
                <w:rFonts w:asciiTheme="majorHAnsi" w:eastAsia="Calibri" w:hAnsiTheme="majorHAnsi" w:cs="Calibri"/>
                <w:color w:val="000000"/>
                <w:lang w:val="lv-LV"/>
              </w:rPr>
              <w:t>www.latvija.lv</w:t>
            </w:r>
            <w:proofErr w:type="spellEnd"/>
            <w:r w:rsidRPr="0019406C">
              <w:rPr>
                <w:rFonts w:asciiTheme="majorHAnsi" w:eastAsia="Calibri" w:hAnsiTheme="majorHAnsi" w:cs="Calibri"/>
                <w:color w:val="000000"/>
                <w:lang w:val="lv-LV"/>
              </w:rPr>
              <w:t xml:space="preserve">). </w:t>
            </w:r>
          </w:p>
          <w:p w:rsidR="00133928" w:rsidRPr="0019406C" w:rsidRDefault="00133928" w:rsidP="00726BD9">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 xml:space="preserve">Lai risinātu  minēto problēmu un atvieglotu uzņēmumu reģistrāciju, Latvijā ir izveidota uzņēmējdarbības forma -  SIA, kuras pamatkapitāls ir </w:t>
            </w:r>
            <w:r w:rsidRPr="0019406C">
              <w:rPr>
                <w:rFonts w:asciiTheme="majorHAnsi" w:eastAsia="Calibri" w:hAnsiTheme="majorHAnsi" w:cs="Calibri"/>
                <w:color w:val="000000"/>
                <w:u w:val="single"/>
                <w:lang w:val="lv-LV"/>
              </w:rPr>
              <w:t>mazāks par 2800 EUR</w:t>
            </w:r>
            <w:r w:rsidRPr="0019406C">
              <w:rPr>
                <w:rFonts w:asciiTheme="majorHAnsi" w:eastAsia="Calibri" w:hAnsiTheme="majorHAnsi" w:cs="Calibri"/>
                <w:color w:val="000000"/>
                <w:lang w:val="lv-LV"/>
              </w:rPr>
              <w:t>, ļaujot uzņēmējiem neiemaksāt pamatkapitālu uz reģistrācijas brīdi. Pēc UR sniegtās informācijas šāda uzņēmējdarbības forma sastāda 70% no Latvijā reģistrētiem uzņēmumiem.</w:t>
            </w:r>
          </w:p>
          <w:p w:rsidR="00133928" w:rsidRPr="0019406C" w:rsidRDefault="00133928" w:rsidP="00726BD9">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 xml:space="preserve">Šobrīd, lai reģistrētu SIA, kuras pamatkapitāls var būt mazāks par </w:t>
            </w:r>
            <w:r w:rsidR="0019406C" w:rsidRPr="0019406C">
              <w:rPr>
                <w:rFonts w:asciiTheme="majorHAnsi" w:eastAsia="Calibri" w:hAnsiTheme="majorHAnsi" w:cs="Calibri"/>
                <w:color w:val="000000"/>
                <w:lang w:val="lv-LV"/>
              </w:rPr>
              <w:t xml:space="preserve">EUR </w:t>
            </w:r>
            <w:r w:rsidRPr="0019406C">
              <w:rPr>
                <w:rFonts w:asciiTheme="majorHAnsi" w:eastAsia="Calibri" w:hAnsiTheme="majorHAnsi" w:cs="Calibri"/>
                <w:color w:val="000000"/>
                <w:lang w:val="lv-LV"/>
              </w:rPr>
              <w:t>2</w:t>
            </w:r>
            <w:r w:rsidR="0019406C" w:rsidRPr="0019406C">
              <w:rPr>
                <w:rFonts w:asciiTheme="majorHAnsi" w:eastAsia="Calibri" w:hAnsiTheme="majorHAnsi" w:cs="Calibri"/>
                <w:color w:val="000000"/>
                <w:lang w:val="lv-LV"/>
              </w:rPr>
              <w:t xml:space="preserve"> </w:t>
            </w:r>
            <w:r w:rsidRPr="0019406C">
              <w:rPr>
                <w:rFonts w:asciiTheme="majorHAnsi" w:eastAsia="Calibri" w:hAnsiTheme="majorHAnsi" w:cs="Calibri"/>
                <w:color w:val="000000"/>
                <w:lang w:val="lv-LV"/>
              </w:rPr>
              <w:t xml:space="preserve">800, ir jāatbilst visām šādām pazīmēm: </w:t>
            </w:r>
          </w:p>
          <w:p w:rsidR="00133928" w:rsidRPr="0019406C" w:rsidRDefault="00133928" w:rsidP="00E521EE">
            <w:pPr>
              <w:pStyle w:val="CommentText"/>
              <w:numPr>
                <w:ilvl w:val="1"/>
                <w:numId w:val="50"/>
              </w:numPr>
              <w:spacing w:before="120" w:after="0" w:line="276" w:lineRule="auto"/>
              <w:ind w:left="709"/>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 xml:space="preserve">sabiedrību dibina fiziskās personas, un dibinātāju maksimālais skaits ir pieci; </w:t>
            </w:r>
          </w:p>
          <w:p w:rsidR="00133928" w:rsidRPr="0019406C" w:rsidRDefault="00133928" w:rsidP="00E521EE">
            <w:pPr>
              <w:pStyle w:val="CommentText"/>
              <w:numPr>
                <w:ilvl w:val="1"/>
                <w:numId w:val="50"/>
              </w:numPr>
              <w:spacing w:before="120" w:after="0" w:line="276" w:lineRule="auto"/>
              <w:ind w:left="709"/>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 xml:space="preserve">sabiedrības dalībnieki ir fiziskās personas, un to maksimālais skaits ir pieci; </w:t>
            </w:r>
          </w:p>
          <w:p w:rsidR="00133928" w:rsidRPr="0019406C" w:rsidRDefault="00133928" w:rsidP="00E521EE">
            <w:pPr>
              <w:pStyle w:val="CommentText"/>
              <w:numPr>
                <w:ilvl w:val="1"/>
                <w:numId w:val="50"/>
              </w:numPr>
              <w:spacing w:before="120" w:after="0" w:line="276" w:lineRule="auto"/>
              <w:ind w:left="709"/>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 xml:space="preserve">sabiedrības valde sastāv no viena vai vairākiem valdes locekļiem un visi valdes locekļi ir sabiedrības dalībnieki; </w:t>
            </w:r>
          </w:p>
          <w:p w:rsidR="00133928" w:rsidRPr="0019406C" w:rsidRDefault="00133928" w:rsidP="00E521EE">
            <w:pPr>
              <w:pStyle w:val="CommentText"/>
              <w:numPr>
                <w:ilvl w:val="1"/>
                <w:numId w:val="50"/>
              </w:numPr>
              <w:spacing w:before="120" w:after="0" w:line="276" w:lineRule="auto"/>
              <w:ind w:left="709"/>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 xml:space="preserve">sabiedrības dalībnieks vienlaikus ir dalībnieks tikai vienā sabiedrībā, kuras pamatkapitāls ir mazāks par </w:t>
            </w:r>
            <w:r w:rsidR="0019406C" w:rsidRPr="0019406C">
              <w:rPr>
                <w:rFonts w:asciiTheme="majorHAnsi" w:eastAsia="Calibri" w:hAnsiTheme="majorHAnsi" w:cs="Calibri"/>
                <w:color w:val="000000"/>
                <w:lang w:val="lv-LV"/>
              </w:rPr>
              <w:t xml:space="preserve">EUR </w:t>
            </w:r>
            <w:r w:rsidRPr="0019406C">
              <w:rPr>
                <w:rFonts w:asciiTheme="majorHAnsi" w:eastAsia="Calibri" w:hAnsiTheme="majorHAnsi" w:cs="Calibri"/>
                <w:color w:val="000000"/>
                <w:lang w:val="lv-LV"/>
              </w:rPr>
              <w:t>2</w:t>
            </w:r>
            <w:r w:rsidR="0019406C" w:rsidRPr="0019406C">
              <w:rPr>
                <w:rFonts w:asciiTheme="majorHAnsi" w:eastAsia="Calibri" w:hAnsiTheme="majorHAnsi" w:cs="Calibri"/>
                <w:color w:val="000000"/>
                <w:lang w:val="lv-LV"/>
              </w:rPr>
              <w:t xml:space="preserve"> </w:t>
            </w:r>
            <w:r w:rsidRPr="0019406C">
              <w:rPr>
                <w:rFonts w:asciiTheme="majorHAnsi" w:eastAsia="Calibri" w:hAnsiTheme="majorHAnsi" w:cs="Calibri"/>
                <w:color w:val="000000"/>
                <w:lang w:val="lv-LV"/>
              </w:rPr>
              <w:t>800.</w:t>
            </w:r>
          </w:p>
          <w:p w:rsidR="00133928" w:rsidRPr="0019406C" w:rsidRDefault="00133928" w:rsidP="00726BD9">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 xml:space="preserve">Ja tiktu pārskatīti vai atcelti minētie ierobežojumi </w:t>
            </w:r>
            <w:r w:rsidRPr="0019406C">
              <w:rPr>
                <w:rFonts w:asciiTheme="majorHAnsi" w:eastAsia="Calibri" w:hAnsiTheme="majorHAnsi" w:cs="Calibri"/>
                <w:color w:val="000000"/>
                <w:lang w:val="lv-LV"/>
              </w:rPr>
              <w:lastRenderedPageBreak/>
              <w:t xml:space="preserve">samazināta kapitāla SIA reģistrācijai, tad potenciāli vairāk uzņēmēju un uzņēmumu varētu izmantot šo iespēju un tādējādi tas atvieglotu jaunu uzņēmumu reģistrāciju vēl plašākā līmenī. Sekojoši, </w:t>
            </w:r>
            <w:r w:rsidR="0019406C" w:rsidRPr="0019406C">
              <w:rPr>
                <w:rFonts w:asciiTheme="majorHAnsi" w:eastAsia="Calibri" w:hAnsiTheme="majorHAnsi" w:cs="Calibri"/>
                <w:color w:val="000000"/>
                <w:lang w:val="lv-LV"/>
              </w:rPr>
              <w:t>izvirzām</w:t>
            </w:r>
            <w:r w:rsidRPr="0019406C">
              <w:rPr>
                <w:rFonts w:asciiTheme="majorHAnsi" w:eastAsia="Calibri" w:hAnsiTheme="majorHAnsi" w:cs="Calibri"/>
                <w:color w:val="000000"/>
                <w:lang w:val="lv-LV"/>
              </w:rPr>
              <w:t xml:space="preserve"> šādas galvenās ierosinājumu tēmas:</w:t>
            </w:r>
          </w:p>
          <w:p w:rsidR="00133928" w:rsidRPr="0019406C" w:rsidRDefault="00133928" w:rsidP="00E521EE">
            <w:pPr>
              <w:pStyle w:val="CommentText"/>
              <w:numPr>
                <w:ilvl w:val="0"/>
                <w:numId w:val="21"/>
              </w:numPr>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 xml:space="preserve">Pieļaut </w:t>
            </w:r>
            <w:r w:rsidRPr="0019406C">
              <w:rPr>
                <w:rFonts w:asciiTheme="majorHAnsi" w:eastAsia="Calibri" w:hAnsiTheme="majorHAnsi" w:cs="Calibri"/>
                <w:b/>
                <w:color w:val="000000"/>
                <w:lang w:val="lv-LV"/>
              </w:rPr>
              <w:t>visām</w:t>
            </w:r>
            <w:r w:rsidRPr="0019406C">
              <w:rPr>
                <w:rFonts w:asciiTheme="majorHAnsi" w:eastAsia="Calibri" w:hAnsiTheme="majorHAnsi" w:cs="Calibri"/>
                <w:color w:val="000000"/>
                <w:lang w:val="lv-LV"/>
              </w:rPr>
              <w:t xml:space="preserve"> SIA uzņēmējdarbības formām iespēju reģistrēšanās brīdī noteikt pamatkapitālu mazāku par </w:t>
            </w:r>
            <w:r w:rsidR="00EB67E5">
              <w:rPr>
                <w:rFonts w:asciiTheme="majorHAnsi" w:eastAsia="Calibri" w:hAnsiTheme="majorHAnsi" w:cs="Calibri"/>
                <w:color w:val="000000"/>
                <w:lang w:val="lv-LV"/>
              </w:rPr>
              <w:t xml:space="preserve">EUR </w:t>
            </w:r>
            <w:r w:rsidRPr="0019406C">
              <w:rPr>
                <w:rFonts w:asciiTheme="majorHAnsi" w:eastAsia="Calibri" w:hAnsiTheme="majorHAnsi" w:cs="Calibri"/>
                <w:color w:val="000000"/>
                <w:lang w:val="lv-LV"/>
              </w:rPr>
              <w:t>2</w:t>
            </w:r>
            <w:r w:rsidR="00EB67E5">
              <w:rPr>
                <w:rFonts w:asciiTheme="majorHAnsi" w:eastAsia="Calibri" w:hAnsiTheme="majorHAnsi" w:cs="Calibri"/>
                <w:color w:val="000000"/>
                <w:lang w:val="lv-LV"/>
              </w:rPr>
              <w:t xml:space="preserve"> 800</w:t>
            </w:r>
            <w:r w:rsidRPr="0019406C">
              <w:rPr>
                <w:rFonts w:asciiTheme="majorHAnsi" w:eastAsia="Calibri" w:hAnsiTheme="majorHAnsi" w:cs="Calibri"/>
                <w:color w:val="000000"/>
                <w:lang w:val="lv-LV"/>
              </w:rPr>
              <w:t xml:space="preserve">. Iesakām izvērtēt iespēju atcelt uzņēmumu reģistrēšanas ierobežojumus uzņēmumiem ar pamatkapitālu zemāku par </w:t>
            </w:r>
            <w:r w:rsidR="00EB67E5">
              <w:rPr>
                <w:rFonts w:asciiTheme="majorHAnsi" w:eastAsia="Calibri" w:hAnsiTheme="majorHAnsi" w:cs="Calibri"/>
                <w:color w:val="000000"/>
                <w:lang w:val="lv-LV"/>
              </w:rPr>
              <w:t xml:space="preserve">EUR </w:t>
            </w:r>
            <w:r w:rsidRPr="0019406C">
              <w:rPr>
                <w:rFonts w:asciiTheme="majorHAnsi" w:eastAsia="Calibri" w:hAnsiTheme="majorHAnsi" w:cs="Calibri"/>
                <w:color w:val="000000"/>
                <w:lang w:val="lv-LV"/>
              </w:rPr>
              <w:t>2</w:t>
            </w:r>
            <w:r w:rsidR="00EB67E5">
              <w:rPr>
                <w:rFonts w:asciiTheme="majorHAnsi" w:eastAsia="Calibri" w:hAnsiTheme="majorHAnsi" w:cs="Calibri"/>
                <w:color w:val="000000"/>
                <w:lang w:val="lv-LV"/>
              </w:rPr>
              <w:t xml:space="preserve"> </w:t>
            </w:r>
            <w:r w:rsidRPr="0019406C">
              <w:rPr>
                <w:rFonts w:asciiTheme="majorHAnsi" w:eastAsia="Calibri" w:hAnsiTheme="majorHAnsi" w:cs="Calibri"/>
                <w:color w:val="000000"/>
                <w:lang w:val="lv-LV"/>
              </w:rPr>
              <w:t>800.</w:t>
            </w:r>
          </w:p>
          <w:p w:rsidR="00133928" w:rsidRPr="0019406C" w:rsidRDefault="00133928" w:rsidP="00E521EE">
            <w:pPr>
              <w:pStyle w:val="CommentText"/>
              <w:numPr>
                <w:ilvl w:val="0"/>
                <w:numId w:val="21"/>
              </w:numPr>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Atvieglot pamatkapitāla iemaksas procedūru, ja dibinātāji ir fiziskas personas, nosakot pamatkapitāla iemaksāšanas termiņu pēc uzņēmuma reģistrācijas.</w:t>
            </w:r>
          </w:p>
          <w:p w:rsidR="00133928" w:rsidRPr="0019406C" w:rsidRDefault="00133928" w:rsidP="00726BD9">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Minētie ieteikumi padarītu uzņēmuma reģistrēšanu vienkāršāku un, galvenokārt, ātrāku plašākam uzņēmēju lokam un padarītu pašu reģistrēšanas procedūru pievilcīgāku, ja uzņēmuma dibinātāji ir fiziskas personas, kā arī tas varētu potenciāli uzlabot Latvijas reitingu DB pētījumā.</w:t>
            </w:r>
          </w:p>
          <w:p w:rsidR="00133928" w:rsidRPr="0019406C" w:rsidRDefault="00133928" w:rsidP="00726BD9">
            <w:pPr>
              <w:pStyle w:val="CommentText"/>
              <w:spacing w:before="120" w:after="0" w:line="276" w:lineRule="auto"/>
              <w:jc w:val="both"/>
              <w:rPr>
                <w:rFonts w:asciiTheme="majorHAnsi" w:hAnsiTheme="majorHAnsi"/>
                <w:lang w:val="lv-LV"/>
              </w:rPr>
            </w:pPr>
            <w:r w:rsidRPr="0019406C">
              <w:rPr>
                <w:rFonts w:asciiTheme="majorHAnsi" w:hAnsiTheme="majorHAnsi"/>
                <w:lang w:val="lv-LV"/>
              </w:rPr>
              <w:t>Vienlaicīgi būtu jāapsver iespējas, kā kontrolēt pamatkapitāla daudzumu jau darbojošos uzņēmumos, iespējams, nosakot noteiktas prasības, kas jāievēro attiecībā uz pamatkapitāla lielumu, lai aizsargātu investoru intereses.</w:t>
            </w:r>
          </w:p>
        </w:tc>
        <w:tc>
          <w:tcPr>
            <w:tcW w:w="1701" w:type="dxa"/>
            <w:shd w:val="clear" w:color="auto" w:fill="auto"/>
          </w:tcPr>
          <w:p w:rsidR="00133928" w:rsidRPr="0019406C" w:rsidRDefault="00133928" w:rsidP="00726BD9">
            <w:pPr>
              <w:spacing w:before="120" w:after="0" w:line="276" w:lineRule="auto"/>
              <w:rPr>
                <w:rFonts w:asciiTheme="majorHAnsi" w:hAnsiTheme="majorHAnsi"/>
                <w:lang w:val="lv-LV"/>
              </w:rPr>
            </w:pPr>
          </w:p>
        </w:tc>
        <w:tc>
          <w:tcPr>
            <w:tcW w:w="1559" w:type="dxa"/>
            <w:shd w:val="clear" w:color="auto" w:fill="auto"/>
          </w:tcPr>
          <w:p w:rsidR="00133928" w:rsidRPr="0019406C" w:rsidRDefault="00133928" w:rsidP="00726BD9">
            <w:pPr>
              <w:spacing w:before="120" w:after="0" w:line="276" w:lineRule="auto"/>
              <w:rPr>
                <w:rFonts w:asciiTheme="majorHAnsi" w:hAnsiTheme="majorHAnsi"/>
                <w:highlight w:val="yellow"/>
                <w:lang w:val="lv-LV"/>
              </w:rPr>
            </w:pPr>
          </w:p>
        </w:tc>
        <w:tc>
          <w:tcPr>
            <w:tcW w:w="4253" w:type="dxa"/>
            <w:shd w:val="clear" w:color="auto" w:fill="auto"/>
          </w:tcPr>
          <w:p w:rsidR="00133928" w:rsidRPr="0019406C" w:rsidRDefault="00133928" w:rsidP="00E521EE">
            <w:pPr>
              <w:pStyle w:val="BodyText"/>
              <w:numPr>
                <w:ilvl w:val="0"/>
                <w:numId w:val="24"/>
              </w:numPr>
              <w:spacing w:line="276" w:lineRule="auto"/>
              <w:jc w:val="both"/>
              <w:rPr>
                <w:rFonts w:asciiTheme="majorHAnsi" w:hAnsiTheme="majorHAnsi"/>
                <w:lang w:val="lv-LV"/>
              </w:rPr>
            </w:pPr>
            <w:r w:rsidRPr="0019406C">
              <w:rPr>
                <w:rFonts w:asciiTheme="majorHAnsi" w:hAnsiTheme="majorHAnsi"/>
                <w:lang w:val="lv-LV"/>
              </w:rPr>
              <w:t xml:space="preserve">Likvidēt  prasību par pamatkapitāla iemaksāšanu (nodrošināšanu)  SIA ar pamatkapitālu </w:t>
            </w:r>
            <w:r w:rsidR="0019406C" w:rsidRPr="0019406C">
              <w:rPr>
                <w:rFonts w:asciiTheme="majorHAnsi" w:hAnsiTheme="majorHAnsi"/>
                <w:lang w:val="lv-LV"/>
              </w:rPr>
              <w:t xml:space="preserve">EUR </w:t>
            </w:r>
            <w:r w:rsidRPr="0019406C">
              <w:rPr>
                <w:rFonts w:asciiTheme="majorHAnsi" w:hAnsiTheme="majorHAnsi"/>
                <w:lang w:val="lv-LV"/>
              </w:rPr>
              <w:t>2</w:t>
            </w:r>
            <w:r w:rsidR="0019406C" w:rsidRPr="0019406C">
              <w:rPr>
                <w:rFonts w:asciiTheme="majorHAnsi" w:hAnsiTheme="majorHAnsi"/>
                <w:lang w:val="lv-LV"/>
              </w:rPr>
              <w:t xml:space="preserve"> </w:t>
            </w:r>
            <w:r w:rsidRPr="0019406C">
              <w:rPr>
                <w:rFonts w:asciiTheme="majorHAnsi" w:hAnsiTheme="majorHAnsi"/>
                <w:lang w:val="lv-LV"/>
              </w:rPr>
              <w:t xml:space="preserve">800 reģistrācijas brīdī, tā vietā nosakot pamatkapitāla iemaksu gadījumā, ja uzņēmuma īpašnieki vēlas saņemt dividendes, līdzīgi, kā tas ir noteikts Igaunijā. Tāpat, lai aizsargātu kreditorus, nepieciešams veidot pieeju, ka pastāvīgi tiek sekots līdzi, vai uzņēmumā notiek būtiskas izmaiņas (piemēram, akcionāru skaits, biznesa veids, lielas apgrozījuma izmaiņas, pašu kapitāla  izmaiņas </w:t>
            </w:r>
            <w:proofErr w:type="spellStart"/>
            <w:r w:rsidRPr="0019406C">
              <w:rPr>
                <w:rFonts w:asciiTheme="majorHAnsi" w:hAnsiTheme="majorHAnsi"/>
                <w:lang w:val="lv-LV"/>
              </w:rPr>
              <w:t>utt</w:t>
            </w:r>
            <w:proofErr w:type="spellEnd"/>
            <w:r w:rsidRPr="0019406C">
              <w:rPr>
                <w:rFonts w:asciiTheme="majorHAnsi" w:hAnsiTheme="majorHAnsi"/>
                <w:lang w:val="lv-LV"/>
              </w:rPr>
              <w:t>.) – attiecīgi šādos gadījumos būtu jānosaka normatīvajos aktos konkrētas prasības pamatkapitāla palielināšanai.</w:t>
            </w:r>
          </w:p>
          <w:p w:rsidR="00133928" w:rsidRPr="0019406C" w:rsidRDefault="00133928" w:rsidP="00E521EE">
            <w:pPr>
              <w:pStyle w:val="CommentText"/>
              <w:numPr>
                <w:ilvl w:val="0"/>
                <w:numId w:val="24"/>
              </w:numPr>
              <w:tabs>
                <w:tab w:val="left" w:pos="305"/>
              </w:tabs>
              <w:spacing w:before="120" w:after="0" w:line="276" w:lineRule="auto"/>
              <w:jc w:val="both"/>
              <w:rPr>
                <w:rFonts w:asciiTheme="majorHAnsi" w:hAnsiTheme="majorHAnsi"/>
                <w:color w:val="000000"/>
                <w:lang w:val="lv-LV"/>
              </w:rPr>
            </w:pPr>
            <w:r w:rsidRPr="0019406C">
              <w:rPr>
                <w:rFonts w:asciiTheme="majorHAnsi" w:hAnsiTheme="majorHAnsi"/>
                <w:color w:val="000000"/>
                <w:lang w:val="lv-LV"/>
              </w:rPr>
              <w:lastRenderedPageBreak/>
              <w:t xml:space="preserve">Izvērtēt iespēju atlikt pamatkapitāla iemaksu </w:t>
            </w:r>
            <w:r w:rsidRPr="0019406C">
              <w:rPr>
                <w:rFonts w:asciiTheme="majorHAnsi" w:hAnsiTheme="majorHAnsi"/>
                <w:b/>
                <w:color w:val="000000"/>
                <w:lang w:val="lv-LV"/>
              </w:rPr>
              <w:t>visiem</w:t>
            </w:r>
            <w:r w:rsidRPr="0019406C">
              <w:rPr>
                <w:rFonts w:asciiTheme="majorHAnsi" w:hAnsiTheme="majorHAnsi"/>
                <w:color w:val="000000"/>
                <w:lang w:val="lv-LV"/>
              </w:rPr>
              <w:t xml:space="preserve"> uzņēmumiem, tādējādi pārceļot bankas konta atvēršanas procedūru pēc uzņēmuma reģistrācijas veikšanas.</w:t>
            </w:r>
          </w:p>
          <w:p w:rsidR="00133928" w:rsidRPr="0019406C" w:rsidRDefault="00133928" w:rsidP="00726BD9">
            <w:pPr>
              <w:pStyle w:val="BodyText"/>
              <w:spacing w:line="276" w:lineRule="auto"/>
              <w:ind w:left="417"/>
              <w:jc w:val="both"/>
              <w:rPr>
                <w:rFonts w:asciiTheme="majorHAnsi" w:hAnsiTheme="majorHAnsi"/>
                <w:lang w:val="lv-LV"/>
              </w:rPr>
            </w:pPr>
          </w:p>
          <w:p w:rsidR="00133928" w:rsidRPr="0019406C" w:rsidRDefault="00133928" w:rsidP="00726BD9">
            <w:pPr>
              <w:pStyle w:val="CommentText"/>
              <w:tabs>
                <w:tab w:val="left" w:pos="305"/>
              </w:tabs>
              <w:spacing w:before="120" w:after="0" w:line="276" w:lineRule="auto"/>
              <w:ind w:left="777"/>
              <w:jc w:val="both"/>
              <w:rPr>
                <w:rFonts w:asciiTheme="majorHAnsi" w:hAnsiTheme="majorHAnsi"/>
                <w:color w:val="000000"/>
                <w:lang w:val="lv-LV"/>
              </w:rPr>
            </w:pPr>
          </w:p>
        </w:tc>
        <w:tc>
          <w:tcPr>
            <w:tcW w:w="2126" w:type="dxa"/>
          </w:tcPr>
          <w:p w:rsidR="00133928" w:rsidRPr="0019406C" w:rsidRDefault="00133928" w:rsidP="00726BD9">
            <w:pPr>
              <w:spacing w:before="120" w:after="0" w:line="276" w:lineRule="auto"/>
              <w:rPr>
                <w:rFonts w:asciiTheme="majorHAnsi" w:hAnsiTheme="majorHAnsi"/>
                <w:lang w:val="lv-LV"/>
              </w:rPr>
            </w:pPr>
          </w:p>
        </w:tc>
      </w:tr>
      <w:tr w:rsidR="00133928" w:rsidRPr="00BB0049" w:rsidTr="00726BD9">
        <w:tc>
          <w:tcPr>
            <w:tcW w:w="5495" w:type="dxa"/>
            <w:shd w:val="clear" w:color="auto" w:fill="auto"/>
          </w:tcPr>
          <w:p w:rsidR="00133928" w:rsidRPr="0019406C" w:rsidRDefault="00AF6EDE" w:rsidP="00E521EE">
            <w:pPr>
              <w:pStyle w:val="ListParagraph"/>
              <w:numPr>
                <w:ilvl w:val="1"/>
                <w:numId w:val="20"/>
              </w:numPr>
              <w:spacing w:line="276" w:lineRule="auto"/>
              <w:rPr>
                <w:rFonts w:asciiTheme="majorHAnsi" w:eastAsia="Calibri" w:hAnsiTheme="majorHAnsi" w:cs="Calibri"/>
                <w:b/>
                <w:color w:val="000000"/>
                <w:sz w:val="20"/>
                <w:lang w:val="lv-LV"/>
              </w:rPr>
            </w:pPr>
            <w:r w:rsidRPr="0019406C">
              <w:rPr>
                <w:rFonts w:asciiTheme="majorHAnsi" w:eastAsia="Calibri" w:hAnsiTheme="majorHAnsi" w:cs="Calibri"/>
                <w:b/>
                <w:color w:val="000000"/>
                <w:sz w:val="20"/>
                <w:lang w:val="lv-LV"/>
              </w:rPr>
              <w:lastRenderedPageBreak/>
              <w:t xml:space="preserve"> </w:t>
            </w:r>
            <w:r w:rsidR="00133928" w:rsidRPr="0019406C">
              <w:rPr>
                <w:rFonts w:asciiTheme="majorHAnsi" w:eastAsia="Calibri" w:hAnsiTheme="majorHAnsi" w:cs="Calibri"/>
                <w:b/>
                <w:color w:val="000000"/>
                <w:sz w:val="20"/>
                <w:lang w:val="lv-LV"/>
              </w:rPr>
              <w:t xml:space="preserve">Sadarbības veicināšana informācijas apmaiņā starp valsts iestādēm </w:t>
            </w:r>
          </w:p>
          <w:p w:rsidR="00133928" w:rsidRPr="0019406C" w:rsidRDefault="00133928" w:rsidP="00726BD9">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 xml:space="preserve">Sadarbības veicināšana informācijas apmaiņā starp valsts iestādēm var uzlabot uzņēmumu reģistrēšanas ātrumu, kā arī samazināt procedūru skaitu. No uzņēmumu aptaujas var secināt, ka Latvijā pēdējos gados uzņēmumu reģistrācijas </w:t>
            </w:r>
            <w:r w:rsidRPr="0019406C">
              <w:rPr>
                <w:rFonts w:asciiTheme="majorHAnsi" w:eastAsia="Calibri" w:hAnsiTheme="majorHAnsi" w:cs="Calibri"/>
                <w:color w:val="000000"/>
                <w:lang w:val="lv-LV"/>
              </w:rPr>
              <w:lastRenderedPageBreak/>
              <w:t>procedūra ir uzlabojusies, reģistrācijai nepieciešamo dienu skaitam samazinoties no 14,3 dienām 2011. gadā uz 9 dienām 2014. gadā, taču salīdzinot rezultātu ar DB pētījumā apskatītajām konkurējošajām valstīm, Latvija vēl atpaliek uzņēmējdarbības reģistrācijas ātruma ziņā.</w:t>
            </w:r>
          </w:p>
          <w:p w:rsidR="00133928" w:rsidRPr="0019406C" w:rsidRDefault="00133928" w:rsidP="00726BD9">
            <w:pPr>
              <w:pStyle w:val="CommentText"/>
              <w:spacing w:before="120" w:after="0" w:line="276" w:lineRule="auto"/>
              <w:jc w:val="both"/>
              <w:rPr>
                <w:rFonts w:asciiTheme="majorHAnsi" w:eastAsia="Calibri" w:hAnsiTheme="majorHAnsi" w:cs="Calibri"/>
                <w:color w:val="000000"/>
                <w:highlight w:val="yellow"/>
                <w:lang w:val="lv-LV"/>
              </w:rPr>
            </w:pPr>
            <w:r w:rsidRPr="0019406C">
              <w:rPr>
                <w:rFonts w:asciiTheme="majorHAnsi" w:eastAsia="Calibri" w:hAnsiTheme="majorHAnsi" w:cs="Calibri"/>
                <w:color w:val="000000"/>
                <w:lang w:val="lv-LV"/>
              </w:rPr>
              <w:t>Lai atvieglotu uzņēmumu reģistrāciju, starp UR un VID jau šobrīd tiek nodrošināta savstarpēja datu apmaiņa. Reģistrējot jaunu komersantu UR, tas tiek reģistrēts nodokļu maksātāju sistēmā VID, kā arī ir iespēja iesniegt pieteikumu reģistrācijai PVN maksātāju reģistrā.</w:t>
            </w:r>
            <w:r w:rsidR="0019406C" w:rsidRPr="0019406C">
              <w:rPr>
                <w:rFonts w:asciiTheme="majorHAnsi" w:eastAsia="Calibri" w:hAnsiTheme="majorHAnsi" w:cs="Calibri"/>
                <w:color w:val="000000"/>
                <w:lang w:val="lv-LV"/>
              </w:rPr>
              <w:t xml:space="preserve"> </w:t>
            </w:r>
            <w:r w:rsidRPr="0019406C">
              <w:rPr>
                <w:rFonts w:asciiTheme="majorHAnsi" w:eastAsia="Calibri" w:hAnsiTheme="majorHAnsi" w:cs="Calibri"/>
                <w:color w:val="000000"/>
                <w:lang w:val="lv-LV"/>
              </w:rPr>
              <w:t xml:space="preserve">Pēc Doing Business pētījuma rezultātiem secinām, ka </w:t>
            </w:r>
            <w:r w:rsidRPr="0019406C">
              <w:rPr>
                <w:rFonts w:asciiTheme="majorHAnsi" w:hAnsiTheme="majorHAnsi"/>
                <w:lang w:val="lv-LV"/>
              </w:rPr>
              <w:t>PVN maksātāja reģistrācija VID aizņem vislielāko dienu skaitu uzņēmumu reģistrēšanās procesā. Lai arī no uzņēmēju aptaujas viedokļa, PVN maksātāja reģistrācija VID aizņem vien 3,3 dienas, tā tomēr ir atsevišķa procedūra, kas prasa papildu laiku uzņēmējiem. Tādēļ būtu jātiecas uz šo procesu apvienošanu, lai uzņēmējiem reģistrācija VID neprasītu papildus procedūras un laiku, ja PVN reģistrācija tiek veikta reizē ar uzņēmuma reģistrāciju.</w:t>
            </w:r>
          </w:p>
          <w:p w:rsidR="00133928" w:rsidRPr="0019406C" w:rsidRDefault="00133928" w:rsidP="00726BD9">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Papildus, pēc UR sniegtās informācijas, UR saņem regulārus zvanus ikdienā saistībā ar kādiem nodokļiem un atskaitēm uzņēmējiem ir jārēķinās. UR konsultantiem nav kompetences sniegt šādas konsultācijas un tādējādi tiek lieki noslogoti UR resursi. Uzņēmēji arī nesaņem gaidītās atbildes. Lai arī šobrīd jau tiek organizēta sadarbība starp UR un VID, tiek veikta regulāra datu apmaiņa, uzņēmējiem, kuri reģistrējas PVN reģistrā vai slēdz EDS līgumu, ja tie neizmanto e-pakalpojumu, ir jādodas uz VID pēc uzņēmuma reģistrācijas, tādējādi paildzinot uzņēmumu reģistrācijas procesu.</w:t>
            </w:r>
          </w:p>
          <w:p w:rsidR="00133928" w:rsidRPr="0019406C" w:rsidRDefault="00133928" w:rsidP="00726BD9">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 xml:space="preserve">Turpmāka sadarbība starp UR un VID jāorganizē, tā, lai UR pēc iespējas vairāk pārņemtu VID reģistrācijas informācijas datu savākšanas funkcijas, tādējādi izslēdzot uzņēmējiem </w:t>
            </w:r>
            <w:r w:rsidRPr="0019406C">
              <w:rPr>
                <w:rFonts w:asciiTheme="majorHAnsi" w:eastAsia="Calibri" w:hAnsiTheme="majorHAnsi" w:cs="Calibri"/>
                <w:color w:val="000000"/>
                <w:lang w:val="lv-LV"/>
              </w:rPr>
              <w:lastRenderedPageBreak/>
              <w:t>nepieciešamību apmeklēt VID atsevišķi vai nepieciešamību iesniegt vairākus atsevišķus dokumentus elektroniski.</w:t>
            </w:r>
          </w:p>
          <w:p w:rsidR="00133928" w:rsidRPr="0019406C" w:rsidRDefault="00133928" w:rsidP="00726BD9">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 xml:space="preserve">Iesakām izvērtēt informāciju, kādu UR varētu papildus saņemt no uzņēmējiem reģistrācijas brīdī, lai uzņēmējiem nebūtu jādodas uz VID, tādējādi samazinot uzņēmējiem reģistrācijas laiku un procedūru skaitu. </w:t>
            </w:r>
          </w:p>
          <w:p w:rsidR="00133928" w:rsidRPr="0019406C" w:rsidRDefault="00133928" w:rsidP="00726BD9">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Palielinot informācijas apjomu, ko apstrādā UR, jāpievērš uzmanība arī šīs informācijas apmaiņai starp abām iestādēm, lai tā notiktu efektīvi (tiešsaistē). Jāapsver vienota e-pakalpojuma izstrāde vai e-pakalpojumā iegūto datu automātiska apmaiņa.</w:t>
            </w:r>
          </w:p>
          <w:p w:rsidR="00133928" w:rsidRPr="0019406C" w:rsidRDefault="00133928" w:rsidP="00726BD9">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 xml:space="preserve">Minētie uzlabojumi būtiski samazinātu laiku, kas jāpatērē uzņēmējam apmeklējot VID vai aizpildot atsevišķas veidlapas elektroniski. </w:t>
            </w:r>
          </w:p>
          <w:p w:rsidR="00133928" w:rsidRPr="0019406C" w:rsidRDefault="00133928" w:rsidP="00726BD9">
            <w:pPr>
              <w:spacing w:line="276" w:lineRule="auto"/>
              <w:rPr>
                <w:rFonts w:asciiTheme="majorHAnsi" w:eastAsia="Calibri" w:hAnsiTheme="majorHAnsi" w:cs="Calibri"/>
                <w:b/>
                <w:color w:val="000000"/>
                <w:lang w:val="lv-LV"/>
              </w:rPr>
            </w:pPr>
          </w:p>
        </w:tc>
        <w:tc>
          <w:tcPr>
            <w:tcW w:w="1701" w:type="dxa"/>
            <w:shd w:val="clear" w:color="auto" w:fill="auto"/>
          </w:tcPr>
          <w:p w:rsidR="00133928" w:rsidRPr="0019406C" w:rsidRDefault="00133928" w:rsidP="00726BD9">
            <w:pPr>
              <w:pStyle w:val="CommentText"/>
              <w:spacing w:before="120" w:after="0" w:line="276" w:lineRule="auto"/>
              <w:jc w:val="both"/>
              <w:rPr>
                <w:rFonts w:asciiTheme="majorHAnsi" w:hAnsiTheme="majorHAnsi"/>
                <w:lang w:val="lv-LV"/>
              </w:rPr>
            </w:pPr>
          </w:p>
        </w:tc>
        <w:tc>
          <w:tcPr>
            <w:tcW w:w="1559" w:type="dxa"/>
            <w:shd w:val="clear" w:color="auto" w:fill="auto"/>
          </w:tcPr>
          <w:p w:rsidR="00133928" w:rsidRPr="0019406C" w:rsidRDefault="00133928" w:rsidP="00726BD9">
            <w:pPr>
              <w:spacing w:before="120" w:after="0" w:line="276" w:lineRule="auto"/>
              <w:rPr>
                <w:rFonts w:asciiTheme="majorHAnsi" w:hAnsiTheme="majorHAnsi"/>
                <w:color w:val="000000"/>
                <w:lang w:val="lv-LV"/>
              </w:rPr>
            </w:pPr>
          </w:p>
        </w:tc>
        <w:tc>
          <w:tcPr>
            <w:tcW w:w="4253" w:type="dxa"/>
            <w:shd w:val="clear" w:color="auto" w:fill="auto"/>
          </w:tcPr>
          <w:p w:rsidR="00133928" w:rsidRPr="0019406C" w:rsidRDefault="00133928" w:rsidP="00E521EE">
            <w:pPr>
              <w:pStyle w:val="CommentText"/>
              <w:numPr>
                <w:ilvl w:val="0"/>
                <w:numId w:val="53"/>
              </w:numPr>
              <w:tabs>
                <w:tab w:val="left" w:pos="459"/>
              </w:tabs>
              <w:spacing w:before="120" w:after="0" w:line="276" w:lineRule="auto"/>
              <w:jc w:val="both"/>
              <w:rPr>
                <w:rFonts w:asciiTheme="majorHAnsi" w:hAnsiTheme="majorHAnsi"/>
                <w:color w:val="000000"/>
                <w:lang w:val="lv-LV"/>
              </w:rPr>
            </w:pPr>
            <w:r w:rsidRPr="0019406C">
              <w:rPr>
                <w:rFonts w:asciiTheme="majorHAnsi" w:hAnsiTheme="majorHAnsi"/>
                <w:color w:val="000000"/>
                <w:lang w:val="lv-LV"/>
              </w:rPr>
              <w:t xml:space="preserve">Pilnveidot pakalpojumu, kas paredz uzņēmuma reģistrācijas laikā UR reģistrēt arī nodokļu maksātāju VID. Būtiski nodrošināt elektronisku informācijas apmaiņu starp UR un VID šī pakalpojuma ietvaros (vienas </w:t>
            </w:r>
            <w:r w:rsidRPr="0019406C">
              <w:rPr>
                <w:rFonts w:asciiTheme="majorHAnsi" w:hAnsiTheme="majorHAnsi"/>
                <w:color w:val="000000"/>
                <w:lang w:val="lv-LV"/>
              </w:rPr>
              <w:lastRenderedPageBreak/>
              <w:t>pieturas aģentūras princips). Tāpat būtu jāizskata iespēja šo pakalpojumu realizēt kā e-pakalpojumu.</w:t>
            </w:r>
          </w:p>
          <w:p w:rsidR="00133928" w:rsidRPr="0019406C" w:rsidRDefault="00133928" w:rsidP="00726BD9">
            <w:pPr>
              <w:spacing w:before="120" w:after="0" w:line="276" w:lineRule="auto"/>
              <w:rPr>
                <w:rFonts w:asciiTheme="majorHAnsi" w:hAnsiTheme="majorHAnsi"/>
                <w:color w:val="000000"/>
                <w:lang w:val="lv-LV"/>
              </w:rPr>
            </w:pPr>
          </w:p>
        </w:tc>
        <w:tc>
          <w:tcPr>
            <w:tcW w:w="2126" w:type="dxa"/>
          </w:tcPr>
          <w:p w:rsidR="00133928" w:rsidRPr="0019406C" w:rsidRDefault="00133928" w:rsidP="00726BD9">
            <w:pPr>
              <w:pStyle w:val="CommentText"/>
              <w:spacing w:before="120" w:after="0" w:line="276" w:lineRule="auto"/>
              <w:jc w:val="both"/>
              <w:rPr>
                <w:rFonts w:asciiTheme="majorHAnsi" w:hAnsiTheme="majorHAnsi" w:cs="Times New Roman"/>
                <w:lang w:val="lv-LV"/>
              </w:rPr>
            </w:pPr>
          </w:p>
        </w:tc>
      </w:tr>
      <w:tr w:rsidR="00133928" w:rsidRPr="0019406C" w:rsidTr="00133928">
        <w:tc>
          <w:tcPr>
            <w:tcW w:w="5495" w:type="dxa"/>
            <w:shd w:val="clear" w:color="auto" w:fill="EEECE1"/>
            <w:vAlign w:val="center"/>
          </w:tcPr>
          <w:p w:rsidR="00133928" w:rsidRPr="0019406C" w:rsidRDefault="00133928" w:rsidP="00726BD9">
            <w:pPr>
              <w:spacing w:before="120" w:after="120" w:line="276" w:lineRule="auto"/>
              <w:rPr>
                <w:rFonts w:asciiTheme="majorHAnsi" w:eastAsia="Times New Roman" w:hAnsiTheme="majorHAnsi"/>
                <w:b/>
                <w:bCs/>
                <w:color w:val="000000"/>
                <w:lang w:val="lv-LV" w:eastAsia="lv-LV"/>
              </w:rPr>
            </w:pPr>
            <w:r w:rsidRPr="0019406C">
              <w:rPr>
                <w:rFonts w:asciiTheme="majorHAnsi" w:eastAsia="Times New Roman" w:hAnsiTheme="majorHAnsi"/>
                <w:b/>
                <w:bCs/>
                <w:color w:val="000000"/>
                <w:lang w:val="lv-LV" w:eastAsia="lv-LV"/>
              </w:rPr>
              <w:lastRenderedPageBreak/>
              <w:t>Rīcības virziens mērķa sasniegšanai:</w:t>
            </w:r>
          </w:p>
        </w:tc>
        <w:tc>
          <w:tcPr>
            <w:tcW w:w="9639" w:type="dxa"/>
            <w:gridSpan w:val="4"/>
            <w:shd w:val="clear" w:color="auto" w:fill="EEECE1"/>
          </w:tcPr>
          <w:p w:rsidR="00133928" w:rsidRPr="0019406C" w:rsidRDefault="00FD6207" w:rsidP="00726BD9">
            <w:pPr>
              <w:spacing w:before="120" w:after="120" w:line="276" w:lineRule="auto"/>
              <w:rPr>
                <w:rFonts w:asciiTheme="majorHAnsi" w:eastAsia="Times New Roman" w:hAnsiTheme="majorHAnsi"/>
                <w:b/>
                <w:bCs/>
                <w:color w:val="000000"/>
                <w:lang w:val="lv-LV" w:eastAsia="lv-LV"/>
              </w:rPr>
            </w:pPr>
            <w:r w:rsidRPr="0019406C">
              <w:rPr>
                <w:rFonts w:asciiTheme="majorHAnsi" w:eastAsia="Times New Roman" w:hAnsiTheme="majorHAnsi"/>
                <w:b/>
                <w:bCs/>
                <w:color w:val="000000"/>
                <w:lang w:val="lv-LV" w:eastAsia="lv-LV"/>
              </w:rPr>
              <w:t>2</w:t>
            </w:r>
            <w:r w:rsidR="00133928" w:rsidRPr="0019406C">
              <w:rPr>
                <w:rFonts w:asciiTheme="majorHAnsi" w:eastAsia="Times New Roman" w:hAnsiTheme="majorHAnsi"/>
                <w:b/>
                <w:bCs/>
                <w:color w:val="000000"/>
                <w:lang w:val="lv-LV" w:eastAsia="lv-LV"/>
              </w:rPr>
              <w:t xml:space="preserve">. </w:t>
            </w:r>
            <w:r w:rsidR="00133928" w:rsidRPr="0019406C">
              <w:rPr>
                <w:rFonts w:asciiTheme="majorHAnsi" w:hAnsiTheme="majorHAnsi"/>
                <w:lang w:val="lv-LV"/>
              </w:rPr>
              <w:t xml:space="preserve"> </w:t>
            </w:r>
            <w:r w:rsidR="00133928" w:rsidRPr="0019406C">
              <w:rPr>
                <w:rFonts w:asciiTheme="majorHAnsi" w:eastAsia="Times New Roman" w:hAnsiTheme="majorHAnsi"/>
                <w:b/>
                <w:bCs/>
                <w:color w:val="000000"/>
                <w:lang w:val="lv-LV" w:eastAsia="lv-LV"/>
              </w:rPr>
              <w:t>Nodokļu administrēšana</w:t>
            </w:r>
            <w:r w:rsidR="00133928" w:rsidRPr="0019406C">
              <w:rPr>
                <w:rFonts w:asciiTheme="majorHAnsi" w:eastAsia="Times New Roman" w:hAnsiTheme="majorHAnsi"/>
                <w:b/>
                <w:bCs/>
                <w:color w:val="000000"/>
                <w:lang w:val="lv-LV" w:eastAsia="lv-LV"/>
              </w:rPr>
              <w:tab/>
            </w:r>
          </w:p>
        </w:tc>
      </w:tr>
      <w:tr w:rsidR="00133928" w:rsidRPr="00BB0049" w:rsidTr="00133928">
        <w:tc>
          <w:tcPr>
            <w:tcW w:w="5495" w:type="dxa"/>
            <w:shd w:val="clear" w:color="auto" w:fill="auto"/>
          </w:tcPr>
          <w:p w:rsidR="00133928" w:rsidRPr="0019406C" w:rsidRDefault="00FD6207" w:rsidP="00726BD9">
            <w:pPr>
              <w:pStyle w:val="CommentText"/>
              <w:spacing w:before="120" w:after="0" w:line="276" w:lineRule="auto"/>
              <w:ind w:left="567" w:hanging="567"/>
              <w:jc w:val="both"/>
              <w:rPr>
                <w:rFonts w:asciiTheme="majorHAnsi" w:eastAsia="Calibri" w:hAnsiTheme="majorHAnsi" w:cs="Calibri"/>
                <w:b/>
                <w:color w:val="000000"/>
                <w:lang w:val="lv-LV"/>
              </w:rPr>
            </w:pPr>
            <w:r w:rsidRPr="0019406C">
              <w:rPr>
                <w:rFonts w:asciiTheme="majorHAnsi" w:eastAsia="Calibri" w:hAnsiTheme="majorHAnsi" w:cs="Calibri"/>
                <w:b/>
                <w:color w:val="000000"/>
                <w:lang w:val="lv-LV"/>
              </w:rPr>
              <w:t>2</w:t>
            </w:r>
            <w:r w:rsidR="00133928" w:rsidRPr="0019406C">
              <w:rPr>
                <w:rFonts w:asciiTheme="majorHAnsi" w:eastAsia="Calibri" w:hAnsiTheme="majorHAnsi" w:cs="Calibri"/>
                <w:b/>
                <w:color w:val="000000"/>
                <w:lang w:val="lv-LV"/>
              </w:rPr>
              <w:t xml:space="preserve">.1. Materialitātes termina ieviešana normatīvajos aktos </w:t>
            </w:r>
          </w:p>
          <w:p w:rsidR="00133928" w:rsidRPr="0019406C" w:rsidRDefault="00133928" w:rsidP="00726BD9">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 xml:space="preserve">Pašlaik valstī nav definēts materialitātes līmenis, pie kura ir/nav vērts norādīt komersantam veikt korekcijas komersanta informācijā/darbībā. Attiecīgi valstī tiek tērēti apjomīgi resursi gan no komersantu puses, gan no institūciju puses, lai labotu nebūtiskas neprecizitātes. Atbilstoši uzņēmēju aptaujai 72,6% aptaujāto atzīst, ka </w:t>
            </w:r>
            <w:r w:rsidRPr="0019406C">
              <w:rPr>
                <w:lang w:val="lv-LV"/>
              </w:rPr>
              <w:t xml:space="preserve"> </w:t>
            </w:r>
            <w:r w:rsidRPr="0019406C">
              <w:rPr>
                <w:rFonts w:asciiTheme="majorHAnsi" w:eastAsia="Calibri" w:hAnsiTheme="majorHAnsi" w:cs="Calibri"/>
                <w:color w:val="000000"/>
                <w:lang w:val="lv-LV"/>
              </w:rPr>
              <w:t xml:space="preserve">ar nodokļu administrēšanu saistītās problēmas rada šķēršļus uzņēmuma darbībā. Viens no iespējamajiem šī drauda novēršanas risinājumiem ir iespēja normatīvajos aktos iestrādāt materialitātes terminu, piemēram, nosakot izmaksu līmeni, pie kura precizējošas darbības no komersantu puses netiek pieprasītas. Materialitātes </w:t>
            </w:r>
            <w:r w:rsidRPr="0019406C">
              <w:rPr>
                <w:rFonts w:asciiTheme="majorHAnsi" w:eastAsia="Calibri" w:hAnsiTheme="majorHAnsi" w:cs="Calibri"/>
                <w:color w:val="000000"/>
                <w:lang w:val="lv-LV"/>
              </w:rPr>
              <w:lastRenderedPageBreak/>
              <w:t xml:space="preserve">termins nozīmē, ka, valsts un komersantu izmaksas informācijas pieprasīšanai un sniegšanai nedrīkst būt vienādas vai apjomīgākas kā potenciālie ieguvumi. Piemēram, ka uzņēmumam netiek lūgts precizēt atskaiti par vērtību, kas zemāka par 1 eiro, ja tas VID darbiniekam prasa ieguldīt laiku, kura izmaksas, iekļaujot visas VID izmaksas, pārsniedz </w:t>
            </w:r>
            <w:r w:rsidR="00EB67E5">
              <w:rPr>
                <w:rFonts w:asciiTheme="majorHAnsi" w:eastAsia="Calibri" w:hAnsiTheme="majorHAnsi" w:cs="Calibri"/>
                <w:color w:val="000000"/>
                <w:lang w:val="lv-LV"/>
              </w:rPr>
              <w:t>EUR 1</w:t>
            </w:r>
            <w:r w:rsidRPr="0019406C">
              <w:rPr>
                <w:rFonts w:asciiTheme="majorHAnsi" w:eastAsia="Calibri" w:hAnsiTheme="majorHAnsi" w:cs="Calibri"/>
                <w:color w:val="000000"/>
                <w:lang w:val="lv-LV"/>
              </w:rPr>
              <w:t>. Izņēmums varētu būt vien situācijas, kad datu kvalitāte un atbilstība ir kritiska.</w:t>
            </w:r>
          </w:p>
          <w:p w:rsidR="00133928" w:rsidRPr="0019406C" w:rsidRDefault="00133928" w:rsidP="00726BD9">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Attiecībā par konkrētiem normatīvajiem aktiem, kuros šādu normu varētu ieviest, tie varētu būt nodokļu lomu regulējošie likumi, kā, piemēram, likums „Par nodokļiem un nodevām” vai likums „Par Valsts ieņēmumu dienestu” vai citi normatīvie akti, kas satur normas par iesniegto deklarāciju pārbaudi, naudas sodu aprēķinu, kā arī tiesvedības procesu ierosināšanu.</w:t>
            </w:r>
          </w:p>
          <w:p w:rsidR="00133928" w:rsidRPr="0019406C" w:rsidRDefault="00133928" w:rsidP="00726BD9">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Ieviešot šo priekšlikumu tiktu ieekonomēti kā uzņēmēju, tā VID resursi un VID varētu koncentrēties uz to uzņēmēju kontroli, kuru nodokļu parādi un neatbilstības ir vislielākās. Tas saistās arī ar FICIL norādi, ka uzsvars vairāk</w:t>
            </w:r>
            <w:r w:rsidRPr="0019406C">
              <w:rPr>
                <w:rFonts w:asciiTheme="majorHAnsi" w:hAnsiTheme="majorHAnsi"/>
                <w:lang w:val="lv-LV"/>
              </w:rPr>
              <w:t xml:space="preserve"> būtu liekams </w:t>
            </w:r>
            <w:r w:rsidRPr="0019406C">
              <w:rPr>
                <w:rFonts w:asciiTheme="majorHAnsi" w:eastAsia="Calibri" w:hAnsiTheme="majorHAnsi" w:cs="Calibri"/>
                <w:color w:val="000000"/>
                <w:lang w:val="lv-LV"/>
              </w:rPr>
              <w:t>uz VID pārbaužu koncentrēšanu uz „ēnu” ekonomikas novēršanu un nodokļu krāpšanās gadījumu izskaušanu, ne uz regulāru „labo” uzņēmumu pārbaudīšanu.</w:t>
            </w:r>
          </w:p>
          <w:p w:rsidR="00133928" w:rsidRPr="0019406C" w:rsidRDefault="00133928" w:rsidP="00726BD9">
            <w:pPr>
              <w:pStyle w:val="CommentText"/>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Šī priekšlikuma ieviešana varētu radīt pozitīvu ietekmi uz kopējo laiku, kas nepieciešams nodokļu deklarāciju sagatavošanai un iesniegšanai, kur Latvijai salīdzinoši ir augsts patērēto stundu skaits gadā – 264 stundas. Tāpat varētu būt pozitīva ietekme uz GKI aptaujas rezultātiem, kur 15,7% procenti norādīja, ka neefektīva valdības birokrātija ir problēma uzņēmējdarbībā, bet nodokļu regulējums 10,5% rada problēmas.</w:t>
            </w:r>
          </w:p>
          <w:p w:rsidR="00133928" w:rsidRPr="0019406C" w:rsidRDefault="00133928" w:rsidP="00726BD9">
            <w:pPr>
              <w:pStyle w:val="CommentText"/>
              <w:spacing w:before="120" w:after="0" w:line="276" w:lineRule="auto"/>
              <w:jc w:val="both"/>
              <w:rPr>
                <w:rFonts w:asciiTheme="majorHAnsi" w:eastAsia="Calibri" w:hAnsiTheme="majorHAnsi" w:cs="Calibri"/>
                <w:color w:val="000000"/>
                <w:lang w:val="lv-LV"/>
              </w:rPr>
            </w:pPr>
          </w:p>
        </w:tc>
        <w:tc>
          <w:tcPr>
            <w:tcW w:w="1701" w:type="dxa"/>
            <w:shd w:val="clear" w:color="auto" w:fill="auto"/>
          </w:tcPr>
          <w:p w:rsidR="00133928" w:rsidRPr="0019406C" w:rsidRDefault="00133928" w:rsidP="00726BD9">
            <w:pPr>
              <w:pStyle w:val="CommentText"/>
              <w:spacing w:before="120" w:after="0" w:line="276" w:lineRule="auto"/>
              <w:jc w:val="both"/>
              <w:rPr>
                <w:rFonts w:asciiTheme="majorHAnsi" w:eastAsia="Calibri" w:hAnsiTheme="majorHAnsi" w:cs="Calibri"/>
                <w:color w:val="000000"/>
                <w:lang w:val="lv-LV"/>
              </w:rPr>
            </w:pPr>
          </w:p>
        </w:tc>
        <w:tc>
          <w:tcPr>
            <w:tcW w:w="1559" w:type="dxa"/>
            <w:shd w:val="clear" w:color="auto" w:fill="auto"/>
          </w:tcPr>
          <w:p w:rsidR="00133928" w:rsidRPr="0019406C" w:rsidRDefault="00133928" w:rsidP="00726BD9">
            <w:pPr>
              <w:pStyle w:val="CommentText"/>
              <w:spacing w:before="120" w:after="0" w:line="276" w:lineRule="auto"/>
              <w:jc w:val="both"/>
              <w:rPr>
                <w:rFonts w:asciiTheme="majorHAnsi" w:eastAsia="Calibri" w:hAnsiTheme="majorHAnsi" w:cs="Calibri"/>
                <w:color w:val="000000"/>
                <w:lang w:val="lv-LV"/>
              </w:rPr>
            </w:pPr>
          </w:p>
        </w:tc>
        <w:tc>
          <w:tcPr>
            <w:tcW w:w="4253" w:type="dxa"/>
            <w:shd w:val="clear" w:color="auto" w:fill="auto"/>
          </w:tcPr>
          <w:p w:rsidR="00133928" w:rsidRPr="0019406C" w:rsidRDefault="00133928" w:rsidP="00E521EE">
            <w:pPr>
              <w:pStyle w:val="CommentText"/>
              <w:numPr>
                <w:ilvl w:val="0"/>
                <w:numId w:val="54"/>
              </w:numPr>
              <w:spacing w:before="120" w:after="0" w:line="276" w:lineRule="auto"/>
              <w:ind w:left="459" w:hanging="283"/>
              <w:jc w:val="both"/>
              <w:rPr>
                <w:rFonts w:asciiTheme="majorHAnsi" w:hAnsiTheme="majorHAnsi"/>
                <w:lang w:val="lv-LV"/>
              </w:rPr>
            </w:pPr>
            <w:r w:rsidRPr="0019406C">
              <w:rPr>
                <w:rFonts w:asciiTheme="majorHAnsi" w:hAnsiTheme="majorHAnsi"/>
                <w:lang w:val="lv-LV"/>
              </w:rPr>
              <w:t>Ieviest materialitātes terminu nodokļu administrēšanā, tādejādi veicinot principa „</w:t>
            </w:r>
            <w:proofErr w:type="spellStart"/>
            <w:r w:rsidRPr="0019406C">
              <w:rPr>
                <w:rFonts w:asciiTheme="majorHAnsi" w:hAnsiTheme="majorHAnsi"/>
                <w:lang w:val="lv-LV"/>
              </w:rPr>
              <w:t>value</w:t>
            </w:r>
            <w:proofErr w:type="spellEnd"/>
            <w:r w:rsidRPr="0019406C">
              <w:rPr>
                <w:rFonts w:asciiTheme="majorHAnsi" w:hAnsiTheme="majorHAnsi"/>
                <w:lang w:val="lv-LV"/>
              </w:rPr>
              <w:t xml:space="preserve"> </w:t>
            </w:r>
            <w:proofErr w:type="spellStart"/>
            <w:r w:rsidRPr="0019406C">
              <w:rPr>
                <w:rFonts w:asciiTheme="majorHAnsi" w:hAnsiTheme="majorHAnsi"/>
                <w:lang w:val="lv-LV"/>
              </w:rPr>
              <w:t>for</w:t>
            </w:r>
            <w:proofErr w:type="spellEnd"/>
            <w:r w:rsidRPr="0019406C">
              <w:rPr>
                <w:rFonts w:asciiTheme="majorHAnsi" w:hAnsiTheme="majorHAnsi"/>
                <w:lang w:val="lv-LV"/>
              </w:rPr>
              <w:t xml:space="preserve"> </w:t>
            </w:r>
            <w:proofErr w:type="spellStart"/>
            <w:r w:rsidRPr="0019406C">
              <w:rPr>
                <w:rFonts w:asciiTheme="majorHAnsi" w:hAnsiTheme="majorHAnsi"/>
                <w:lang w:val="lv-LV"/>
              </w:rPr>
              <w:t>money</w:t>
            </w:r>
            <w:proofErr w:type="spellEnd"/>
            <w:r w:rsidRPr="0019406C">
              <w:rPr>
                <w:rFonts w:asciiTheme="majorHAnsi" w:hAnsiTheme="majorHAnsi"/>
                <w:lang w:val="lv-LV"/>
              </w:rPr>
              <w:t>” ieviešanu Latvijā, kas paredzētu, ka netiek tērēti lielāki laika un naudas resursi kā potenciāli iegūstamā vērtība.</w:t>
            </w:r>
          </w:p>
        </w:tc>
        <w:tc>
          <w:tcPr>
            <w:tcW w:w="2126" w:type="dxa"/>
          </w:tcPr>
          <w:p w:rsidR="00133928" w:rsidRPr="0019406C" w:rsidRDefault="00133928" w:rsidP="00726BD9">
            <w:pPr>
              <w:pStyle w:val="CommentText"/>
              <w:spacing w:before="120" w:after="0" w:line="276" w:lineRule="auto"/>
              <w:jc w:val="both"/>
              <w:rPr>
                <w:rFonts w:asciiTheme="majorHAnsi" w:hAnsiTheme="majorHAnsi" w:cs="Times New Roman"/>
                <w:highlight w:val="yellow"/>
                <w:lang w:val="lv-LV"/>
              </w:rPr>
            </w:pPr>
          </w:p>
        </w:tc>
      </w:tr>
      <w:tr w:rsidR="00D17EE2" w:rsidRPr="0019406C" w:rsidTr="00133928">
        <w:tc>
          <w:tcPr>
            <w:tcW w:w="5495" w:type="dxa"/>
            <w:shd w:val="clear" w:color="auto" w:fill="auto"/>
          </w:tcPr>
          <w:p w:rsidR="00D17EE2" w:rsidRPr="0019406C" w:rsidRDefault="00FD6207" w:rsidP="00D17EE2">
            <w:pPr>
              <w:pStyle w:val="CommentText"/>
              <w:spacing w:before="120" w:after="0" w:line="276" w:lineRule="auto"/>
              <w:ind w:left="709" w:hanging="709"/>
              <w:jc w:val="both"/>
              <w:rPr>
                <w:rFonts w:asciiTheme="majorHAnsi" w:hAnsiTheme="majorHAnsi" w:cs="Times New Roman"/>
                <w:b/>
                <w:lang w:val="lv-LV"/>
              </w:rPr>
            </w:pPr>
            <w:r w:rsidRPr="0019406C">
              <w:rPr>
                <w:rFonts w:asciiTheme="majorHAnsi" w:eastAsia="Calibri" w:hAnsiTheme="majorHAnsi" w:cs="Calibri"/>
                <w:b/>
                <w:color w:val="000000"/>
                <w:lang w:val="lv-LV"/>
              </w:rPr>
              <w:lastRenderedPageBreak/>
              <w:t>2</w:t>
            </w:r>
            <w:r w:rsidR="00D17EE2" w:rsidRPr="0019406C">
              <w:rPr>
                <w:rFonts w:asciiTheme="majorHAnsi" w:eastAsia="Calibri" w:hAnsiTheme="majorHAnsi" w:cs="Calibri"/>
                <w:b/>
                <w:color w:val="000000"/>
                <w:lang w:val="lv-LV"/>
              </w:rPr>
              <w:t xml:space="preserve">.2. </w:t>
            </w:r>
            <w:r w:rsidR="00D17EE2" w:rsidRPr="0019406C">
              <w:rPr>
                <w:rFonts w:asciiTheme="majorHAnsi" w:hAnsiTheme="majorHAnsi" w:cs="Times New Roman"/>
                <w:b/>
                <w:lang w:val="lv-LV"/>
              </w:rPr>
              <w:t>Vienkāršotas grāmatvedības programmas izstrāde integrācijā ar EDS (Elektroniskās deklarēšanas sistēma), kuru varētu izmantot nelieli uzņēmumi</w:t>
            </w:r>
          </w:p>
          <w:p w:rsidR="00D17EE2" w:rsidRPr="0019406C" w:rsidRDefault="00D17EE2" w:rsidP="00D17EE2">
            <w:pPr>
              <w:pStyle w:val="CommentText"/>
              <w:spacing w:before="120" w:after="0" w:line="276" w:lineRule="auto"/>
              <w:jc w:val="both"/>
              <w:rPr>
                <w:rFonts w:asciiTheme="majorHAnsi" w:hAnsiTheme="majorHAnsi" w:cs="Times New Roman"/>
                <w:lang w:val="lv-LV"/>
              </w:rPr>
            </w:pPr>
            <w:r w:rsidRPr="0019406C">
              <w:rPr>
                <w:rFonts w:asciiTheme="majorHAnsi" w:hAnsiTheme="majorHAnsi" w:cs="Times New Roman"/>
                <w:lang w:val="lv-LV"/>
              </w:rPr>
              <w:t>Balstoties uz uzņēmēju aptaujas rezultātiem, kur 34% lielo uzņēmumu EDS rada problēmas, būtu atbalstāma ar EDS integrētas grāmatvedības sistēmas ieviešana, kas nodrošinātu ātrāku un vienkāršāku pārskatu iesniegšanu VID.</w:t>
            </w:r>
          </w:p>
          <w:p w:rsidR="00D17EE2" w:rsidRPr="0019406C" w:rsidRDefault="00D17EE2" w:rsidP="00D17EE2">
            <w:pPr>
              <w:pStyle w:val="CommentText"/>
              <w:spacing w:before="120" w:after="0" w:line="276" w:lineRule="auto"/>
              <w:jc w:val="both"/>
              <w:rPr>
                <w:rFonts w:asciiTheme="majorHAnsi" w:hAnsiTheme="majorHAnsi" w:cs="Times New Roman"/>
                <w:lang w:val="lv-LV"/>
              </w:rPr>
            </w:pPr>
            <w:proofErr w:type="spellStart"/>
            <w:r w:rsidRPr="0019406C">
              <w:rPr>
                <w:rFonts w:asciiTheme="majorHAnsi" w:hAnsiTheme="majorHAnsi" w:cs="Times New Roman"/>
                <w:lang w:val="lv-LV"/>
              </w:rPr>
              <w:t>Mikrouzņēmumiem</w:t>
            </w:r>
            <w:proofErr w:type="spellEnd"/>
            <w:r w:rsidRPr="0019406C">
              <w:rPr>
                <w:rFonts w:asciiTheme="majorHAnsi" w:hAnsiTheme="majorHAnsi" w:cs="Times New Roman"/>
                <w:lang w:val="lv-LV"/>
              </w:rPr>
              <w:t xml:space="preserve"> un komersantiem, kuriem grāmatvedības un finanšu uzskaite ir vienkāršāka, salīdzinot ar maziem, vidējiem un lieliem uzņēmumiem administratīvo slogu mazinātu, ja vairs nebūtu (1) jāuztur katram sava grāmatvedības sistēma un (2) nebūtu vairs jāgatavo atskaites/pārskati VID (īpaši, ja komersantam ir maz transakciju un par tām jāveido atsevišķi pārskati/atskaites).</w:t>
            </w:r>
          </w:p>
          <w:p w:rsidR="00D17EE2" w:rsidRPr="0019406C" w:rsidRDefault="00D17EE2" w:rsidP="00D17EE2">
            <w:pPr>
              <w:pStyle w:val="CommentText"/>
              <w:spacing w:before="120" w:after="0" w:line="276" w:lineRule="auto"/>
              <w:jc w:val="both"/>
              <w:rPr>
                <w:rFonts w:asciiTheme="majorHAnsi" w:hAnsiTheme="majorHAnsi" w:cs="Times New Roman"/>
                <w:lang w:val="lv-LV"/>
              </w:rPr>
            </w:pPr>
            <w:r w:rsidRPr="0019406C">
              <w:rPr>
                <w:rFonts w:asciiTheme="majorHAnsi" w:hAnsiTheme="majorHAnsi" w:cs="Times New Roman"/>
                <w:lang w:val="lv-LV"/>
              </w:rPr>
              <w:t xml:space="preserve">Šobrīd pieejamās bezmaksas grāmatvedības sistēmas tiek piedāvātas tikai </w:t>
            </w:r>
            <w:proofErr w:type="spellStart"/>
            <w:r w:rsidRPr="0019406C">
              <w:rPr>
                <w:rFonts w:asciiTheme="majorHAnsi" w:hAnsiTheme="majorHAnsi" w:cs="Times New Roman"/>
                <w:lang w:val="lv-LV"/>
              </w:rPr>
              <w:t>mikrouzņēmumiem</w:t>
            </w:r>
            <w:proofErr w:type="spellEnd"/>
            <w:r w:rsidRPr="0019406C">
              <w:rPr>
                <w:rFonts w:asciiTheme="majorHAnsi" w:hAnsiTheme="majorHAnsi" w:cs="Times New Roman"/>
                <w:lang w:val="lv-LV"/>
              </w:rPr>
              <w:t xml:space="preserve"> un tās </w:t>
            </w:r>
            <w:r w:rsidR="0072729F" w:rsidRPr="0019406C">
              <w:rPr>
                <w:rFonts w:asciiTheme="majorHAnsi" w:hAnsiTheme="majorHAnsi" w:cs="Times New Roman"/>
                <w:lang w:val="lv-LV"/>
              </w:rPr>
              <w:t>nenodrošināt</w:t>
            </w:r>
            <w:r w:rsidRPr="0019406C">
              <w:rPr>
                <w:rFonts w:asciiTheme="majorHAnsi" w:hAnsiTheme="majorHAnsi" w:cs="Times New Roman"/>
                <w:lang w:val="lv-LV"/>
              </w:rPr>
              <w:t xml:space="preserve"> tiešo sasaisti ar EDS, bet datu eksportu uz EDS. Tiešā sasaiste nozīmētu, ka EDS kā viens no moduļiem ir modulis, kurā uzņēmējs var veikt grāmatvedības uzskaiti un viņam nav papildus atskaites jāsniedz. Tās automātiski veido EDS no ievadītajiem grāmatvedības datiem.</w:t>
            </w:r>
          </w:p>
          <w:p w:rsidR="00D17EE2" w:rsidRPr="0019406C" w:rsidRDefault="00D17EE2" w:rsidP="00D17EE2">
            <w:pPr>
              <w:pStyle w:val="CommentText"/>
              <w:spacing w:before="120" w:after="0" w:line="276" w:lineRule="auto"/>
              <w:jc w:val="both"/>
              <w:rPr>
                <w:rFonts w:asciiTheme="majorHAnsi" w:hAnsiTheme="majorHAnsi" w:cs="Times New Roman"/>
                <w:lang w:val="lv-LV"/>
              </w:rPr>
            </w:pPr>
            <w:r w:rsidRPr="0019406C">
              <w:rPr>
                <w:rFonts w:asciiTheme="majorHAnsi" w:hAnsiTheme="majorHAnsi" w:cs="Times New Roman"/>
                <w:lang w:val="lv-LV"/>
              </w:rPr>
              <w:t>Būtu ieteicams veidot grāmatvedības programmu, kas ir integrēta ar E</w:t>
            </w:r>
            <w:r w:rsidR="0072729F">
              <w:rPr>
                <w:rFonts w:asciiTheme="majorHAnsi" w:hAnsiTheme="majorHAnsi" w:cs="Times New Roman"/>
                <w:lang w:val="lv-LV"/>
              </w:rPr>
              <w:t xml:space="preserve">DS un, kuru var izmantot </w:t>
            </w:r>
            <w:proofErr w:type="spellStart"/>
            <w:r w:rsidR="0072729F">
              <w:rPr>
                <w:rFonts w:asciiTheme="majorHAnsi" w:hAnsiTheme="majorHAnsi" w:cs="Times New Roman"/>
                <w:lang w:val="lv-LV"/>
              </w:rPr>
              <w:t>mikro</w:t>
            </w:r>
            <w:r w:rsidRPr="0019406C">
              <w:rPr>
                <w:rFonts w:asciiTheme="majorHAnsi" w:hAnsiTheme="majorHAnsi" w:cs="Times New Roman"/>
                <w:lang w:val="lv-LV"/>
              </w:rPr>
              <w:t>komersanti</w:t>
            </w:r>
            <w:proofErr w:type="spellEnd"/>
            <w:r w:rsidRPr="0019406C">
              <w:rPr>
                <w:rFonts w:asciiTheme="majorHAnsi" w:hAnsiTheme="majorHAnsi" w:cs="Times New Roman"/>
                <w:lang w:val="lv-LV"/>
              </w:rPr>
              <w:t xml:space="preserve"> un komersanti, kuriem grāmatvedības un finanšu uzskaite ir vienkāršāka, tādējādi nodrošinot, ka komersantam vairs nav jāiesniedz pārskati VID, bet tos automātiski VID iegūst no EDS.</w:t>
            </w:r>
          </w:p>
          <w:p w:rsidR="00D17EE2" w:rsidRPr="0019406C" w:rsidRDefault="00D17EE2" w:rsidP="00D17EE2">
            <w:pPr>
              <w:pStyle w:val="CommentText"/>
              <w:spacing w:before="120" w:after="0" w:line="276" w:lineRule="auto"/>
              <w:jc w:val="both"/>
              <w:rPr>
                <w:rFonts w:asciiTheme="majorHAnsi" w:hAnsiTheme="majorHAnsi" w:cs="Times New Roman"/>
                <w:lang w:val="lv-LV"/>
              </w:rPr>
            </w:pPr>
            <w:r w:rsidRPr="0019406C">
              <w:rPr>
                <w:rFonts w:asciiTheme="majorHAnsi" w:hAnsiTheme="majorHAnsi" w:cs="Times New Roman"/>
                <w:lang w:val="lv-LV"/>
              </w:rPr>
              <w:t xml:space="preserve">Galvenais ieguvums būtu samazināts laiks uzņēmējiem grāmatvedības atskaišu sagatavošanai un iesniegšanai, </w:t>
            </w:r>
            <w:r w:rsidRPr="0019406C">
              <w:rPr>
                <w:rFonts w:asciiTheme="majorHAnsi" w:hAnsiTheme="majorHAnsi" w:cs="Times New Roman"/>
                <w:lang w:val="lv-LV"/>
              </w:rPr>
              <w:lastRenderedPageBreak/>
              <w:t>samazinātas izmaksas uzņēmējiem grāmatvedības programmas iegādei un ārpakalpojumu apmaksāšanai. Ieguvums VID – iespēja efektīvāk pārvaldīt dažādus nodokļu riskus, samazināta iespēja nekvalitatīvi iesniegt datus vai neievērot termiņu.</w:t>
            </w:r>
          </w:p>
          <w:p w:rsidR="00D17EE2" w:rsidRPr="0019406C" w:rsidRDefault="00D17EE2" w:rsidP="00D17EE2">
            <w:pPr>
              <w:pStyle w:val="CommentText"/>
              <w:spacing w:before="120" w:after="0" w:line="276" w:lineRule="auto"/>
              <w:jc w:val="both"/>
              <w:rPr>
                <w:rFonts w:asciiTheme="majorHAnsi" w:hAnsiTheme="majorHAnsi" w:cs="Times New Roman"/>
                <w:lang w:val="lv-LV"/>
              </w:rPr>
            </w:pPr>
          </w:p>
        </w:tc>
        <w:tc>
          <w:tcPr>
            <w:tcW w:w="1701" w:type="dxa"/>
            <w:shd w:val="clear" w:color="auto" w:fill="auto"/>
          </w:tcPr>
          <w:p w:rsidR="00D17EE2" w:rsidRPr="0019406C" w:rsidRDefault="00D17EE2" w:rsidP="00D17EE2">
            <w:pPr>
              <w:spacing w:before="120" w:after="0" w:line="276" w:lineRule="auto"/>
              <w:rPr>
                <w:rFonts w:asciiTheme="majorHAnsi" w:hAnsiTheme="majorHAnsi" w:cs="Times New Roman"/>
                <w:lang w:val="lv-LV"/>
              </w:rPr>
            </w:pPr>
            <w:r w:rsidRPr="0019406C">
              <w:rPr>
                <w:rFonts w:asciiTheme="majorHAnsi" w:hAnsiTheme="majorHAnsi" w:cs="Times New Roman"/>
                <w:lang w:val="lv-LV"/>
              </w:rPr>
              <w:lastRenderedPageBreak/>
              <w:t>31.12.2016</w:t>
            </w:r>
          </w:p>
        </w:tc>
        <w:tc>
          <w:tcPr>
            <w:tcW w:w="1559" w:type="dxa"/>
            <w:shd w:val="clear" w:color="auto" w:fill="auto"/>
          </w:tcPr>
          <w:p w:rsidR="00D17EE2" w:rsidRPr="0019406C" w:rsidRDefault="00D17EE2" w:rsidP="00D17EE2">
            <w:pPr>
              <w:spacing w:before="120" w:after="0" w:line="276" w:lineRule="auto"/>
              <w:rPr>
                <w:rFonts w:asciiTheme="majorHAnsi" w:hAnsiTheme="majorHAnsi" w:cs="Times New Roman"/>
                <w:lang w:val="lv-LV"/>
              </w:rPr>
            </w:pPr>
            <w:r w:rsidRPr="0019406C">
              <w:rPr>
                <w:rFonts w:asciiTheme="majorHAnsi" w:hAnsiTheme="majorHAnsi" w:cs="Times New Roman"/>
                <w:lang w:val="lv-LV"/>
              </w:rPr>
              <w:t>VID</w:t>
            </w:r>
          </w:p>
        </w:tc>
        <w:tc>
          <w:tcPr>
            <w:tcW w:w="4253" w:type="dxa"/>
            <w:shd w:val="clear" w:color="auto" w:fill="auto"/>
          </w:tcPr>
          <w:p w:rsidR="00D17EE2" w:rsidRPr="0019406C" w:rsidRDefault="00D17EE2" w:rsidP="00E521EE">
            <w:pPr>
              <w:pStyle w:val="CommentText"/>
              <w:numPr>
                <w:ilvl w:val="0"/>
                <w:numId w:val="55"/>
              </w:numPr>
              <w:tabs>
                <w:tab w:val="left" w:pos="305"/>
              </w:tabs>
              <w:spacing w:before="120" w:after="0" w:line="276" w:lineRule="auto"/>
              <w:ind w:left="459" w:hanging="283"/>
              <w:jc w:val="both"/>
              <w:rPr>
                <w:rFonts w:asciiTheme="majorHAnsi" w:hAnsiTheme="majorHAnsi" w:cs="Times New Roman"/>
                <w:color w:val="000000"/>
                <w:lang w:val="lv-LV"/>
              </w:rPr>
            </w:pPr>
            <w:r w:rsidRPr="0019406C">
              <w:rPr>
                <w:rFonts w:asciiTheme="majorHAnsi" w:hAnsiTheme="majorHAnsi" w:cs="Times New Roman"/>
                <w:color w:val="000000"/>
                <w:lang w:val="lv-LV"/>
              </w:rPr>
              <w:t>Izvērtēt EDS funkcionalitātes paplašināšanu/ integrēšanu ar grāmatvedības sistēmu nelieliem uzņēmumiem.</w:t>
            </w:r>
          </w:p>
          <w:p w:rsidR="00D17EE2" w:rsidRPr="0019406C" w:rsidRDefault="00D17EE2" w:rsidP="00D17EE2">
            <w:pPr>
              <w:pStyle w:val="CommentText"/>
              <w:tabs>
                <w:tab w:val="left" w:pos="305"/>
              </w:tabs>
              <w:spacing w:before="120" w:after="0" w:line="276" w:lineRule="auto"/>
              <w:ind w:left="459"/>
              <w:jc w:val="both"/>
              <w:rPr>
                <w:rFonts w:asciiTheme="majorHAnsi" w:hAnsiTheme="majorHAnsi" w:cs="Times New Roman"/>
                <w:color w:val="000000"/>
                <w:lang w:val="lv-LV"/>
              </w:rPr>
            </w:pPr>
            <w:r w:rsidRPr="0019406C">
              <w:rPr>
                <w:rFonts w:asciiTheme="majorHAnsi" w:hAnsiTheme="majorHAnsi" w:cs="Times New Roman"/>
                <w:color w:val="000000"/>
                <w:lang w:val="lv-LV"/>
              </w:rPr>
              <w:t>Papildus VID un FM būtu jāizskata iespēja automatizēt uzņēmēju pārbaudes, izmantojot SAF-T standartu (starptautisks datu eksporta standarts no grāmatvedības sistēmām, lai būtu iespējams automatizēt finanšu datu analīzi). Datu apmaiņas realizācijai jāizstrādā papildinājumi grāmatvedības informācijas sistēmās.</w:t>
            </w:r>
          </w:p>
        </w:tc>
        <w:tc>
          <w:tcPr>
            <w:tcW w:w="2126" w:type="dxa"/>
          </w:tcPr>
          <w:p w:rsidR="00D17EE2" w:rsidRPr="0019406C" w:rsidRDefault="00D17EE2" w:rsidP="00D17EE2">
            <w:pPr>
              <w:pStyle w:val="CommentText"/>
              <w:spacing w:before="120" w:after="0" w:line="276" w:lineRule="auto"/>
              <w:jc w:val="both"/>
              <w:rPr>
                <w:rFonts w:asciiTheme="majorHAnsi" w:hAnsiTheme="majorHAnsi" w:cs="Times New Roman"/>
                <w:highlight w:val="yellow"/>
                <w:lang w:val="lv-LV"/>
              </w:rPr>
            </w:pPr>
          </w:p>
        </w:tc>
      </w:tr>
      <w:tr w:rsidR="00D17EE2" w:rsidRPr="00BB0049" w:rsidTr="00133928">
        <w:tc>
          <w:tcPr>
            <w:tcW w:w="5495" w:type="dxa"/>
            <w:shd w:val="clear" w:color="auto" w:fill="auto"/>
          </w:tcPr>
          <w:p w:rsidR="00D17EE2" w:rsidRPr="0019406C" w:rsidRDefault="00FD6207" w:rsidP="00D17EE2">
            <w:pPr>
              <w:pStyle w:val="CommentText"/>
              <w:spacing w:before="120" w:after="0" w:line="276" w:lineRule="auto"/>
              <w:jc w:val="both"/>
              <w:rPr>
                <w:rFonts w:asciiTheme="majorHAnsi" w:hAnsiTheme="majorHAnsi" w:cs="Times New Roman"/>
                <w:b/>
                <w:lang w:val="lv-LV"/>
              </w:rPr>
            </w:pPr>
            <w:r w:rsidRPr="0019406C">
              <w:rPr>
                <w:rFonts w:asciiTheme="majorHAnsi" w:hAnsiTheme="majorHAnsi" w:cs="Times New Roman"/>
                <w:b/>
                <w:lang w:val="lv-LV"/>
              </w:rPr>
              <w:lastRenderedPageBreak/>
              <w:t>2</w:t>
            </w:r>
            <w:r w:rsidR="00D17EE2" w:rsidRPr="0019406C">
              <w:rPr>
                <w:rFonts w:asciiTheme="majorHAnsi" w:hAnsiTheme="majorHAnsi" w:cs="Times New Roman"/>
                <w:b/>
                <w:lang w:val="lv-LV"/>
              </w:rPr>
              <w:t>.3. Uzņēmumiem pieprasāmās statistikas samazināšana</w:t>
            </w:r>
          </w:p>
          <w:p w:rsidR="00D17EE2" w:rsidRPr="0019406C" w:rsidRDefault="00D17EE2" w:rsidP="00D17EE2">
            <w:pPr>
              <w:pStyle w:val="CommentText"/>
              <w:spacing w:before="120" w:after="0" w:line="276" w:lineRule="auto"/>
              <w:jc w:val="both"/>
              <w:rPr>
                <w:rFonts w:asciiTheme="majorHAnsi" w:hAnsiTheme="majorHAnsi" w:cs="Times New Roman"/>
                <w:lang w:val="lv-LV"/>
              </w:rPr>
            </w:pPr>
            <w:r w:rsidRPr="0019406C">
              <w:rPr>
                <w:rFonts w:asciiTheme="majorHAnsi" w:hAnsiTheme="majorHAnsi" w:cs="Times New Roman"/>
                <w:lang w:val="lv-LV"/>
              </w:rPr>
              <w:t>Ņemot vērā uzņēmēju aptaujas rezultātus (šobrīd 10.1% uzņēmumu saskaras ar statistikas datu iesniegšanas problēmu, turklāt lielākiem uzņēmumiem tā ir lielāka problēma- 35% lielo uzņēmumu un 29% vidējo uzņēmumu), kā arī šobrīd LTRK darba grupā esošās diskusijas par CSP, VID atskaišu samazināšanu, būtu nepieciešams izvērtēt citu valstu pieredzi ar statistikas pieprasīšanu uzņēmumiem, īpaši izvērtējot izmantotos IT risinājumus. Tas nepieciešams tādēļ, ka īstenotajās LTRK darba grupās, kurās piedalījās CSP un VID pārstāvji, tika secināts, ka abu šo iestāžu iesniegtajās atskaitēs norādāmā  informācija atšķiras no detalizācijas pakāpes, informācijas griezumiem un termiņiem. Līdz ar to nav iespējams virzīt  priekšlikumus par konkrētu atskaišu atcelšanu, jo tas radītu risku, ka nebūs iespējams sagatavot kopējo statistiku  EUROSTAT vajadzībām.</w:t>
            </w:r>
          </w:p>
          <w:p w:rsidR="00D17EE2" w:rsidRPr="0019406C" w:rsidRDefault="00D17EE2" w:rsidP="00D17EE2">
            <w:pPr>
              <w:pStyle w:val="CommentText"/>
              <w:spacing w:before="120" w:after="0" w:line="276" w:lineRule="auto"/>
              <w:jc w:val="both"/>
              <w:rPr>
                <w:rFonts w:asciiTheme="majorHAnsi" w:hAnsiTheme="majorHAnsi" w:cs="Times New Roman"/>
                <w:lang w:val="lv-LV"/>
              </w:rPr>
            </w:pPr>
            <w:r w:rsidRPr="0019406C">
              <w:rPr>
                <w:rFonts w:asciiTheme="majorHAnsi" w:hAnsiTheme="majorHAnsi" w:cs="Times New Roman"/>
                <w:lang w:val="lv-LV"/>
              </w:rPr>
              <w:t>Tomēr vienlaicīgi tika novērota problēma, ka uzņēmēji ne vienmēr līdz galam iedziļinās, kāda finanšu informācija jānorāda atskaitēs, un tās tiek pildītas pavirši, līdz ar to apdraudot datu kvalitāti. Šī problēma arī norāda uz vajadzību pēc vienota un kvalitatīva IT risinājuma, lai būtu iespējams arī automātiski analizēt datus pret to, ko iesniedz VID un ko CSP.</w:t>
            </w:r>
          </w:p>
          <w:p w:rsidR="00D17EE2" w:rsidRPr="0019406C" w:rsidRDefault="00D17EE2" w:rsidP="00D17EE2">
            <w:pPr>
              <w:pStyle w:val="CommentText"/>
              <w:spacing w:before="120" w:after="0" w:line="276" w:lineRule="auto"/>
              <w:jc w:val="both"/>
              <w:rPr>
                <w:rFonts w:asciiTheme="majorHAnsi" w:hAnsiTheme="majorHAnsi" w:cs="Times New Roman"/>
                <w:lang w:val="lv-LV"/>
              </w:rPr>
            </w:pPr>
            <w:r w:rsidRPr="0019406C">
              <w:rPr>
                <w:rFonts w:asciiTheme="majorHAnsi" w:hAnsiTheme="majorHAnsi" w:cs="Times New Roman"/>
                <w:lang w:val="lv-LV"/>
              </w:rPr>
              <w:t xml:space="preserve">Ieteikums: Veikt izpēti par statistikas datu iegūšanu no </w:t>
            </w:r>
            <w:r w:rsidRPr="0019406C">
              <w:rPr>
                <w:rFonts w:asciiTheme="majorHAnsi" w:hAnsiTheme="majorHAnsi" w:cs="Times New Roman"/>
                <w:lang w:val="lv-LV"/>
              </w:rPr>
              <w:lastRenderedPageBreak/>
              <w:t>uzņēmumiem citās ES valstīs, izanalizējot IT risinājumus.</w:t>
            </w:r>
          </w:p>
          <w:p w:rsidR="00D17EE2" w:rsidRPr="0019406C" w:rsidRDefault="00D17EE2" w:rsidP="00D17EE2">
            <w:pPr>
              <w:pStyle w:val="CommentText"/>
              <w:spacing w:before="120" w:after="0" w:line="276" w:lineRule="auto"/>
              <w:jc w:val="both"/>
              <w:rPr>
                <w:rFonts w:asciiTheme="majorHAnsi" w:hAnsiTheme="majorHAnsi" w:cs="Times New Roman"/>
                <w:lang w:val="lv-LV"/>
              </w:rPr>
            </w:pPr>
            <w:r w:rsidRPr="0019406C">
              <w:rPr>
                <w:rFonts w:asciiTheme="majorHAnsi" w:hAnsiTheme="majorHAnsi" w:cs="Times New Roman"/>
                <w:lang w:val="lv-LV"/>
              </w:rPr>
              <w:t>Ieguvums: ievērojami laika ietaupījumi atsevišķiem uzņēmumiem, kas iekļauti CSP apkopojamās statistikas uzņēmumu sarakstā.</w:t>
            </w:r>
          </w:p>
          <w:p w:rsidR="00D17EE2" w:rsidRPr="0019406C" w:rsidRDefault="00D17EE2" w:rsidP="00D17EE2">
            <w:pPr>
              <w:pStyle w:val="CommentText"/>
              <w:spacing w:before="120" w:after="0" w:line="276" w:lineRule="auto"/>
              <w:jc w:val="both"/>
              <w:rPr>
                <w:rFonts w:asciiTheme="majorHAnsi" w:hAnsiTheme="majorHAnsi" w:cs="Times New Roman"/>
                <w:lang w:val="lv-LV"/>
              </w:rPr>
            </w:pPr>
          </w:p>
        </w:tc>
        <w:tc>
          <w:tcPr>
            <w:tcW w:w="1701" w:type="dxa"/>
            <w:shd w:val="clear" w:color="auto" w:fill="auto"/>
          </w:tcPr>
          <w:p w:rsidR="00D17EE2" w:rsidRPr="0019406C" w:rsidRDefault="00D17EE2" w:rsidP="00D17EE2">
            <w:pPr>
              <w:spacing w:before="120" w:after="0" w:line="276" w:lineRule="auto"/>
              <w:rPr>
                <w:rFonts w:asciiTheme="majorHAnsi" w:hAnsiTheme="majorHAnsi" w:cs="Times New Roman"/>
                <w:lang w:val="lv-LV"/>
              </w:rPr>
            </w:pPr>
            <w:r w:rsidRPr="0019406C">
              <w:rPr>
                <w:rFonts w:asciiTheme="majorHAnsi" w:hAnsiTheme="majorHAnsi" w:cs="Times New Roman"/>
                <w:lang w:val="lv-LV"/>
              </w:rPr>
              <w:lastRenderedPageBreak/>
              <w:t>31.12.2014</w:t>
            </w:r>
          </w:p>
        </w:tc>
        <w:tc>
          <w:tcPr>
            <w:tcW w:w="1559" w:type="dxa"/>
            <w:shd w:val="clear" w:color="auto" w:fill="auto"/>
          </w:tcPr>
          <w:p w:rsidR="00D17EE2" w:rsidRPr="0019406C" w:rsidRDefault="00D17EE2" w:rsidP="00D17EE2">
            <w:pPr>
              <w:spacing w:before="120" w:after="0" w:line="276" w:lineRule="auto"/>
              <w:rPr>
                <w:rFonts w:asciiTheme="majorHAnsi" w:hAnsiTheme="majorHAnsi" w:cs="Times New Roman"/>
                <w:lang w:val="lv-LV"/>
              </w:rPr>
            </w:pPr>
            <w:r w:rsidRPr="0019406C">
              <w:rPr>
                <w:rFonts w:asciiTheme="majorHAnsi" w:hAnsiTheme="majorHAnsi" w:cs="Times New Roman"/>
                <w:lang w:val="lv-LV"/>
              </w:rPr>
              <w:t>CSP</w:t>
            </w:r>
          </w:p>
        </w:tc>
        <w:tc>
          <w:tcPr>
            <w:tcW w:w="4253" w:type="dxa"/>
            <w:shd w:val="clear" w:color="auto" w:fill="auto"/>
          </w:tcPr>
          <w:p w:rsidR="00D17EE2" w:rsidRPr="0019406C" w:rsidRDefault="00D17EE2" w:rsidP="00E521EE">
            <w:pPr>
              <w:pStyle w:val="CommentText"/>
              <w:numPr>
                <w:ilvl w:val="0"/>
                <w:numId w:val="56"/>
              </w:numPr>
              <w:tabs>
                <w:tab w:val="left" w:pos="305"/>
              </w:tabs>
              <w:spacing w:before="120" w:after="0" w:line="276" w:lineRule="auto"/>
              <w:ind w:left="459" w:hanging="283"/>
              <w:jc w:val="both"/>
              <w:rPr>
                <w:rFonts w:asciiTheme="majorHAnsi" w:hAnsiTheme="majorHAnsi" w:cs="Times New Roman"/>
                <w:color w:val="000000"/>
                <w:lang w:val="lv-LV"/>
              </w:rPr>
            </w:pPr>
            <w:r w:rsidRPr="0019406C">
              <w:rPr>
                <w:rFonts w:asciiTheme="majorHAnsi" w:hAnsiTheme="majorHAnsi" w:cs="Times New Roman"/>
                <w:color w:val="000000"/>
                <w:lang w:val="lv-LV"/>
              </w:rPr>
              <w:t>Veikt detalizētu citu ES dalībvalstu izmantoto CSP informācijas un komunikācijas tehnoloģiju analīzi (</w:t>
            </w:r>
            <w:proofErr w:type="spellStart"/>
            <w:r w:rsidRPr="0019406C">
              <w:rPr>
                <w:rFonts w:asciiTheme="majorHAnsi" w:hAnsiTheme="majorHAnsi" w:cs="Times New Roman"/>
                <w:color w:val="000000"/>
                <w:lang w:val="lv-LV"/>
              </w:rPr>
              <w:t>t.sk</w:t>
            </w:r>
            <w:proofErr w:type="spellEnd"/>
            <w:r w:rsidRPr="0019406C">
              <w:rPr>
                <w:rFonts w:asciiTheme="majorHAnsi" w:hAnsiTheme="majorHAnsi" w:cs="Times New Roman"/>
                <w:color w:val="000000"/>
                <w:lang w:val="lv-LV"/>
              </w:rPr>
              <w:t xml:space="preserve">., vismaz no šādiem aspektiem  - sistēmu funkcionalitāte, </w:t>
            </w:r>
            <w:r w:rsidR="0072729F" w:rsidRPr="0019406C">
              <w:rPr>
                <w:rFonts w:asciiTheme="majorHAnsi" w:hAnsiTheme="majorHAnsi" w:cs="Times New Roman"/>
                <w:color w:val="000000"/>
                <w:lang w:val="lv-LV"/>
              </w:rPr>
              <w:t>integrācija</w:t>
            </w:r>
            <w:r w:rsidRPr="0019406C">
              <w:rPr>
                <w:rFonts w:asciiTheme="majorHAnsi" w:hAnsiTheme="majorHAnsi" w:cs="Times New Roman"/>
                <w:color w:val="000000"/>
                <w:lang w:val="lv-LV"/>
              </w:rPr>
              <w:t xml:space="preserve"> ar citām sistēmām, analīzes iespējas (cik automātiski vai manuāli ir iespējams veikt dažādas analīzes statistikas apkopošanā), e-pakalpojumi, ko nodrošina </w:t>
            </w:r>
            <w:proofErr w:type="spellStart"/>
            <w:r w:rsidRPr="0019406C">
              <w:rPr>
                <w:rFonts w:asciiTheme="majorHAnsi" w:hAnsiTheme="majorHAnsi" w:cs="Times New Roman"/>
                <w:color w:val="000000"/>
                <w:lang w:val="lv-LV"/>
              </w:rPr>
              <w:t>utt</w:t>
            </w:r>
            <w:proofErr w:type="spellEnd"/>
            <w:r w:rsidRPr="0019406C">
              <w:rPr>
                <w:rFonts w:asciiTheme="majorHAnsi" w:hAnsiTheme="majorHAnsi" w:cs="Times New Roman"/>
                <w:color w:val="000000"/>
                <w:lang w:val="lv-LV"/>
              </w:rPr>
              <w:t>.). Pēc šādas analīzes veikšanas, nepieciešams pieņemt lēmumu par IKT izmaiņām Latvijā šajā jomā un, balstoties uz pieņemto lēmumu, mainīt atskaišu iesniegšanas kārtību, pārskatot to detalizāciju, informācijas griezumus (jeb dimensijas), termiņus.</w:t>
            </w:r>
          </w:p>
          <w:p w:rsidR="00D17EE2" w:rsidRPr="0019406C" w:rsidRDefault="00D17EE2" w:rsidP="00D17EE2">
            <w:pPr>
              <w:pStyle w:val="CommentText"/>
              <w:tabs>
                <w:tab w:val="left" w:pos="305"/>
              </w:tabs>
              <w:spacing w:before="120" w:after="0" w:line="276" w:lineRule="auto"/>
              <w:ind w:left="360"/>
              <w:jc w:val="both"/>
              <w:rPr>
                <w:rFonts w:asciiTheme="majorHAnsi" w:hAnsiTheme="majorHAnsi" w:cs="Times New Roman"/>
                <w:color w:val="000000"/>
                <w:lang w:val="lv-LV"/>
              </w:rPr>
            </w:pPr>
          </w:p>
        </w:tc>
        <w:tc>
          <w:tcPr>
            <w:tcW w:w="2126" w:type="dxa"/>
          </w:tcPr>
          <w:p w:rsidR="00D17EE2" w:rsidRPr="0019406C" w:rsidRDefault="00D17EE2" w:rsidP="00D17EE2">
            <w:pPr>
              <w:pStyle w:val="CommentText"/>
              <w:spacing w:before="120" w:after="0" w:line="276" w:lineRule="auto"/>
              <w:jc w:val="both"/>
              <w:rPr>
                <w:rFonts w:asciiTheme="majorHAnsi" w:hAnsiTheme="majorHAnsi" w:cs="Times New Roman"/>
                <w:highlight w:val="yellow"/>
                <w:lang w:val="lv-LV"/>
              </w:rPr>
            </w:pPr>
          </w:p>
        </w:tc>
      </w:tr>
      <w:tr w:rsidR="00D17EE2" w:rsidRPr="0019406C" w:rsidTr="00133928">
        <w:trPr>
          <w:trHeight w:val="439"/>
        </w:trPr>
        <w:tc>
          <w:tcPr>
            <w:tcW w:w="5495" w:type="dxa"/>
            <w:shd w:val="clear" w:color="auto" w:fill="EEECE1"/>
          </w:tcPr>
          <w:p w:rsidR="00D17EE2" w:rsidRPr="0019406C" w:rsidRDefault="00D17EE2" w:rsidP="00D17EE2">
            <w:pPr>
              <w:pStyle w:val="CommentText"/>
              <w:spacing w:before="120" w:after="0" w:line="276" w:lineRule="auto"/>
              <w:ind w:left="567" w:hanging="567"/>
              <w:jc w:val="both"/>
              <w:rPr>
                <w:rFonts w:asciiTheme="majorHAnsi" w:eastAsia="Calibri" w:hAnsiTheme="majorHAnsi" w:cs="Calibri"/>
                <w:b/>
                <w:color w:val="000000"/>
                <w:lang w:val="lv-LV"/>
              </w:rPr>
            </w:pPr>
            <w:r w:rsidRPr="0019406C">
              <w:rPr>
                <w:rFonts w:asciiTheme="majorHAnsi" w:eastAsia="Times New Roman" w:hAnsiTheme="majorHAnsi" w:cs="Times New Roman"/>
                <w:b/>
                <w:bCs/>
                <w:color w:val="000000"/>
                <w:lang w:val="lv-LV" w:eastAsia="lv-LV"/>
              </w:rPr>
              <w:lastRenderedPageBreak/>
              <w:t>Rīcības virziens mērķa sasniegšanai:</w:t>
            </w:r>
          </w:p>
        </w:tc>
        <w:tc>
          <w:tcPr>
            <w:tcW w:w="9639" w:type="dxa"/>
            <w:gridSpan w:val="4"/>
            <w:shd w:val="clear" w:color="auto" w:fill="EEECE1"/>
          </w:tcPr>
          <w:p w:rsidR="00D17EE2" w:rsidRPr="0019406C" w:rsidRDefault="00FD6207" w:rsidP="00D17EE2">
            <w:pPr>
              <w:pStyle w:val="CommentText"/>
              <w:spacing w:before="120" w:after="0" w:line="276" w:lineRule="auto"/>
              <w:jc w:val="both"/>
              <w:rPr>
                <w:rFonts w:asciiTheme="majorHAnsi" w:eastAsia="Calibri" w:hAnsiTheme="majorHAnsi" w:cs="Calibri"/>
                <w:b/>
                <w:color w:val="000000"/>
                <w:lang w:val="lv-LV"/>
              </w:rPr>
            </w:pPr>
            <w:r w:rsidRPr="0019406C">
              <w:rPr>
                <w:rFonts w:asciiTheme="majorHAnsi" w:hAnsiTheme="majorHAnsi" w:cs="Times New Roman"/>
                <w:b/>
                <w:lang w:val="lv-LV"/>
              </w:rPr>
              <w:t>3</w:t>
            </w:r>
            <w:r w:rsidR="00D17EE2" w:rsidRPr="0019406C">
              <w:rPr>
                <w:rFonts w:asciiTheme="majorHAnsi" w:hAnsiTheme="majorHAnsi" w:cs="Times New Roman"/>
                <w:b/>
                <w:lang w:val="lv-LV"/>
              </w:rPr>
              <w:t>. Nekustamā īpašuma reģistrācija</w:t>
            </w:r>
          </w:p>
        </w:tc>
      </w:tr>
      <w:tr w:rsidR="00D17EE2" w:rsidRPr="0019406C" w:rsidTr="00133928">
        <w:tc>
          <w:tcPr>
            <w:tcW w:w="5495" w:type="dxa"/>
            <w:shd w:val="clear" w:color="auto" w:fill="auto"/>
          </w:tcPr>
          <w:p w:rsidR="00D17EE2" w:rsidRPr="0019406C" w:rsidRDefault="00FD6207" w:rsidP="00D17EE2">
            <w:pPr>
              <w:pStyle w:val="CommentText"/>
              <w:spacing w:before="120" w:after="0" w:line="276" w:lineRule="auto"/>
              <w:jc w:val="both"/>
              <w:rPr>
                <w:rFonts w:asciiTheme="majorHAnsi" w:eastAsia="Times New Roman" w:hAnsiTheme="majorHAnsi" w:cs="Times New Roman"/>
                <w:b/>
                <w:bCs/>
                <w:color w:val="000000"/>
                <w:lang w:val="lv-LV" w:eastAsia="lv-LV"/>
              </w:rPr>
            </w:pPr>
            <w:r w:rsidRPr="0019406C">
              <w:rPr>
                <w:rFonts w:asciiTheme="majorHAnsi" w:eastAsia="Times New Roman" w:hAnsiTheme="majorHAnsi" w:cs="Times New Roman"/>
                <w:b/>
                <w:bCs/>
                <w:color w:val="000000"/>
                <w:lang w:val="lv-LV" w:eastAsia="lv-LV"/>
              </w:rPr>
              <w:t>3</w:t>
            </w:r>
            <w:r w:rsidR="00D17EE2" w:rsidRPr="0019406C">
              <w:rPr>
                <w:rFonts w:asciiTheme="majorHAnsi" w:eastAsia="Times New Roman" w:hAnsiTheme="majorHAnsi" w:cs="Times New Roman"/>
                <w:b/>
                <w:bCs/>
                <w:color w:val="000000"/>
                <w:lang w:val="lv-LV" w:eastAsia="lv-LV"/>
              </w:rPr>
              <w:t>.1. Termiņu, kas saistīti ar nekustamā īpašuma nostiprinājuma lūgumu izskatīšanu Zemesgrāmatā, diferencēšana un samazināšana.</w:t>
            </w:r>
          </w:p>
          <w:p w:rsidR="00D17EE2" w:rsidRPr="0019406C" w:rsidRDefault="00D17EE2" w:rsidP="00D17EE2">
            <w:pPr>
              <w:pStyle w:val="CommentText"/>
              <w:spacing w:before="120" w:after="0" w:line="276" w:lineRule="auto"/>
              <w:jc w:val="both"/>
              <w:rPr>
                <w:rFonts w:asciiTheme="majorHAnsi" w:eastAsia="Times New Roman" w:hAnsiTheme="majorHAnsi" w:cs="Times New Roman"/>
                <w:bCs/>
                <w:color w:val="000000"/>
                <w:lang w:val="lv-LV" w:eastAsia="lv-LV"/>
              </w:rPr>
            </w:pPr>
            <w:r w:rsidRPr="0019406C">
              <w:rPr>
                <w:rFonts w:asciiTheme="majorHAnsi" w:hAnsiTheme="majorHAnsi"/>
                <w:lang w:val="lv-LV"/>
              </w:rPr>
              <w:t xml:space="preserve"> </w:t>
            </w:r>
            <w:r w:rsidRPr="0019406C">
              <w:rPr>
                <w:rFonts w:asciiTheme="majorHAnsi" w:eastAsia="Times New Roman" w:hAnsiTheme="majorHAnsi" w:cs="Times New Roman"/>
                <w:bCs/>
                <w:color w:val="000000"/>
                <w:lang w:val="lv-LV" w:eastAsia="lv-LV"/>
              </w:rPr>
              <w:t xml:space="preserve">Lai arī iepriekšējos gados ir bijušas pozitīvas izmaiņas procesos, kas saistīti ar nekustamā īpašuma reģistrēšanu Zemesgrāmatā (MK noteikumi </w:t>
            </w:r>
            <w:proofErr w:type="spellStart"/>
            <w:r w:rsidRPr="0019406C">
              <w:rPr>
                <w:rFonts w:asciiTheme="majorHAnsi" w:eastAsia="Times New Roman" w:hAnsiTheme="majorHAnsi" w:cs="Times New Roman"/>
                <w:bCs/>
                <w:color w:val="000000"/>
                <w:lang w:val="lv-LV" w:eastAsia="lv-LV"/>
              </w:rPr>
              <w:t>Nr</w:t>
            </w:r>
            <w:proofErr w:type="spellEnd"/>
            <w:r w:rsidRPr="0019406C">
              <w:rPr>
                <w:rFonts w:asciiTheme="majorHAnsi" w:eastAsia="Times New Roman" w:hAnsiTheme="majorHAnsi" w:cs="Times New Roman"/>
                <w:bCs/>
                <w:color w:val="000000"/>
                <w:lang w:val="lv-LV" w:eastAsia="lv-LV"/>
              </w:rPr>
              <w:t xml:space="preserve">. 898 „Noteikumi par zemesgrāmatu lūguma nostiprinājuma formām”), tomēr uzņēmēji intervijās norāda, ka būtu pārvērtējams un analizējams LR Zemesgrāmatas likumā noteiktais termiņš nostiprinājuma lūgumu izskatīšanai (kas pašlaik ir līdz 10 dienām), jo praksē ir izšķirami gadījumi (piemēram, hipotēkas dzēšana, īpašumtiesību </w:t>
            </w:r>
            <w:r w:rsidR="0072729F" w:rsidRPr="0019406C">
              <w:rPr>
                <w:rFonts w:asciiTheme="majorHAnsi" w:eastAsia="Times New Roman" w:hAnsiTheme="majorHAnsi" w:cs="Times New Roman"/>
                <w:bCs/>
                <w:color w:val="000000"/>
                <w:lang w:val="lv-LV" w:eastAsia="lv-LV"/>
              </w:rPr>
              <w:t>pārreģistrēšana</w:t>
            </w:r>
            <w:r w:rsidRPr="0019406C">
              <w:rPr>
                <w:rFonts w:asciiTheme="majorHAnsi" w:eastAsia="Times New Roman" w:hAnsiTheme="majorHAnsi" w:cs="Times New Roman"/>
                <w:bCs/>
                <w:color w:val="000000"/>
                <w:lang w:val="lv-LV" w:eastAsia="lv-LV"/>
              </w:rPr>
              <w:t>), kuri pēc būtības ir vienkāršāki un būtu veicami īsākā termiņā. Vienlaicīgi sarežģītiem gadījumiem termiņš - 10 dienas būtu optimāls.</w:t>
            </w:r>
          </w:p>
        </w:tc>
        <w:tc>
          <w:tcPr>
            <w:tcW w:w="1701" w:type="dxa"/>
            <w:shd w:val="clear" w:color="auto" w:fill="auto"/>
          </w:tcPr>
          <w:p w:rsidR="00D17EE2" w:rsidRPr="0019406C" w:rsidRDefault="00D17EE2" w:rsidP="00D17EE2">
            <w:pPr>
              <w:pStyle w:val="CommentText"/>
              <w:spacing w:before="120" w:after="0" w:line="276" w:lineRule="auto"/>
              <w:jc w:val="both"/>
              <w:rPr>
                <w:rFonts w:asciiTheme="majorHAnsi" w:eastAsia="Calibri" w:hAnsiTheme="majorHAnsi" w:cs="Calibri"/>
                <w:color w:val="000000"/>
                <w:lang w:val="lv-LV"/>
              </w:rPr>
            </w:pPr>
          </w:p>
        </w:tc>
        <w:tc>
          <w:tcPr>
            <w:tcW w:w="1559" w:type="dxa"/>
            <w:shd w:val="clear" w:color="auto" w:fill="auto"/>
          </w:tcPr>
          <w:p w:rsidR="00D17EE2" w:rsidRPr="0019406C" w:rsidRDefault="00D17EE2" w:rsidP="00D17EE2">
            <w:pPr>
              <w:pStyle w:val="CommentText"/>
              <w:spacing w:before="120" w:after="0" w:line="276" w:lineRule="auto"/>
              <w:jc w:val="both"/>
              <w:rPr>
                <w:rFonts w:asciiTheme="majorHAnsi" w:eastAsia="Calibri" w:hAnsiTheme="majorHAnsi" w:cs="Calibri"/>
                <w:color w:val="000000"/>
                <w:lang w:val="lv-LV"/>
              </w:rPr>
            </w:pPr>
          </w:p>
        </w:tc>
        <w:tc>
          <w:tcPr>
            <w:tcW w:w="4253" w:type="dxa"/>
            <w:shd w:val="clear" w:color="auto" w:fill="auto"/>
          </w:tcPr>
          <w:p w:rsidR="00D17EE2" w:rsidRPr="0019406C" w:rsidRDefault="00D17EE2" w:rsidP="00E521EE">
            <w:pPr>
              <w:pStyle w:val="CommentText"/>
              <w:numPr>
                <w:ilvl w:val="0"/>
                <w:numId w:val="38"/>
              </w:numPr>
              <w:spacing w:before="120" w:after="0" w:line="276" w:lineRule="auto"/>
              <w:jc w:val="both"/>
              <w:rPr>
                <w:rFonts w:asciiTheme="majorHAnsi" w:eastAsia="Calibri" w:hAnsiTheme="majorHAnsi" w:cs="Calibri"/>
                <w:color w:val="000000"/>
                <w:lang w:val="lv-LV"/>
              </w:rPr>
            </w:pPr>
            <w:r w:rsidRPr="0019406C">
              <w:rPr>
                <w:rFonts w:asciiTheme="majorHAnsi" w:eastAsia="Calibri" w:hAnsiTheme="majorHAnsi" w:cs="Calibri"/>
                <w:color w:val="000000"/>
                <w:lang w:val="lv-LV"/>
              </w:rPr>
              <w:t>LR Zemesgrāmatu likumā izvērtēt un atsevišķi izdalīt sarežģītos, kā arī vienkāršos gadījumus, kas saistīti ar nekustamā īpašuma nostiprinājuma lūgumu izskatīšanu Zemesgrāmatā. Vienkāršākiem gadījumiem samazināt termiņu</w:t>
            </w:r>
            <w:r w:rsidRPr="0019406C">
              <w:rPr>
                <w:rFonts w:asciiTheme="majorHAnsi" w:eastAsia="Times New Roman" w:hAnsiTheme="majorHAnsi" w:cs="Times New Roman"/>
                <w:bCs/>
                <w:color w:val="000000"/>
                <w:lang w:val="lv-LV" w:eastAsia="lv-LV"/>
              </w:rPr>
              <w:t xml:space="preserve"> nostiprinājuma lūgumu izskatīšanai.</w:t>
            </w:r>
          </w:p>
        </w:tc>
        <w:tc>
          <w:tcPr>
            <w:tcW w:w="2126" w:type="dxa"/>
          </w:tcPr>
          <w:p w:rsidR="00D17EE2" w:rsidRPr="0019406C" w:rsidRDefault="00D17EE2" w:rsidP="00D17EE2">
            <w:pPr>
              <w:pStyle w:val="CommentText"/>
              <w:spacing w:before="120" w:after="0" w:line="276" w:lineRule="auto"/>
              <w:jc w:val="both"/>
              <w:rPr>
                <w:rFonts w:asciiTheme="majorHAnsi" w:hAnsiTheme="majorHAnsi" w:cs="Times New Roman"/>
                <w:highlight w:val="yellow"/>
                <w:lang w:val="lv-LV"/>
              </w:rPr>
            </w:pPr>
          </w:p>
        </w:tc>
      </w:tr>
    </w:tbl>
    <w:p w:rsidR="00133928" w:rsidRPr="0019406C" w:rsidRDefault="00133928" w:rsidP="00B41392">
      <w:pPr>
        <w:pStyle w:val="BodyText"/>
        <w:rPr>
          <w:rFonts w:asciiTheme="majorHAnsi" w:hAnsiTheme="majorHAnsi"/>
          <w:lang w:val="lv-LV"/>
        </w:rPr>
      </w:pPr>
    </w:p>
    <w:sectPr w:rsidR="00133928" w:rsidRPr="0019406C" w:rsidSect="00133928">
      <w:pgSz w:w="16838" w:h="11906" w:orient="landscape" w:code="9"/>
      <w:pgMar w:top="1021" w:right="1474" w:bottom="1021" w:left="147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B29" w:rsidRDefault="00847B29">
      <w:pPr>
        <w:spacing w:after="0" w:line="240" w:lineRule="auto"/>
      </w:pPr>
      <w:r>
        <w:separator/>
      </w:r>
    </w:p>
  </w:endnote>
  <w:endnote w:type="continuationSeparator" w:id="0">
    <w:p w:rsidR="00847B29" w:rsidRDefault="00847B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Georgia">
    <w:panose1 w:val="020405020504050203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Marlett">
    <w:panose1 w:val="00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BA"/>
    <w:family w:val="swiss"/>
    <w:pitch w:val="variable"/>
    <w:sig w:usb0="A10006FF" w:usb1="4000205B" w:usb2="00000010" w:usb3="00000000" w:csb0="0000019F" w:csb1="00000000"/>
  </w:font>
  <w:font w:name="Arial Narrow">
    <w:panose1 w:val="020B0606020202030204"/>
    <w:charset w:val="BA"/>
    <w:family w:val="swiss"/>
    <w:pitch w:val="variable"/>
    <w:sig w:usb0="00000287" w:usb1="00000800" w:usb2="00000000" w:usb3="00000000" w:csb0="0000009F" w:csb1="00000000"/>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 w:name="JCNFAE+Arial">
    <w:altName w:val="Arial"/>
    <w:panose1 w:val="00000000000000000000"/>
    <w:charset w:val="00"/>
    <w:family w:val="swiss"/>
    <w:notTrueType/>
    <w:pitch w:val="default"/>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3862824"/>
      <w:docPartObj>
        <w:docPartGallery w:val="Page Numbers (Bottom of Page)"/>
        <w:docPartUnique/>
      </w:docPartObj>
    </w:sdtPr>
    <w:sdtEndPr>
      <w:rPr>
        <w:noProof/>
      </w:rPr>
    </w:sdtEndPr>
    <w:sdtContent>
      <w:p w:rsidR="00847B29" w:rsidRDefault="00847B29">
        <w:pPr>
          <w:pStyle w:val="Footer"/>
          <w:jc w:val="right"/>
        </w:pPr>
        <w:r>
          <w:fldChar w:fldCharType="begin"/>
        </w:r>
        <w:r>
          <w:instrText xml:space="preserve"> PAGE   \* MERGEFORMAT </w:instrText>
        </w:r>
        <w:r>
          <w:fldChar w:fldCharType="separate"/>
        </w:r>
        <w:r w:rsidR="00B360A7">
          <w:rPr>
            <w:noProof/>
          </w:rPr>
          <w:t>6</w:t>
        </w:r>
        <w:r>
          <w:rPr>
            <w:noProof/>
          </w:rPr>
          <w:fldChar w:fldCharType="end"/>
        </w:r>
      </w:p>
    </w:sdtContent>
  </w:sdt>
  <w:p w:rsidR="00847B29" w:rsidRDefault="00847B29" w:rsidP="00B8484B">
    <w:pPr>
      <w:pStyle w:val="Footer"/>
      <w:tabs>
        <w:tab w:val="left" w:pos="3390"/>
      </w:tabs>
    </w:pPr>
  </w:p>
  <w:p w:rsidR="00847B29" w:rsidRDefault="00847B2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0669041"/>
      <w:docPartObj>
        <w:docPartGallery w:val="Page Numbers (Bottom of Page)"/>
        <w:docPartUnique/>
      </w:docPartObj>
    </w:sdtPr>
    <w:sdtEndPr>
      <w:rPr>
        <w:noProof/>
      </w:rPr>
    </w:sdtEndPr>
    <w:sdtContent>
      <w:p w:rsidR="00847B29" w:rsidRDefault="00847B29">
        <w:pPr>
          <w:pStyle w:val="Footer"/>
          <w:jc w:val="right"/>
        </w:pPr>
        <w:r>
          <w:fldChar w:fldCharType="begin"/>
        </w:r>
        <w:r>
          <w:instrText xml:space="preserve"> PAGE   \* MERGEFORMAT </w:instrText>
        </w:r>
        <w:r>
          <w:fldChar w:fldCharType="separate"/>
        </w:r>
        <w:r w:rsidR="00B360A7">
          <w:rPr>
            <w:noProof/>
          </w:rPr>
          <w:t>5</w:t>
        </w:r>
        <w:r>
          <w:rPr>
            <w:noProof/>
          </w:rPr>
          <w:fldChar w:fldCharType="end"/>
        </w:r>
      </w:p>
    </w:sdtContent>
  </w:sdt>
  <w:p w:rsidR="00847B29" w:rsidRDefault="00847B29">
    <w:pPr>
      <w:pStyle w:val="Footer"/>
    </w:pPr>
  </w:p>
  <w:p w:rsidR="00847B29" w:rsidRDefault="00847B2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B29" w:rsidRDefault="00847B29">
      <w:pPr>
        <w:spacing w:after="0" w:line="240" w:lineRule="auto"/>
      </w:pPr>
      <w:r>
        <w:separator/>
      </w:r>
    </w:p>
  </w:footnote>
  <w:footnote w:type="continuationSeparator" w:id="0">
    <w:p w:rsidR="00847B29" w:rsidRDefault="00847B29">
      <w:pPr>
        <w:spacing w:after="0" w:line="240" w:lineRule="auto"/>
      </w:pPr>
      <w:r>
        <w:continuationSeparator/>
      </w:r>
    </w:p>
  </w:footnote>
  <w:footnote w:id="1">
    <w:p w:rsidR="00847B29" w:rsidRPr="00057E84" w:rsidRDefault="00847B29" w:rsidP="005A643D">
      <w:pPr>
        <w:pStyle w:val="FootnoteText"/>
        <w:rPr>
          <w:lang w:val="lv-LV"/>
        </w:rPr>
      </w:pPr>
      <w:r>
        <w:rPr>
          <w:rStyle w:val="FootnoteReference"/>
        </w:rPr>
        <w:footnoteRef/>
      </w:r>
      <w:r w:rsidRPr="007654C8">
        <w:rPr>
          <w:lang w:val="lv-LV"/>
        </w:rPr>
        <w:t xml:space="preserve"> </w:t>
      </w:r>
      <w:r w:rsidRPr="007654C8">
        <w:rPr>
          <w:sz w:val="16"/>
          <w:lang w:val="lv-LV"/>
        </w:rPr>
        <w:t>Aptaujā atsevišķi izcelta transportlīdzekļu ekspluatācijas un/ vai uzņēmumu vieglo transportlīdzekļu nodoklis, kas arī ir novērtēts ar tādu pašu intensitāti kā nodokļu likmes kopā.</w:t>
      </w:r>
    </w:p>
  </w:footnote>
  <w:footnote w:id="2">
    <w:p w:rsidR="00847B29" w:rsidRPr="007654C8" w:rsidRDefault="00847B29">
      <w:pPr>
        <w:pStyle w:val="FootnoteText"/>
        <w:rPr>
          <w:lang w:val="lv-LV"/>
        </w:rPr>
      </w:pPr>
      <w:r>
        <w:rPr>
          <w:rStyle w:val="FootnoteReference"/>
        </w:rPr>
        <w:footnoteRef/>
      </w:r>
      <w:r w:rsidRPr="000857A7">
        <w:rPr>
          <w:lang w:val="lv-LV"/>
        </w:rPr>
        <w:t xml:space="preserve"> Atbilstoši Doing Business metodoloģijai r</w:t>
      </w:r>
      <w:r>
        <w:rPr>
          <w:lang w:val="lv-LV"/>
        </w:rPr>
        <w:t>ādītājs tiek aprēķināts, attiecinot katru aprēķināto nodokļi pret uzņēmuma peļņu un saskaitot kopā.</w:t>
      </w:r>
    </w:p>
  </w:footnote>
  <w:footnote w:id="3">
    <w:p w:rsidR="00847B29" w:rsidRPr="000A0031" w:rsidRDefault="00847B29" w:rsidP="002A2698">
      <w:pPr>
        <w:pStyle w:val="FootnoteText"/>
        <w:rPr>
          <w:lang w:val="lv-LV"/>
        </w:rPr>
      </w:pPr>
      <w:r>
        <w:rPr>
          <w:rStyle w:val="FootnoteReference"/>
        </w:rPr>
        <w:footnoteRef/>
      </w:r>
      <w:r w:rsidRPr="00DF6912">
        <w:rPr>
          <w:lang w:val="lv-LV"/>
        </w:rPr>
        <w:t xml:space="preserve"> </w:t>
      </w:r>
      <w:r>
        <w:rPr>
          <w:lang w:val="lv-LV"/>
        </w:rPr>
        <w:t>FICIL publicē ieteikumus investoru vides uzlabošanai, kuru sagatavošanā iesaistīti lielākie Latvijā strādājošie uzņēmumi.</w:t>
      </w:r>
    </w:p>
  </w:footnote>
  <w:footnote w:id="4">
    <w:p w:rsidR="00847B29" w:rsidRPr="000857A7" w:rsidRDefault="00847B29">
      <w:pPr>
        <w:pStyle w:val="FootnoteText"/>
        <w:rPr>
          <w:lang w:val="lv-LV"/>
        </w:rPr>
      </w:pPr>
      <w:r>
        <w:rPr>
          <w:rStyle w:val="FootnoteReference"/>
        </w:rPr>
        <w:footnoteRef/>
      </w:r>
      <w:r>
        <w:t xml:space="preserve"> </w:t>
      </w:r>
      <w:hyperlink r:id="rId1" w:history="1">
        <w:r w:rsidRPr="00693997">
          <w:rPr>
            <w:rStyle w:val="Hyperlink"/>
            <w:lang w:val="lv-LV"/>
          </w:rPr>
          <w:t>www.doingbusiness.org</w:t>
        </w:r>
      </w:hyperlink>
      <w:r>
        <w:rPr>
          <w:lang w:val="lv-LV"/>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B29" w:rsidRDefault="00847B29">
    <w:pPr>
      <w:pStyle w:val="Header"/>
    </w:pPr>
  </w:p>
  <w:p w:rsidR="00847B29" w:rsidRDefault="00847B2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B29" w:rsidRDefault="00847B29">
    <w:pPr>
      <w:pStyle w:val="Header"/>
    </w:pPr>
  </w:p>
  <w:p w:rsidR="00847B29" w:rsidRDefault="00847B2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B29" w:rsidRDefault="00847B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79821A0"/>
    <w:lvl w:ilvl="0">
      <w:start w:val="1"/>
      <w:numFmt w:val="bullet"/>
      <w:pStyle w:val="ISHeading4"/>
      <w:lvlText w:val=""/>
      <w:lvlJc w:val="left"/>
      <w:pPr>
        <w:tabs>
          <w:tab w:val="num" w:pos="926"/>
        </w:tabs>
        <w:ind w:left="926" w:hanging="360"/>
      </w:pPr>
      <w:rPr>
        <w:rFonts w:ascii="Symbol" w:hAnsi="Symbol" w:hint="default"/>
      </w:rPr>
    </w:lvl>
  </w:abstractNum>
  <w:abstractNum w:abstractNumId="1">
    <w:nsid w:val="035B58AE"/>
    <w:multiLevelType w:val="multilevel"/>
    <w:tmpl w:val="A0DA64F4"/>
    <w:styleLink w:val="ISBullets"/>
    <w:lvl w:ilvl="0">
      <w:start w:val="1"/>
      <w:numFmt w:val="bullet"/>
      <w:lvlText w:val=""/>
      <w:lvlJc w:val="left"/>
      <w:pPr>
        <w:ind w:left="360" w:hanging="360"/>
      </w:pPr>
      <w:rPr>
        <w:rFonts w:ascii="Wingdings" w:hAnsi="Wingdings" w:hint="default"/>
        <w:color w:val="C00000"/>
        <w:sz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Symbol" w:hAnsi="Symbol" w:hint="default"/>
        <w:color w:val="5960A8"/>
        <w:sz w:val="18"/>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35D3CBA"/>
    <w:multiLevelType w:val="hybridMultilevel"/>
    <w:tmpl w:val="A4A00B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3713593"/>
    <w:multiLevelType w:val="hybridMultilevel"/>
    <w:tmpl w:val="451A8C5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56B0DC6"/>
    <w:multiLevelType w:val="hybridMultilevel"/>
    <w:tmpl w:val="17C423B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70D39DE"/>
    <w:multiLevelType w:val="hybridMultilevel"/>
    <w:tmpl w:val="87D0AE60"/>
    <w:lvl w:ilvl="0" w:tplc="08090001">
      <w:start w:val="1"/>
      <w:numFmt w:val="bullet"/>
      <w:lvlText w:val=""/>
      <w:lvlJc w:val="left"/>
      <w:pPr>
        <w:ind w:left="720" w:hanging="360"/>
      </w:pPr>
      <w:rPr>
        <w:rFonts w:ascii="Symbol" w:hAnsi="Symbo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7AB588B"/>
    <w:multiLevelType w:val="hybridMultilevel"/>
    <w:tmpl w:val="F12CAF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984408E"/>
    <w:multiLevelType w:val="multilevel"/>
    <w:tmpl w:val="EE3860A0"/>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8">
    <w:nsid w:val="0AFC2A02"/>
    <w:multiLevelType w:val="hybridMultilevel"/>
    <w:tmpl w:val="737255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0CA8413A"/>
    <w:multiLevelType w:val="hybridMultilevel"/>
    <w:tmpl w:val="2F8ED2DC"/>
    <w:name w:val="PwCListNumbers1"/>
    <w:lvl w:ilvl="0" w:tplc="3B3CC04A">
      <w:start w:val="1"/>
      <w:numFmt w:val="bullet"/>
      <w:lvlText w:val=""/>
      <w:lvlJc w:val="left"/>
      <w:pPr>
        <w:tabs>
          <w:tab w:val="num" w:pos="786"/>
        </w:tabs>
        <w:ind w:left="786" w:hanging="360"/>
      </w:pPr>
      <w:rPr>
        <w:rFonts w:ascii="Symbol" w:hAnsi="Symbol" w:hint="default"/>
        <w:color w:val="auto"/>
      </w:rPr>
    </w:lvl>
    <w:lvl w:ilvl="1" w:tplc="8FC4F990" w:tentative="1">
      <w:start w:val="1"/>
      <w:numFmt w:val="bullet"/>
      <w:lvlText w:val="o"/>
      <w:lvlJc w:val="left"/>
      <w:pPr>
        <w:ind w:left="1440" w:hanging="360"/>
      </w:pPr>
      <w:rPr>
        <w:rFonts w:ascii="Courier New" w:hAnsi="Courier New" w:cs="Courier New" w:hint="default"/>
      </w:rPr>
    </w:lvl>
    <w:lvl w:ilvl="2" w:tplc="B4AA5E5C" w:tentative="1">
      <w:start w:val="1"/>
      <w:numFmt w:val="bullet"/>
      <w:lvlText w:val=""/>
      <w:lvlJc w:val="left"/>
      <w:pPr>
        <w:ind w:left="2160" w:hanging="360"/>
      </w:pPr>
      <w:rPr>
        <w:rFonts w:ascii="Wingdings" w:hAnsi="Wingdings" w:hint="default"/>
      </w:rPr>
    </w:lvl>
    <w:lvl w:ilvl="3" w:tplc="5192D332" w:tentative="1">
      <w:start w:val="1"/>
      <w:numFmt w:val="bullet"/>
      <w:lvlText w:val=""/>
      <w:lvlJc w:val="left"/>
      <w:pPr>
        <w:ind w:left="2880" w:hanging="360"/>
      </w:pPr>
      <w:rPr>
        <w:rFonts w:ascii="Symbol" w:hAnsi="Symbol" w:hint="default"/>
      </w:rPr>
    </w:lvl>
    <w:lvl w:ilvl="4" w:tplc="E52EB844" w:tentative="1">
      <w:start w:val="1"/>
      <w:numFmt w:val="bullet"/>
      <w:lvlText w:val="o"/>
      <w:lvlJc w:val="left"/>
      <w:pPr>
        <w:ind w:left="3600" w:hanging="360"/>
      </w:pPr>
      <w:rPr>
        <w:rFonts w:ascii="Courier New" w:hAnsi="Courier New" w:cs="Courier New" w:hint="default"/>
      </w:rPr>
    </w:lvl>
    <w:lvl w:ilvl="5" w:tplc="8F9032BE" w:tentative="1">
      <w:start w:val="1"/>
      <w:numFmt w:val="bullet"/>
      <w:lvlText w:val=""/>
      <w:lvlJc w:val="left"/>
      <w:pPr>
        <w:ind w:left="4320" w:hanging="360"/>
      </w:pPr>
      <w:rPr>
        <w:rFonts w:ascii="Wingdings" w:hAnsi="Wingdings" w:hint="default"/>
      </w:rPr>
    </w:lvl>
    <w:lvl w:ilvl="6" w:tplc="1B18B178" w:tentative="1">
      <w:start w:val="1"/>
      <w:numFmt w:val="bullet"/>
      <w:lvlText w:val=""/>
      <w:lvlJc w:val="left"/>
      <w:pPr>
        <w:ind w:left="5040" w:hanging="360"/>
      </w:pPr>
      <w:rPr>
        <w:rFonts w:ascii="Symbol" w:hAnsi="Symbol" w:hint="default"/>
      </w:rPr>
    </w:lvl>
    <w:lvl w:ilvl="7" w:tplc="D45451BE" w:tentative="1">
      <w:start w:val="1"/>
      <w:numFmt w:val="bullet"/>
      <w:lvlText w:val="o"/>
      <w:lvlJc w:val="left"/>
      <w:pPr>
        <w:ind w:left="5760" w:hanging="360"/>
      </w:pPr>
      <w:rPr>
        <w:rFonts w:ascii="Courier New" w:hAnsi="Courier New" w:cs="Courier New" w:hint="default"/>
      </w:rPr>
    </w:lvl>
    <w:lvl w:ilvl="8" w:tplc="6E787EC0" w:tentative="1">
      <w:start w:val="1"/>
      <w:numFmt w:val="bullet"/>
      <w:lvlText w:val=""/>
      <w:lvlJc w:val="left"/>
      <w:pPr>
        <w:ind w:left="6480" w:hanging="360"/>
      </w:pPr>
      <w:rPr>
        <w:rFonts w:ascii="Wingdings" w:hAnsi="Wingdings" w:hint="default"/>
      </w:rPr>
    </w:lvl>
  </w:abstractNum>
  <w:abstractNum w:abstractNumId="10">
    <w:nsid w:val="0F846642"/>
    <w:multiLevelType w:val="hybridMultilevel"/>
    <w:tmpl w:val="9462F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0FBC4239"/>
    <w:multiLevelType w:val="hybridMultilevel"/>
    <w:tmpl w:val="23BE90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1133545"/>
    <w:multiLevelType w:val="hybridMultilevel"/>
    <w:tmpl w:val="68CA93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45B188C"/>
    <w:multiLevelType w:val="hybridMultilevel"/>
    <w:tmpl w:val="4B2E83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4B91FF6"/>
    <w:multiLevelType w:val="hybridMultilevel"/>
    <w:tmpl w:val="BA8E4D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160E5075"/>
    <w:multiLevelType w:val="hybridMultilevel"/>
    <w:tmpl w:val="A70E3D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1876263B"/>
    <w:multiLevelType w:val="hybridMultilevel"/>
    <w:tmpl w:val="68CA93F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93C588A"/>
    <w:multiLevelType w:val="hybridMultilevel"/>
    <w:tmpl w:val="C94E63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19475E51"/>
    <w:multiLevelType w:val="multilevel"/>
    <w:tmpl w:val="F40052A0"/>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195F00D5"/>
    <w:multiLevelType w:val="hybridMultilevel"/>
    <w:tmpl w:val="4BD0C78E"/>
    <w:name w:val="PwCListBullets12"/>
    <w:lvl w:ilvl="0" w:tplc="B176A6F6">
      <w:start w:val="1"/>
      <w:numFmt w:val="bullet"/>
      <w:lvlText w:val=""/>
      <w:lvlJc w:val="left"/>
      <w:pPr>
        <w:ind w:left="720" w:hanging="360"/>
      </w:pPr>
      <w:rPr>
        <w:rFonts w:ascii="Symbol" w:hAnsi="Symbol" w:hint="default"/>
      </w:rPr>
    </w:lvl>
    <w:lvl w:ilvl="1" w:tplc="CEF2C2B8" w:tentative="1">
      <w:start w:val="1"/>
      <w:numFmt w:val="bullet"/>
      <w:lvlText w:val="o"/>
      <w:lvlJc w:val="left"/>
      <w:pPr>
        <w:ind w:left="1440" w:hanging="360"/>
      </w:pPr>
      <w:rPr>
        <w:rFonts w:ascii="Courier New" w:hAnsi="Courier New" w:cs="Courier New" w:hint="default"/>
      </w:rPr>
    </w:lvl>
    <w:lvl w:ilvl="2" w:tplc="88C43ED0" w:tentative="1">
      <w:start w:val="1"/>
      <w:numFmt w:val="bullet"/>
      <w:lvlText w:val=""/>
      <w:lvlJc w:val="left"/>
      <w:pPr>
        <w:ind w:left="2160" w:hanging="360"/>
      </w:pPr>
      <w:rPr>
        <w:rFonts w:ascii="Wingdings" w:hAnsi="Wingdings" w:hint="default"/>
      </w:rPr>
    </w:lvl>
    <w:lvl w:ilvl="3" w:tplc="2E2C91F8" w:tentative="1">
      <w:start w:val="1"/>
      <w:numFmt w:val="bullet"/>
      <w:lvlText w:val=""/>
      <w:lvlJc w:val="left"/>
      <w:pPr>
        <w:ind w:left="2880" w:hanging="360"/>
      </w:pPr>
      <w:rPr>
        <w:rFonts w:ascii="Symbol" w:hAnsi="Symbol" w:hint="default"/>
      </w:rPr>
    </w:lvl>
    <w:lvl w:ilvl="4" w:tplc="55844046" w:tentative="1">
      <w:start w:val="1"/>
      <w:numFmt w:val="bullet"/>
      <w:lvlText w:val="o"/>
      <w:lvlJc w:val="left"/>
      <w:pPr>
        <w:ind w:left="3600" w:hanging="360"/>
      </w:pPr>
      <w:rPr>
        <w:rFonts w:ascii="Courier New" w:hAnsi="Courier New" w:cs="Courier New" w:hint="default"/>
      </w:rPr>
    </w:lvl>
    <w:lvl w:ilvl="5" w:tplc="113C9D08" w:tentative="1">
      <w:start w:val="1"/>
      <w:numFmt w:val="bullet"/>
      <w:lvlText w:val=""/>
      <w:lvlJc w:val="left"/>
      <w:pPr>
        <w:ind w:left="4320" w:hanging="360"/>
      </w:pPr>
      <w:rPr>
        <w:rFonts w:ascii="Wingdings" w:hAnsi="Wingdings" w:hint="default"/>
      </w:rPr>
    </w:lvl>
    <w:lvl w:ilvl="6" w:tplc="D3E21EF0" w:tentative="1">
      <w:start w:val="1"/>
      <w:numFmt w:val="bullet"/>
      <w:lvlText w:val=""/>
      <w:lvlJc w:val="left"/>
      <w:pPr>
        <w:ind w:left="5040" w:hanging="360"/>
      </w:pPr>
      <w:rPr>
        <w:rFonts w:ascii="Symbol" w:hAnsi="Symbol" w:hint="default"/>
      </w:rPr>
    </w:lvl>
    <w:lvl w:ilvl="7" w:tplc="67AA7D52" w:tentative="1">
      <w:start w:val="1"/>
      <w:numFmt w:val="bullet"/>
      <w:lvlText w:val="o"/>
      <w:lvlJc w:val="left"/>
      <w:pPr>
        <w:ind w:left="5760" w:hanging="360"/>
      </w:pPr>
      <w:rPr>
        <w:rFonts w:ascii="Courier New" w:hAnsi="Courier New" w:cs="Courier New" w:hint="default"/>
      </w:rPr>
    </w:lvl>
    <w:lvl w:ilvl="8" w:tplc="542C93B6" w:tentative="1">
      <w:start w:val="1"/>
      <w:numFmt w:val="bullet"/>
      <w:lvlText w:val=""/>
      <w:lvlJc w:val="left"/>
      <w:pPr>
        <w:ind w:left="6480" w:hanging="360"/>
      </w:pPr>
      <w:rPr>
        <w:rFonts w:ascii="Wingdings" w:hAnsi="Wingdings" w:hint="default"/>
      </w:rPr>
    </w:lvl>
  </w:abstractNum>
  <w:abstractNum w:abstractNumId="20">
    <w:nsid w:val="19D93D64"/>
    <w:multiLevelType w:val="hybridMultilevel"/>
    <w:tmpl w:val="B17C5F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1D395CAF"/>
    <w:multiLevelType w:val="multilevel"/>
    <w:tmpl w:val="DF08BDCA"/>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nsid w:val="1E62465C"/>
    <w:multiLevelType w:val="hybridMultilevel"/>
    <w:tmpl w:val="2FB47F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208E0D95"/>
    <w:multiLevelType w:val="hybridMultilevel"/>
    <w:tmpl w:val="D0B06A02"/>
    <w:lvl w:ilvl="0" w:tplc="08090011">
      <w:start w:val="1"/>
      <w:numFmt w:val="decimal"/>
      <w:lvlText w:val="%1)"/>
      <w:lvlJc w:val="left"/>
      <w:pPr>
        <w:ind w:left="720" w:hanging="360"/>
      </w:pPr>
      <w:rPr>
        <w:rFonts w:hint="default"/>
      </w:rPr>
    </w:lvl>
    <w:lvl w:ilvl="1" w:tplc="458EE4CC">
      <w:start w:val="1"/>
      <w:numFmt w:val="decimal"/>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22500920"/>
    <w:multiLevelType w:val="hybridMultilevel"/>
    <w:tmpl w:val="04C2D6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240F7B9B"/>
    <w:multiLevelType w:val="hybridMultilevel"/>
    <w:tmpl w:val="8B04ABF2"/>
    <w:name w:val="PwCListNumbers12"/>
    <w:lvl w:ilvl="0" w:tplc="68923C10">
      <w:start w:val="1"/>
      <w:numFmt w:val="bullet"/>
      <w:lvlText w:val=""/>
      <w:lvlJc w:val="left"/>
      <w:pPr>
        <w:ind w:left="360" w:hanging="360"/>
      </w:pPr>
      <w:rPr>
        <w:rFonts w:ascii="Symbol" w:hAnsi="Symbol" w:hint="default"/>
      </w:rPr>
    </w:lvl>
    <w:lvl w:ilvl="1" w:tplc="B728202A" w:tentative="1">
      <w:start w:val="1"/>
      <w:numFmt w:val="bullet"/>
      <w:lvlText w:val="o"/>
      <w:lvlJc w:val="left"/>
      <w:pPr>
        <w:ind w:left="720" w:hanging="360"/>
      </w:pPr>
      <w:rPr>
        <w:rFonts w:ascii="Courier New" w:hAnsi="Courier New" w:cs="Courier New" w:hint="default"/>
      </w:rPr>
    </w:lvl>
    <w:lvl w:ilvl="2" w:tplc="72BE5FBE" w:tentative="1">
      <w:start w:val="1"/>
      <w:numFmt w:val="bullet"/>
      <w:lvlText w:val=""/>
      <w:lvlJc w:val="left"/>
      <w:pPr>
        <w:ind w:left="1440" w:hanging="360"/>
      </w:pPr>
      <w:rPr>
        <w:rFonts w:ascii="Wingdings" w:hAnsi="Wingdings" w:hint="default"/>
      </w:rPr>
    </w:lvl>
    <w:lvl w:ilvl="3" w:tplc="71E023A6" w:tentative="1">
      <w:start w:val="1"/>
      <w:numFmt w:val="bullet"/>
      <w:lvlText w:val=""/>
      <w:lvlJc w:val="left"/>
      <w:pPr>
        <w:ind w:left="2160" w:hanging="360"/>
      </w:pPr>
      <w:rPr>
        <w:rFonts w:ascii="Symbol" w:hAnsi="Symbol" w:hint="default"/>
      </w:rPr>
    </w:lvl>
    <w:lvl w:ilvl="4" w:tplc="170ED7CA" w:tentative="1">
      <w:start w:val="1"/>
      <w:numFmt w:val="bullet"/>
      <w:lvlText w:val="o"/>
      <w:lvlJc w:val="left"/>
      <w:pPr>
        <w:ind w:left="2880" w:hanging="360"/>
      </w:pPr>
      <w:rPr>
        <w:rFonts w:ascii="Courier New" w:hAnsi="Courier New" w:cs="Courier New" w:hint="default"/>
      </w:rPr>
    </w:lvl>
    <w:lvl w:ilvl="5" w:tplc="137608B6" w:tentative="1">
      <w:start w:val="1"/>
      <w:numFmt w:val="bullet"/>
      <w:lvlText w:val=""/>
      <w:lvlJc w:val="left"/>
      <w:pPr>
        <w:ind w:left="3600" w:hanging="360"/>
      </w:pPr>
      <w:rPr>
        <w:rFonts w:ascii="Wingdings" w:hAnsi="Wingdings" w:hint="default"/>
      </w:rPr>
    </w:lvl>
    <w:lvl w:ilvl="6" w:tplc="775EC608" w:tentative="1">
      <w:start w:val="1"/>
      <w:numFmt w:val="bullet"/>
      <w:lvlText w:val=""/>
      <w:lvlJc w:val="left"/>
      <w:pPr>
        <w:ind w:left="4320" w:hanging="360"/>
      </w:pPr>
      <w:rPr>
        <w:rFonts w:ascii="Symbol" w:hAnsi="Symbol" w:hint="default"/>
      </w:rPr>
    </w:lvl>
    <w:lvl w:ilvl="7" w:tplc="D66CA1C6" w:tentative="1">
      <w:start w:val="1"/>
      <w:numFmt w:val="bullet"/>
      <w:lvlText w:val="o"/>
      <w:lvlJc w:val="left"/>
      <w:pPr>
        <w:ind w:left="5040" w:hanging="360"/>
      </w:pPr>
      <w:rPr>
        <w:rFonts w:ascii="Courier New" w:hAnsi="Courier New" w:cs="Courier New" w:hint="default"/>
      </w:rPr>
    </w:lvl>
    <w:lvl w:ilvl="8" w:tplc="B62C30B8" w:tentative="1">
      <w:start w:val="1"/>
      <w:numFmt w:val="bullet"/>
      <w:lvlText w:val=""/>
      <w:lvlJc w:val="left"/>
      <w:pPr>
        <w:ind w:left="5760" w:hanging="360"/>
      </w:pPr>
      <w:rPr>
        <w:rFonts w:ascii="Wingdings" w:hAnsi="Wingdings" w:hint="default"/>
      </w:rPr>
    </w:lvl>
  </w:abstractNum>
  <w:abstractNum w:abstractNumId="26">
    <w:nsid w:val="27A51471"/>
    <w:multiLevelType w:val="multilevel"/>
    <w:tmpl w:val="D67830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28092E9B"/>
    <w:multiLevelType w:val="multilevel"/>
    <w:tmpl w:val="54D03A4E"/>
    <w:lvl w:ilvl="0">
      <w:start w:val="1"/>
      <w:numFmt w:val="bullet"/>
      <w:lvlText w:val=""/>
      <w:lvlJc w:val="left"/>
      <w:pPr>
        <w:ind w:left="360" w:hanging="360"/>
      </w:pPr>
      <w:rPr>
        <w:rFonts w:ascii="Symbol" w:hAnsi="Symbol" w:hint="default"/>
        <w:b w:val="0"/>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285044DE"/>
    <w:multiLevelType w:val="hybridMultilevel"/>
    <w:tmpl w:val="7244FA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28905486"/>
    <w:multiLevelType w:val="multilevel"/>
    <w:tmpl w:val="CD4C98AE"/>
    <w:numStyleLink w:val="PwCListBullets1"/>
  </w:abstractNum>
  <w:abstractNum w:abstractNumId="30">
    <w:nsid w:val="2A604E1D"/>
    <w:multiLevelType w:val="multilevel"/>
    <w:tmpl w:val="54D03A4E"/>
    <w:lvl w:ilvl="0">
      <w:start w:val="1"/>
      <w:numFmt w:val="bullet"/>
      <w:lvlText w:val=""/>
      <w:lvlJc w:val="left"/>
      <w:pPr>
        <w:ind w:left="360" w:hanging="360"/>
      </w:pPr>
      <w:rPr>
        <w:rFonts w:ascii="Symbol" w:hAnsi="Symbol" w:hint="default"/>
        <w:b w:val="0"/>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2B907C80"/>
    <w:multiLevelType w:val="multilevel"/>
    <w:tmpl w:val="73B099A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2CC078C6"/>
    <w:multiLevelType w:val="hybridMultilevel"/>
    <w:tmpl w:val="B46C319A"/>
    <w:lvl w:ilvl="0" w:tplc="714E5204">
      <w:start w:val="7"/>
      <w:numFmt w:val="bullet"/>
      <w:lvlText w:val="-"/>
      <w:lvlJc w:val="left"/>
      <w:pPr>
        <w:ind w:left="927" w:hanging="360"/>
      </w:pPr>
      <w:rPr>
        <w:rFonts w:ascii="Calibri" w:eastAsiaTheme="minorHAnsi" w:hAnsi="Calibri" w:cstheme="minorBidi" w:hint="default"/>
      </w:rPr>
    </w:lvl>
    <w:lvl w:ilvl="1" w:tplc="04260003">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33">
    <w:nsid w:val="2DC634BE"/>
    <w:multiLevelType w:val="hybridMultilevel"/>
    <w:tmpl w:val="1BEEE6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2FDF3EF1"/>
    <w:multiLevelType w:val="hybridMultilevel"/>
    <w:tmpl w:val="E6DAF6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3039297B"/>
    <w:multiLevelType w:val="hybridMultilevel"/>
    <w:tmpl w:val="059C74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305F564E"/>
    <w:multiLevelType w:val="hybridMultilevel"/>
    <w:tmpl w:val="7116C58C"/>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37">
    <w:nsid w:val="32E713B8"/>
    <w:multiLevelType w:val="hybridMultilevel"/>
    <w:tmpl w:val="564C3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331C67A8"/>
    <w:multiLevelType w:val="hybridMultilevel"/>
    <w:tmpl w:val="58A4180C"/>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34403B8B"/>
    <w:multiLevelType w:val="singleLevel"/>
    <w:tmpl w:val="EA0454F6"/>
    <w:lvl w:ilvl="0">
      <w:start w:val="1"/>
      <w:numFmt w:val="bullet"/>
      <w:lvlText w:val="-"/>
      <w:lvlJc w:val="left"/>
      <w:pPr>
        <w:tabs>
          <w:tab w:val="num" w:pos="720"/>
        </w:tabs>
        <w:ind w:left="720" w:hanging="360"/>
      </w:pPr>
      <w:rPr>
        <w:rFonts w:hint="default"/>
      </w:rPr>
    </w:lvl>
  </w:abstractNum>
  <w:abstractNum w:abstractNumId="40">
    <w:nsid w:val="37B611FC"/>
    <w:multiLevelType w:val="hybridMultilevel"/>
    <w:tmpl w:val="42AE8D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3923330E"/>
    <w:multiLevelType w:val="hybridMultilevel"/>
    <w:tmpl w:val="4C14336C"/>
    <w:lvl w:ilvl="0" w:tplc="699CF4D6">
      <w:start w:val="1"/>
      <w:numFmt w:val="decimal"/>
      <w:lvlText w:val="%1."/>
      <w:lvlJc w:val="left"/>
      <w:pPr>
        <w:ind w:left="459" w:hanging="360"/>
      </w:pPr>
      <w:rPr>
        <w:rFonts w:hint="default"/>
      </w:rPr>
    </w:lvl>
    <w:lvl w:ilvl="1" w:tplc="08090019" w:tentative="1">
      <w:start w:val="1"/>
      <w:numFmt w:val="lowerLetter"/>
      <w:lvlText w:val="%2."/>
      <w:lvlJc w:val="left"/>
      <w:pPr>
        <w:ind w:left="1179" w:hanging="360"/>
      </w:pPr>
    </w:lvl>
    <w:lvl w:ilvl="2" w:tplc="0809001B" w:tentative="1">
      <w:start w:val="1"/>
      <w:numFmt w:val="lowerRoman"/>
      <w:lvlText w:val="%3."/>
      <w:lvlJc w:val="right"/>
      <w:pPr>
        <w:ind w:left="1899" w:hanging="180"/>
      </w:pPr>
    </w:lvl>
    <w:lvl w:ilvl="3" w:tplc="0809000F" w:tentative="1">
      <w:start w:val="1"/>
      <w:numFmt w:val="decimal"/>
      <w:lvlText w:val="%4."/>
      <w:lvlJc w:val="left"/>
      <w:pPr>
        <w:ind w:left="2619" w:hanging="360"/>
      </w:pPr>
    </w:lvl>
    <w:lvl w:ilvl="4" w:tplc="08090019" w:tentative="1">
      <w:start w:val="1"/>
      <w:numFmt w:val="lowerLetter"/>
      <w:lvlText w:val="%5."/>
      <w:lvlJc w:val="left"/>
      <w:pPr>
        <w:ind w:left="3339" w:hanging="360"/>
      </w:pPr>
    </w:lvl>
    <w:lvl w:ilvl="5" w:tplc="0809001B" w:tentative="1">
      <w:start w:val="1"/>
      <w:numFmt w:val="lowerRoman"/>
      <w:lvlText w:val="%6."/>
      <w:lvlJc w:val="right"/>
      <w:pPr>
        <w:ind w:left="4059" w:hanging="180"/>
      </w:pPr>
    </w:lvl>
    <w:lvl w:ilvl="6" w:tplc="0809000F" w:tentative="1">
      <w:start w:val="1"/>
      <w:numFmt w:val="decimal"/>
      <w:lvlText w:val="%7."/>
      <w:lvlJc w:val="left"/>
      <w:pPr>
        <w:ind w:left="4779" w:hanging="360"/>
      </w:pPr>
    </w:lvl>
    <w:lvl w:ilvl="7" w:tplc="08090019" w:tentative="1">
      <w:start w:val="1"/>
      <w:numFmt w:val="lowerLetter"/>
      <w:lvlText w:val="%8."/>
      <w:lvlJc w:val="left"/>
      <w:pPr>
        <w:ind w:left="5499" w:hanging="360"/>
      </w:pPr>
    </w:lvl>
    <w:lvl w:ilvl="8" w:tplc="0809001B" w:tentative="1">
      <w:start w:val="1"/>
      <w:numFmt w:val="lowerRoman"/>
      <w:lvlText w:val="%9."/>
      <w:lvlJc w:val="right"/>
      <w:pPr>
        <w:ind w:left="6219" w:hanging="180"/>
      </w:pPr>
    </w:lvl>
  </w:abstractNum>
  <w:abstractNum w:abstractNumId="42">
    <w:nsid w:val="3A4A5DB6"/>
    <w:multiLevelType w:val="hybridMultilevel"/>
    <w:tmpl w:val="51407D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3A57486E"/>
    <w:multiLevelType w:val="multilevel"/>
    <w:tmpl w:val="EE3860A0"/>
    <w:numStyleLink w:val="PwCListNumbers1"/>
  </w:abstractNum>
  <w:abstractNum w:abstractNumId="44">
    <w:nsid w:val="3AD420A6"/>
    <w:multiLevelType w:val="hybridMultilevel"/>
    <w:tmpl w:val="59DCD5B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3AF46D80"/>
    <w:multiLevelType w:val="multilevel"/>
    <w:tmpl w:val="5A8AEEB0"/>
    <w:lvl w:ilvl="0">
      <w:start w:val="1"/>
      <w:numFmt w:val="decimal"/>
      <w:lvlText w:val="%1."/>
      <w:lvlJc w:val="left"/>
      <w:pPr>
        <w:tabs>
          <w:tab w:val="num" w:pos="720"/>
        </w:tabs>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nsid w:val="3D0D616A"/>
    <w:multiLevelType w:val="hybridMultilevel"/>
    <w:tmpl w:val="D9A87C1E"/>
    <w:lvl w:ilvl="0" w:tplc="08090011">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nsid w:val="3DC872B1"/>
    <w:multiLevelType w:val="hybridMultilevel"/>
    <w:tmpl w:val="5B9E13AA"/>
    <w:lvl w:ilvl="0" w:tplc="0809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8">
    <w:nsid w:val="3E8532F8"/>
    <w:multiLevelType w:val="hybridMultilevel"/>
    <w:tmpl w:val="123002BA"/>
    <w:lvl w:ilvl="0" w:tplc="7A26827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nsid w:val="3FA55811"/>
    <w:multiLevelType w:val="hybridMultilevel"/>
    <w:tmpl w:val="BD6C59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nsid w:val="404139D8"/>
    <w:multiLevelType w:val="hybridMultilevel"/>
    <w:tmpl w:val="A42E1142"/>
    <w:name w:val="PwCListNumbers13"/>
    <w:lvl w:ilvl="0" w:tplc="C808666A">
      <w:start w:val="1"/>
      <w:numFmt w:val="bullet"/>
      <w:lvlText w:val=""/>
      <w:lvlJc w:val="left"/>
      <w:pPr>
        <w:ind w:left="720" w:hanging="360"/>
      </w:pPr>
      <w:rPr>
        <w:rFonts w:ascii="Symbol" w:hAnsi="Symbol" w:hint="default"/>
      </w:rPr>
    </w:lvl>
    <w:lvl w:ilvl="1" w:tplc="6E4CF300">
      <w:start w:val="1"/>
      <w:numFmt w:val="bullet"/>
      <w:lvlText w:val=""/>
      <w:lvlJc w:val="left"/>
      <w:pPr>
        <w:tabs>
          <w:tab w:val="num" w:pos="1440"/>
        </w:tabs>
        <w:ind w:left="1440" w:hanging="360"/>
      </w:pPr>
      <w:rPr>
        <w:rFonts w:ascii="Wingdings" w:hAnsi="Wingdings" w:hint="default"/>
      </w:rPr>
    </w:lvl>
    <w:lvl w:ilvl="2" w:tplc="FB6298D8">
      <w:start w:val="1"/>
      <w:numFmt w:val="decimal"/>
      <w:lvlText w:val="%3."/>
      <w:lvlJc w:val="left"/>
      <w:pPr>
        <w:tabs>
          <w:tab w:val="num" w:pos="2160"/>
        </w:tabs>
        <w:ind w:left="2160" w:hanging="360"/>
      </w:pPr>
    </w:lvl>
    <w:lvl w:ilvl="3" w:tplc="38243CB6">
      <w:start w:val="1"/>
      <w:numFmt w:val="decimal"/>
      <w:lvlText w:val="%4."/>
      <w:lvlJc w:val="left"/>
      <w:pPr>
        <w:tabs>
          <w:tab w:val="num" w:pos="2880"/>
        </w:tabs>
        <w:ind w:left="2880" w:hanging="360"/>
      </w:pPr>
    </w:lvl>
    <w:lvl w:ilvl="4" w:tplc="6CFA3CC6">
      <w:start w:val="1"/>
      <w:numFmt w:val="decimal"/>
      <w:lvlText w:val="%5."/>
      <w:lvlJc w:val="left"/>
      <w:pPr>
        <w:tabs>
          <w:tab w:val="num" w:pos="3600"/>
        </w:tabs>
        <w:ind w:left="3600" w:hanging="360"/>
      </w:pPr>
    </w:lvl>
    <w:lvl w:ilvl="5" w:tplc="CE24B6D0">
      <w:start w:val="1"/>
      <w:numFmt w:val="decimal"/>
      <w:lvlText w:val="%6."/>
      <w:lvlJc w:val="left"/>
      <w:pPr>
        <w:tabs>
          <w:tab w:val="num" w:pos="4320"/>
        </w:tabs>
        <w:ind w:left="4320" w:hanging="360"/>
      </w:pPr>
    </w:lvl>
    <w:lvl w:ilvl="6" w:tplc="EF54FA1A">
      <w:start w:val="1"/>
      <w:numFmt w:val="decimal"/>
      <w:lvlText w:val="%7."/>
      <w:lvlJc w:val="left"/>
      <w:pPr>
        <w:tabs>
          <w:tab w:val="num" w:pos="5040"/>
        </w:tabs>
        <w:ind w:left="5040" w:hanging="360"/>
      </w:pPr>
    </w:lvl>
    <w:lvl w:ilvl="7" w:tplc="81507E5E">
      <w:start w:val="1"/>
      <w:numFmt w:val="decimal"/>
      <w:lvlText w:val="%8."/>
      <w:lvlJc w:val="left"/>
      <w:pPr>
        <w:tabs>
          <w:tab w:val="num" w:pos="5760"/>
        </w:tabs>
        <w:ind w:left="5760" w:hanging="360"/>
      </w:pPr>
    </w:lvl>
    <w:lvl w:ilvl="8" w:tplc="6B2264F2">
      <w:start w:val="1"/>
      <w:numFmt w:val="decimal"/>
      <w:lvlText w:val="%9."/>
      <w:lvlJc w:val="left"/>
      <w:pPr>
        <w:tabs>
          <w:tab w:val="num" w:pos="6480"/>
        </w:tabs>
        <w:ind w:left="6480" w:hanging="360"/>
      </w:pPr>
    </w:lvl>
  </w:abstractNum>
  <w:abstractNum w:abstractNumId="51">
    <w:nsid w:val="412E389C"/>
    <w:multiLevelType w:val="hybridMultilevel"/>
    <w:tmpl w:val="1B10B1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4161717D"/>
    <w:multiLevelType w:val="hybridMultilevel"/>
    <w:tmpl w:val="38AA1AE2"/>
    <w:lvl w:ilvl="0" w:tplc="80D26CD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423B0998"/>
    <w:multiLevelType w:val="hybridMultilevel"/>
    <w:tmpl w:val="16A89F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429F7D38"/>
    <w:multiLevelType w:val="hybridMultilevel"/>
    <w:tmpl w:val="450C3414"/>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5">
    <w:nsid w:val="43E9042A"/>
    <w:multiLevelType w:val="hybridMultilevel"/>
    <w:tmpl w:val="D35E5A0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nsid w:val="461E2FF6"/>
    <w:multiLevelType w:val="hybridMultilevel"/>
    <w:tmpl w:val="535ED6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nsid w:val="47717C0C"/>
    <w:multiLevelType w:val="hybridMultilevel"/>
    <w:tmpl w:val="8E3037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nsid w:val="48F34375"/>
    <w:multiLevelType w:val="hybridMultilevel"/>
    <w:tmpl w:val="C10095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nsid w:val="499E6952"/>
    <w:multiLevelType w:val="hybridMultilevel"/>
    <w:tmpl w:val="9E7C9E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nsid w:val="4AED2CDD"/>
    <w:multiLevelType w:val="hybridMultilevel"/>
    <w:tmpl w:val="A41896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800" w:hanging="72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nsid w:val="4CB162C2"/>
    <w:multiLevelType w:val="hybridMultilevel"/>
    <w:tmpl w:val="E88833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nsid w:val="52A95754"/>
    <w:multiLevelType w:val="multilevel"/>
    <w:tmpl w:val="5DD06F5E"/>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nsid w:val="53454C16"/>
    <w:multiLevelType w:val="hybridMultilevel"/>
    <w:tmpl w:val="3FCE16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nsid w:val="544230DA"/>
    <w:multiLevelType w:val="hybridMultilevel"/>
    <w:tmpl w:val="9ADC5CEA"/>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nsid w:val="55EF7030"/>
    <w:multiLevelType w:val="multilevel"/>
    <w:tmpl w:val="82A6A73A"/>
    <w:lvl w:ilvl="0">
      <w:start w:val="1"/>
      <w:numFmt w:val="decimal"/>
      <w:pStyle w:val="Heading1"/>
      <w:lvlText w:val="%1"/>
      <w:lvlJc w:val="left"/>
      <w:pPr>
        <w:ind w:left="716"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6">
    <w:nsid w:val="572E4355"/>
    <w:multiLevelType w:val="hybridMultilevel"/>
    <w:tmpl w:val="56BE0AEA"/>
    <w:lvl w:ilvl="0" w:tplc="1C9041FE">
      <w:start w:val="1"/>
      <w:numFmt w:val="decimal"/>
      <w:lvlText w:val="%1."/>
      <w:lvlJc w:val="left"/>
      <w:pPr>
        <w:ind w:left="720" w:hanging="360"/>
      </w:pPr>
      <w:rPr>
        <w:rFonts w:asciiTheme="majorHAnsi" w:hAnsiTheme="majorHAnsi"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nsid w:val="57837B8C"/>
    <w:multiLevelType w:val="hybridMultilevel"/>
    <w:tmpl w:val="83C0E52E"/>
    <w:lvl w:ilvl="0" w:tplc="CBD67E9C">
      <w:start w:val="1"/>
      <w:numFmt w:val="bullet"/>
      <w:lvlText w:val=""/>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8">
    <w:nsid w:val="57CA32B9"/>
    <w:multiLevelType w:val="hybridMultilevel"/>
    <w:tmpl w:val="2C10AF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nsid w:val="59F97A98"/>
    <w:multiLevelType w:val="hybridMultilevel"/>
    <w:tmpl w:val="589021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nsid w:val="5A5234AF"/>
    <w:multiLevelType w:val="multilevel"/>
    <w:tmpl w:val="54D03A4E"/>
    <w:lvl w:ilvl="0">
      <w:start w:val="1"/>
      <w:numFmt w:val="bullet"/>
      <w:lvlText w:val=""/>
      <w:lvlJc w:val="left"/>
      <w:pPr>
        <w:ind w:left="360" w:hanging="360"/>
      </w:pPr>
      <w:rPr>
        <w:rFonts w:ascii="Symbol" w:hAnsi="Symbol" w:hint="default"/>
        <w:b w:val="0"/>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nsid w:val="5F395942"/>
    <w:multiLevelType w:val="multilevel"/>
    <w:tmpl w:val="54D03A4E"/>
    <w:lvl w:ilvl="0">
      <w:start w:val="1"/>
      <w:numFmt w:val="bullet"/>
      <w:lvlText w:val=""/>
      <w:lvlJc w:val="left"/>
      <w:pPr>
        <w:ind w:left="360" w:hanging="360"/>
      </w:pPr>
      <w:rPr>
        <w:rFonts w:ascii="Symbol" w:hAnsi="Symbol" w:hint="default"/>
        <w:b w:val="0"/>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nsid w:val="60DE7C0A"/>
    <w:multiLevelType w:val="hybridMultilevel"/>
    <w:tmpl w:val="8EE43096"/>
    <w:lvl w:ilvl="0" w:tplc="D7A6A654">
      <w:start w:val="1"/>
      <w:numFmt w:val="decimal"/>
      <w:lvlText w:val="%1."/>
      <w:lvlJc w:val="left"/>
      <w:pPr>
        <w:ind w:left="459" w:hanging="360"/>
      </w:pPr>
      <w:rPr>
        <w:rFonts w:hint="default"/>
      </w:rPr>
    </w:lvl>
    <w:lvl w:ilvl="1" w:tplc="08090019" w:tentative="1">
      <w:start w:val="1"/>
      <w:numFmt w:val="lowerLetter"/>
      <w:lvlText w:val="%2."/>
      <w:lvlJc w:val="left"/>
      <w:pPr>
        <w:ind w:left="1179" w:hanging="360"/>
      </w:pPr>
    </w:lvl>
    <w:lvl w:ilvl="2" w:tplc="0809001B" w:tentative="1">
      <w:start w:val="1"/>
      <w:numFmt w:val="lowerRoman"/>
      <w:lvlText w:val="%3."/>
      <w:lvlJc w:val="right"/>
      <w:pPr>
        <w:ind w:left="1899" w:hanging="180"/>
      </w:pPr>
    </w:lvl>
    <w:lvl w:ilvl="3" w:tplc="0809000F" w:tentative="1">
      <w:start w:val="1"/>
      <w:numFmt w:val="decimal"/>
      <w:lvlText w:val="%4."/>
      <w:lvlJc w:val="left"/>
      <w:pPr>
        <w:ind w:left="2619" w:hanging="360"/>
      </w:pPr>
    </w:lvl>
    <w:lvl w:ilvl="4" w:tplc="08090019" w:tentative="1">
      <w:start w:val="1"/>
      <w:numFmt w:val="lowerLetter"/>
      <w:lvlText w:val="%5."/>
      <w:lvlJc w:val="left"/>
      <w:pPr>
        <w:ind w:left="3339" w:hanging="360"/>
      </w:pPr>
    </w:lvl>
    <w:lvl w:ilvl="5" w:tplc="0809001B" w:tentative="1">
      <w:start w:val="1"/>
      <w:numFmt w:val="lowerRoman"/>
      <w:lvlText w:val="%6."/>
      <w:lvlJc w:val="right"/>
      <w:pPr>
        <w:ind w:left="4059" w:hanging="180"/>
      </w:pPr>
    </w:lvl>
    <w:lvl w:ilvl="6" w:tplc="0809000F" w:tentative="1">
      <w:start w:val="1"/>
      <w:numFmt w:val="decimal"/>
      <w:lvlText w:val="%7."/>
      <w:lvlJc w:val="left"/>
      <w:pPr>
        <w:ind w:left="4779" w:hanging="360"/>
      </w:pPr>
    </w:lvl>
    <w:lvl w:ilvl="7" w:tplc="08090019" w:tentative="1">
      <w:start w:val="1"/>
      <w:numFmt w:val="lowerLetter"/>
      <w:lvlText w:val="%8."/>
      <w:lvlJc w:val="left"/>
      <w:pPr>
        <w:ind w:left="5499" w:hanging="360"/>
      </w:pPr>
    </w:lvl>
    <w:lvl w:ilvl="8" w:tplc="0809001B" w:tentative="1">
      <w:start w:val="1"/>
      <w:numFmt w:val="lowerRoman"/>
      <w:lvlText w:val="%9."/>
      <w:lvlJc w:val="right"/>
      <w:pPr>
        <w:ind w:left="6219" w:hanging="180"/>
      </w:pPr>
    </w:lvl>
  </w:abstractNum>
  <w:abstractNum w:abstractNumId="73">
    <w:nsid w:val="612A4620"/>
    <w:multiLevelType w:val="singleLevel"/>
    <w:tmpl w:val="082E1A78"/>
    <w:lvl w:ilvl="0">
      <w:start w:val="1"/>
      <w:numFmt w:val="lowerLetter"/>
      <w:lvlText w:val="%1)"/>
      <w:lvlJc w:val="left"/>
      <w:pPr>
        <w:tabs>
          <w:tab w:val="num" w:pos="720"/>
        </w:tabs>
        <w:ind w:left="720" w:hanging="360"/>
      </w:pPr>
      <w:rPr>
        <w:rFonts w:hint="default"/>
      </w:rPr>
    </w:lvl>
  </w:abstractNum>
  <w:abstractNum w:abstractNumId="74">
    <w:nsid w:val="63074974"/>
    <w:multiLevelType w:val="hybridMultilevel"/>
    <w:tmpl w:val="42CC15B0"/>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nsid w:val="68AF533E"/>
    <w:multiLevelType w:val="multilevel"/>
    <w:tmpl w:val="54D03A4E"/>
    <w:lvl w:ilvl="0">
      <w:start w:val="1"/>
      <w:numFmt w:val="bullet"/>
      <w:lvlText w:val=""/>
      <w:lvlJc w:val="left"/>
      <w:pPr>
        <w:ind w:left="360" w:hanging="360"/>
      </w:pPr>
      <w:rPr>
        <w:rFonts w:ascii="Symbol" w:hAnsi="Symbol" w:hint="default"/>
        <w:b w:val="0"/>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nsid w:val="6C9C6C87"/>
    <w:multiLevelType w:val="multilevel"/>
    <w:tmpl w:val="F9445A90"/>
    <w:lvl w:ilvl="0">
      <w:start w:val="1"/>
      <w:numFmt w:val="lowerLetter"/>
      <w:pStyle w:val="ListAlpha"/>
      <w:lvlText w:val="%1."/>
      <w:lvlJc w:val="left"/>
      <w:pPr>
        <w:tabs>
          <w:tab w:val="num" w:pos="397"/>
        </w:tabs>
        <w:ind w:left="397" w:hanging="397"/>
      </w:pPr>
      <w:rPr>
        <w:rFonts w:asciiTheme="minorHAnsi" w:hAnsiTheme="minorHAnsi" w:hint="default"/>
        <w:sz w:val="20"/>
      </w:rPr>
    </w:lvl>
    <w:lvl w:ilvl="1">
      <w:start w:val="1"/>
      <w:numFmt w:val="lowerLetter"/>
      <w:pStyle w:val="ListAlpha2"/>
      <w:lvlText w:val="%2."/>
      <w:lvlJc w:val="left"/>
      <w:pPr>
        <w:tabs>
          <w:tab w:val="num" w:pos="794"/>
        </w:tabs>
        <w:ind w:left="794" w:hanging="397"/>
      </w:pPr>
      <w:rPr>
        <w:rFonts w:asciiTheme="minorHAnsi" w:hAnsiTheme="minorHAnsi" w:hint="default"/>
      </w:rPr>
    </w:lvl>
    <w:lvl w:ilvl="2">
      <w:start w:val="1"/>
      <w:numFmt w:val="lowerLetter"/>
      <w:pStyle w:val="ListAlpha3"/>
      <w:lvlText w:val="%3."/>
      <w:lvlJc w:val="left"/>
      <w:pPr>
        <w:tabs>
          <w:tab w:val="num" w:pos="1191"/>
        </w:tabs>
        <w:ind w:left="1191" w:hanging="397"/>
      </w:pPr>
      <w:rPr>
        <w:rFonts w:asciiTheme="minorHAnsi" w:hAnsiTheme="minorHAnsi" w:hint="default"/>
      </w:rPr>
    </w:lvl>
    <w:lvl w:ilvl="3">
      <w:start w:val="1"/>
      <w:numFmt w:val="lowerLetter"/>
      <w:pStyle w:val="ListAlpha4"/>
      <w:lvlText w:val="%4."/>
      <w:lvlJc w:val="left"/>
      <w:pPr>
        <w:tabs>
          <w:tab w:val="num" w:pos="1588"/>
        </w:tabs>
        <w:ind w:left="1588" w:hanging="397"/>
      </w:pPr>
      <w:rPr>
        <w:rFonts w:asciiTheme="minorHAnsi" w:hAnsiTheme="minorHAnsi" w:hint="default"/>
      </w:rPr>
    </w:lvl>
    <w:lvl w:ilvl="4">
      <w:start w:val="1"/>
      <w:numFmt w:val="lowerLetter"/>
      <w:pStyle w:val="ListAlpha5"/>
      <w:lvlText w:val="%5."/>
      <w:lvlJc w:val="left"/>
      <w:pPr>
        <w:tabs>
          <w:tab w:val="num" w:pos="1985"/>
        </w:tabs>
        <w:ind w:left="1985" w:hanging="397"/>
      </w:pPr>
      <w:rPr>
        <w:rFonts w:asciiTheme="minorHAnsi" w:hAnsiTheme="minorHAnsi" w:hint="default"/>
      </w:rPr>
    </w:lvl>
    <w:lvl w:ilvl="5">
      <w:start w:val="1"/>
      <w:numFmt w:val="lowerLetter"/>
      <w:pStyle w:val="ListAlpha6"/>
      <w:lvlText w:val="%6."/>
      <w:lvlJc w:val="left"/>
      <w:pPr>
        <w:tabs>
          <w:tab w:val="num" w:pos="2381"/>
        </w:tabs>
        <w:ind w:left="2381" w:hanging="396"/>
      </w:pPr>
      <w:rPr>
        <w:rFonts w:asciiTheme="minorHAnsi" w:hAnsiTheme="minorHAnsi" w:hint="default"/>
      </w:rPr>
    </w:lvl>
    <w:lvl w:ilvl="6">
      <w:start w:val="1"/>
      <w:numFmt w:val="lowerLetter"/>
      <w:pStyle w:val="ListAlpha7"/>
      <w:lvlText w:val="%7."/>
      <w:lvlJc w:val="left"/>
      <w:pPr>
        <w:tabs>
          <w:tab w:val="num" w:pos="2778"/>
        </w:tabs>
        <w:ind w:left="2778" w:hanging="397"/>
      </w:pPr>
      <w:rPr>
        <w:rFonts w:asciiTheme="minorHAnsi" w:hAnsiTheme="minorHAnsi" w:hint="default"/>
      </w:rPr>
    </w:lvl>
    <w:lvl w:ilvl="7">
      <w:start w:val="1"/>
      <w:numFmt w:val="lowerLetter"/>
      <w:pStyle w:val="ListAlpha8"/>
      <w:lvlText w:val="%8."/>
      <w:lvlJc w:val="left"/>
      <w:pPr>
        <w:tabs>
          <w:tab w:val="num" w:pos="3175"/>
        </w:tabs>
        <w:ind w:left="3175" w:hanging="397"/>
      </w:pPr>
      <w:rPr>
        <w:rFonts w:asciiTheme="minorHAnsi" w:hAnsiTheme="minorHAnsi" w:hint="default"/>
      </w:rPr>
    </w:lvl>
    <w:lvl w:ilvl="8">
      <w:start w:val="1"/>
      <w:numFmt w:val="lowerLetter"/>
      <w:pStyle w:val="ListAlpha9"/>
      <w:lvlText w:val="%9."/>
      <w:lvlJc w:val="left"/>
      <w:pPr>
        <w:tabs>
          <w:tab w:val="num" w:pos="3572"/>
        </w:tabs>
        <w:ind w:left="3572" w:hanging="397"/>
      </w:pPr>
      <w:rPr>
        <w:rFonts w:asciiTheme="minorHAnsi" w:hAnsiTheme="minorHAnsi" w:hint="default"/>
      </w:rPr>
    </w:lvl>
  </w:abstractNum>
  <w:abstractNum w:abstractNumId="77">
    <w:nsid w:val="721031F2"/>
    <w:multiLevelType w:val="multilevel"/>
    <w:tmpl w:val="54D03A4E"/>
    <w:lvl w:ilvl="0">
      <w:start w:val="1"/>
      <w:numFmt w:val="bullet"/>
      <w:lvlText w:val=""/>
      <w:lvlJc w:val="left"/>
      <w:pPr>
        <w:ind w:left="360" w:hanging="360"/>
      </w:pPr>
      <w:rPr>
        <w:rFonts w:ascii="Symbol" w:hAnsi="Symbol" w:hint="default"/>
        <w:b w:val="0"/>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nsid w:val="724C15FF"/>
    <w:multiLevelType w:val="hybridMultilevel"/>
    <w:tmpl w:val="3AE85B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nsid w:val="72591CA9"/>
    <w:multiLevelType w:val="multilevel"/>
    <w:tmpl w:val="CD4C98AE"/>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Georgia" w:hAnsi="Georgia" w:hint="default"/>
        <w:b/>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80">
    <w:nsid w:val="725E56F5"/>
    <w:multiLevelType w:val="hybridMultilevel"/>
    <w:tmpl w:val="68B2F3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nsid w:val="74AF3769"/>
    <w:multiLevelType w:val="hybridMultilevel"/>
    <w:tmpl w:val="D416E562"/>
    <w:lvl w:ilvl="0" w:tplc="0809000F">
      <w:start w:val="1"/>
      <w:numFmt w:val="decimal"/>
      <w:lvlText w:val="%1."/>
      <w:lvlJc w:val="left"/>
      <w:pPr>
        <w:ind w:left="774" w:hanging="360"/>
      </w:pPr>
    </w:lvl>
    <w:lvl w:ilvl="1" w:tplc="0809000F">
      <w:start w:val="1"/>
      <w:numFmt w:val="decimal"/>
      <w:lvlText w:val="%2."/>
      <w:lvlJc w:val="left"/>
      <w:pPr>
        <w:ind w:left="1494" w:hanging="360"/>
      </w:pPr>
      <w:rPr>
        <w:rFonts w:hint="default"/>
      </w:rPr>
    </w:lvl>
    <w:lvl w:ilvl="2" w:tplc="0809001B" w:tentative="1">
      <w:start w:val="1"/>
      <w:numFmt w:val="lowerRoman"/>
      <w:lvlText w:val="%3."/>
      <w:lvlJc w:val="right"/>
      <w:pPr>
        <w:ind w:left="2214" w:hanging="180"/>
      </w:pPr>
    </w:lvl>
    <w:lvl w:ilvl="3" w:tplc="0809000F" w:tentative="1">
      <w:start w:val="1"/>
      <w:numFmt w:val="decimal"/>
      <w:lvlText w:val="%4."/>
      <w:lvlJc w:val="left"/>
      <w:pPr>
        <w:ind w:left="2934" w:hanging="360"/>
      </w:pPr>
    </w:lvl>
    <w:lvl w:ilvl="4" w:tplc="08090019" w:tentative="1">
      <w:start w:val="1"/>
      <w:numFmt w:val="lowerLetter"/>
      <w:lvlText w:val="%5."/>
      <w:lvlJc w:val="left"/>
      <w:pPr>
        <w:ind w:left="3654" w:hanging="360"/>
      </w:pPr>
    </w:lvl>
    <w:lvl w:ilvl="5" w:tplc="0809001B" w:tentative="1">
      <w:start w:val="1"/>
      <w:numFmt w:val="lowerRoman"/>
      <w:lvlText w:val="%6."/>
      <w:lvlJc w:val="right"/>
      <w:pPr>
        <w:ind w:left="4374" w:hanging="180"/>
      </w:pPr>
    </w:lvl>
    <w:lvl w:ilvl="6" w:tplc="0809000F" w:tentative="1">
      <w:start w:val="1"/>
      <w:numFmt w:val="decimal"/>
      <w:lvlText w:val="%7."/>
      <w:lvlJc w:val="left"/>
      <w:pPr>
        <w:ind w:left="5094" w:hanging="360"/>
      </w:pPr>
    </w:lvl>
    <w:lvl w:ilvl="7" w:tplc="08090019" w:tentative="1">
      <w:start w:val="1"/>
      <w:numFmt w:val="lowerLetter"/>
      <w:lvlText w:val="%8."/>
      <w:lvlJc w:val="left"/>
      <w:pPr>
        <w:ind w:left="5814" w:hanging="360"/>
      </w:pPr>
    </w:lvl>
    <w:lvl w:ilvl="8" w:tplc="0809001B" w:tentative="1">
      <w:start w:val="1"/>
      <w:numFmt w:val="lowerRoman"/>
      <w:lvlText w:val="%9."/>
      <w:lvlJc w:val="right"/>
      <w:pPr>
        <w:ind w:left="6534" w:hanging="180"/>
      </w:pPr>
    </w:lvl>
  </w:abstractNum>
  <w:abstractNum w:abstractNumId="82">
    <w:nsid w:val="74EE11B6"/>
    <w:multiLevelType w:val="hybridMultilevel"/>
    <w:tmpl w:val="5BDA1416"/>
    <w:lvl w:ilvl="0" w:tplc="08090003">
      <w:start w:val="1"/>
      <w:numFmt w:val="bullet"/>
      <w:lvlText w:val="o"/>
      <w:lvlJc w:val="left"/>
      <w:pPr>
        <w:ind w:left="720" w:hanging="360"/>
      </w:pPr>
      <w:rPr>
        <w:rFonts w:ascii="Courier New" w:hAnsi="Courier New" w:cs="Courier New"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nsid w:val="75284236"/>
    <w:multiLevelType w:val="hybridMultilevel"/>
    <w:tmpl w:val="98CC36E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4">
    <w:nsid w:val="78D01758"/>
    <w:multiLevelType w:val="hybridMultilevel"/>
    <w:tmpl w:val="977605E0"/>
    <w:lvl w:ilvl="0" w:tplc="0809000F">
      <w:start w:val="1"/>
      <w:numFmt w:val="decimal"/>
      <w:lvlText w:val="%1."/>
      <w:lvlJc w:val="left"/>
      <w:pPr>
        <w:ind w:left="777" w:hanging="360"/>
      </w:pPr>
    </w:lvl>
    <w:lvl w:ilvl="1" w:tplc="08090019" w:tentative="1">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85">
    <w:nsid w:val="79D079F3"/>
    <w:multiLevelType w:val="hybridMultilevel"/>
    <w:tmpl w:val="879841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nsid w:val="7B82020D"/>
    <w:multiLevelType w:val="hybridMultilevel"/>
    <w:tmpl w:val="CA909F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nsid w:val="7CF063E6"/>
    <w:multiLevelType w:val="hybridMultilevel"/>
    <w:tmpl w:val="87B482DC"/>
    <w:name w:val="PwCListBullets1"/>
    <w:lvl w:ilvl="0" w:tplc="035E8FDA">
      <w:start w:val="1"/>
      <w:numFmt w:val="bullet"/>
      <w:lvlText w:val=""/>
      <w:lvlJc w:val="left"/>
      <w:pPr>
        <w:ind w:left="720" w:hanging="360"/>
      </w:pPr>
      <w:rPr>
        <w:rFonts w:ascii="Symbol" w:hAnsi="Symbol" w:hint="default"/>
      </w:rPr>
    </w:lvl>
    <w:lvl w:ilvl="1" w:tplc="38928DD0" w:tentative="1">
      <w:start w:val="1"/>
      <w:numFmt w:val="bullet"/>
      <w:lvlText w:val="o"/>
      <w:lvlJc w:val="left"/>
      <w:pPr>
        <w:ind w:left="1440" w:hanging="360"/>
      </w:pPr>
      <w:rPr>
        <w:rFonts w:ascii="Courier New" w:hAnsi="Courier New" w:cs="Courier New" w:hint="default"/>
      </w:rPr>
    </w:lvl>
    <w:lvl w:ilvl="2" w:tplc="F99EBF9E" w:tentative="1">
      <w:start w:val="1"/>
      <w:numFmt w:val="bullet"/>
      <w:lvlText w:val=""/>
      <w:lvlJc w:val="left"/>
      <w:pPr>
        <w:ind w:left="2160" w:hanging="360"/>
      </w:pPr>
      <w:rPr>
        <w:rFonts w:ascii="Wingdings" w:hAnsi="Wingdings" w:hint="default"/>
      </w:rPr>
    </w:lvl>
    <w:lvl w:ilvl="3" w:tplc="8392E3FA" w:tentative="1">
      <w:start w:val="1"/>
      <w:numFmt w:val="bullet"/>
      <w:lvlText w:val=""/>
      <w:lvlJc w:val="left"/>
      <w:pPr>
        <w:ind w:left="2880" w:hanging="360"/>
      </w:pPr>
      <w:rPr>
        <w:rFonts w:ascii="Symbol" w:hAnsi="Symbol" w:hint="default"/>
      </w:rPr>
    </w:lvl>
    <w:lvl w:ilvl="4" w:tplc="875EB0C6" w:tentative="1">
      <w:start w:val="1"/>
      <w:numFmt w:val="bullet"/>
      <w:lvlText w:val="o"/>
      <w:lvlJc w:val="left"/>
      <w:pPr>
        <w:ind w:left="3600" w:hanging="360"/>
      </w:pPr>
      <w:rPr>
        <w:rFonts w:ascii="Courier New" w:hAnsi="Courier New" w:cs="Courier New" w:hint="default"/>
      </w:rPr>
    </w:lvl>
    <w:lvl w:ilvl="5" w:tplc="2AA0A71E" w:tentative="1">
      <w:start w:val="1"/>
      <w:numFmt w:val="bullet"/>
      <w:lvlText w:val=""/>
      <w:lvlJc w:val="left"/>
      <w:pPr>
        <w:ind w:left="4320" w:hanging="360"/>
      </w:pPr>
      <w:rPr>
        <w:rFonts w:ascii="Wingdings" w:hAnsi="Wingdings" w:hint="default"/>
      </w:rPr>
    </w:lvl>
    <w:lvl w:ilvl="6" w:tplc="D3EC88D6" w:tentative="1">
      <w:start w:val="1"/>
      <w:numFmt w:val="bullet"/>
      <w:lvlText w:val=""/>
      <w:lvlJc w:val="left"/>
      <w:pPr>
        <w:ind w:left="5040" w:hanging="360"/>
      </w:pPr>
      <w:rPr>
        <w:rFonts w:ascii="Symbol" w:hAnsi="Symbol" w:hint="default"/>
      </w:rPr>
    </w:lvl>
    <w:lvl w:ilvl="7" w:tplc="0930FA74" w:tentative="1">
      <w:start w:val="1"/>
      <w:numFmt w:val="bullet"/>
      <w:lvlText w:val="o"/>
      <w:lvlJc w:val="left"/>
      <w:pPr>
        <w:ind w:left="5760" w:hanging="360"/>
      </w:pPr>
      <w:rPr>
        <w:rFonts w:ascii="Courier New" w:hAnsi="Courier New" w:cs="Courier New" w:hint="default"/>
      </w:rPr>
    </w:lvl>
    <w:lvl w:ilvl="8" w:tplc="F0B04B4C" w:tentative="1">
      <w:start w:val="1"/>
      <w:numFmt w:val="bullet"/>
      <w:lvlText w:val=""/>
      <w:lvlJc w:val="left"/>
      <w:pPr>
        <w:ind w:left="6480" w:hanging="360"/>
      </w:pPr>
      <w:rPr>
        <w:rFonts w:ascii="Wingdings" w:hAnsi="Wingdings" w:hint="default"/>
      </w:rPr>
    </w:lvl>
  </w:abstractNum>
  <w:num w:numId="1">
    <w:abstractNumId w:val="79"/>
  </w:num>
  <w:num w:numId="2">
    <w:abstractNumId w:val="7"/>
  </w:num>
  <w:num w:numId="3">
    <w:abstractNumId w:val="43"/>
  </w:num>
  <w:num w:numId="4">
    <w:abstractNumId w:val="29"/>
  </w:num>
  <w:num w:numId="5">
    <w:abstractNumId w:val="76"/>
  </w:num>
  <w:num w:numId="6">
    <w:abstractNumId w:val="0"/>
  </w:num>
  <w:num w:numId="7">
    <w:abstractNumId w:val="1"/>
  </w:num>
  <w:num w:numId="8">
    <w:abstractNumId w:val="65"/>
  </w:num>
  <w:num w:numId="9">
    <w:abstractNumId w:val="36"/>
  </w:num>
  <w:num w:numId="10">
    <w:abstractNumId w:val="65"/>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67"/>
  </w:num>
  <w:num w:numId="14">
    <w:abstractNumId w:val="83"/>
  </w:num>
  <w:num w:numId="15">
    <w:abstractNumId w:val="45"/>
  </w:num>
  <w:num w:numId="16">
    <w:abstractNumId w:val="39"/>
  </w:num>
  <w:num w:numId="17">
    <w:abstractNumId w:val="73"/>
  </w:num>
  <w:num w:numId="18">
    <w:abstractNumId w:val="32"/>
  </w:num>
  <w:num w:numId="19">
    <w:abstractNumId w:val="30"/>
  </w:num>
  <w:num w:numId="20">
    <w:abstractNumId w:val="26"/>
  </w:num>
  <w:num w:numId="21">
    <w:abstractNumId w:val="68"/>
  </w:num>
  <w:num w:numId="22">
    <w:abstractNumId w:val="16"/>
  </w:num>
  <w:num w:numId="23">
    <w:abstractNumId w:val="31"/>
  </w:num>
  <w:num w:numId="24">
    <w:abstractNumId w:val="84"/>
  </w:num>
  <w:num w:numId="25">
    <w:abstractNumId w:val="12"/>
  </w:num>
  <w:num w:numId="26">
    <w:abstractNumId w:val="62"/>
  </w:num>
  <w:num w:numId="27">
    <w:abstractNumId w:val="54"/>
  </w:num>
  <w:num w:numId="28">
    <w:abstractNumId w:val="78"/>
  </w:num>
  <w:num w:numId="29">
    <w:abstractNumId w:val="37"/>
  </w:num>
  <w:num w:numId="30">
    <w:abstractNumId w:val="11"/>
  </w:num>
  <w:num w:numId="31">
    <w:abstractNumId w:val="10"/>
  </w:num>
  <w:num w:numId="32">
    <w:abstractNumId w:val="22"/>
  </w:num>
  <w:num w:numId="33">
    <w:abstractNumId w:val="58"/>
  </w:num>
  <w:num w:numId="34">
    <w:abstractNumId w:val="63"/>
  </w:num>
  <w:num w:numId="35">
    <w:abstractNumId w:val="14"/>
  </w:num>
  <w:num w:numId="36">
    <w:abstractNumId w:val="85"/>
  </w:num>
  <w:num w:numId="37">
    <w:abstractNumId w:val="41"/>
  </w:num>
  <w:num w:numId="38">
    <w:abstractNumId w:val="72"/>
  </w:num>
  <w:num w:numId="39">
    <w:abstractNumId w:val="40"/>
  </w:num>
  <w:num w:numId="40">
    <w:abstractNumId w:val="8"/>
  </w:num>
  <w:num w:numId="41">
    <w:abstractNumId w:val="15"/>
  </w:num>
  <w:num w:numId="42">
    <w:abstractNumId w:val="86"/>
  </w:num>
  <w:num w:numId="43">
    <w:abstractNumId w:val="20"/>
  </w:num>
  <w:num w:numId="44">
    <w:abstractNumId w:val="57"/>
  </w:num>
  <w:num w:numId="45">
    <w:abstractNumId w:val="51"/>
  </w:num>
  <w:num w:numId="46">
    <w:abstractNumId w:val="42"/>
  </w:num>
  <w:num w:numId="47">
    <w:abstractNumId w:val="18"/>
  </w:num>
  <w:num w:numId="48">
    <w:abstractNumId w:val="13"/>
  </w:num>
  <w:num w:numId="49">
    <w:abstractNumId w:val="17"/>
  </w:num>
  <w:num w:numId="50">
    <w:abstractNumId w:val="81"/>
  </w:num>
  <w:num w:numId="51">
    <w:abstractNumId w:val="21"/>
  </w:num>
  <w:num w:numId="52">
    <w:abstractNumId w:val="23"/>
  </w:num>
  <w:num w:numId="53">
    <w:abstractNumId w:val="6"/>
  </w:num>
  <w:num w:numId="54">
    <w:abstractNumId w:val="59"/>
  </w:num>
  <w:num w:numId="55">
    <w:abstractNumId w:val="53"/>
  </w:num>
  <w:num w:numId="56">
    <w:abstractNumId w:val="24"/>
  </w:num>
  <w:num w:numId="57">
    <w:abstractNumId w:val="69"/>
  </w:num>
  <w:num w:numId="58">
    <w:abstractNumId w:val="56"/>
  </w:num>
  <w:num w:numId="59">
    <w:abstractNumId w:val="2"/>
  </w:num>
  <w:num w:numId="60">
    <w:abstractNumId w:val="47"/>
  </w:num>
  <w:num w:numId="61">
    <w:abstractNumId w:val="3"/>
  </w:num>
  <w:num w:numId="62">
    <w:abstractNumId w:val="46"/>
  </w:num>
  <w:num w:numId="63">
    <w:abstractNumId w:val="55"/>
  </w:num>
  <w:num w:numId="64">
    <w:abstractNumId w:val="49"/>
  </w:num>
  <w:num w:numId="65">
    <w:abstractNumId w:val="52"/>
  </w:num>
  <w:num w:numId="66">
    <w:abstractNumId w:val="48"/>
  </w:num>
  <w:num w:numId="67">
    <w:abstractNumId w:val="61"/>
  </w:num>
  <w:num w:numId="68">
    <w:abstractNumId w:val="35"/>
  </w:num>
  <w:num w:numId="69">
    <w:abstractNumId w:val="33"/>
  </w:num>
  <w:num w:numId="70">
    <w:abstractNumId w:val="71"/>
  </w:num>
  <w:num w:numId="71">
    <w:abstractNumId w:val="75"/>
  </w:num>
  <w:num w:numId="72">
    <w:abstractNumId w:val="66"/>
  </w:num>
  <w:num w:numId="73">
    <w:abstractNumId w:val="70"/>
  </w:num>
  <w:num w:numId="74">
    <w:abstractNumId w:val="64"/>
  </w:num>
  <w:num w:numId="75">
    <w:abstractNumId w:val="44"/>
  </w:num>
  <w:num w:numId="76">
    <w:abstractNumId w:val="38"/>
  </w:num>
  <w:num w:numId="77">
    <w:abstractNumId w:val="80"/>
  </w:num>
  <w:num w:numId="78">
    <w:abstractNumId w:val="60"/>
  </w:num>
  <w:num w:numId="79">
    <w:abstractNumId w:val="74"/>
  </w:num>
  <w:num w:numId="80">
    <w:abstractNumId w:val="4"/>
  </w:num>
  <w:num w:numId="81">
    <w:abstractNumId w:val="27"/>
  </w:num>
  <w:num w:numId="82">
    <w:abstractNumId w:val="77"/>
  </w:num>
  <w:num w:numId="83">
    <w:abstractNumId w:val="28"/>
  </w:num>
  <w:num w:numId="84">
    <w:abstractNumId w:val="82"/>
  </w:num>
  <w:num w:numId="85">
    <w:abstractNumId w:val="5"/>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drawingGridHorizontalSpacing w:val="100"/>
  <w:drawingGridVerticalSpacing w:val="873"/>
  <w:displayHorizontalDrawingGridEvery w:val="2"/>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2"/>
  </w:compat>
  <w:rsids>
    <w:rsidRoot w:val="008C6F3B"/>
    <w:rsid w:val="00000493"/>
    <w:rsid w:val="00000E76"/>
    <w:rsid w:val="00002172"/>
    <w:rsid w:val="000030F7"/>
    <w:rsid w:val="00004C01"/>
    <w:rsid w:val="00007919"/>
    <w:rsid w:val="00007C3D"/>
    <w:rsid w:val="00007FAC"/>
    <w:rsid w:val="000111DC"/>
    <w:rsid w:val="00011B7C"/>
    <w:rsid w:val="000126F3"/>
    <w:rsid w:val="000136CB"/>
    <w:rsid w:val="00015275"/>
    <w:rsid w:val="0001539D"/>
    <w:rsid w:val="00015A78"/>
    <w:rsid w:val="00015F8C"/>
    <w:rsid w:val="00016923"/>
    <w:rsid w:val="00016C05"/>
    <w:rsid w:val="00017638"/>
    <w:rsid w:val="000204E0"/>
    <w:rsid w:val="000223F1"/>
    <w:rsid w:val="000237D6"/>
    <w:rsid w:val="00026425"/>
    <w:rsid w:val="00026D0D"/>
    <w:rsid w:val="00027788"/>
    <w:rsid w:val="00030200"/>
    <w:rsid w:val="00030611"/>
    <w:rsid w:val="00031E71"/>
    <w:rsid w:val="00031F4C"/>
    <w:rsid w:val="00033B32"/>
    <w:rsid w:val="0003449F"/>
    <w:rsid w:val="00034779"/>
    <w:rsid w:val="0003487C"/>
    <w:rsid w:val="00036416"/>
    <w:rsid w:val="000374CF"/>
    <w:rsid w:val="00040B48"/>
    <w:rsid w:val="00042128"/>
    <w:rsid w:val="000422CF"/>
    <w:rsid w:val="000424BD"/>
    <w:rsid w:val="00044C2D"/>
    <w:rsid w:val="00045276"/>
    <w:rsid w:val="00045F13"/>
    <w:rsid w:val="0004795B"/>
    <w:rsid w:val="00050D3D"/>
    <w:rsid w:val="00051332"/>
    <w:rsid w:val="00052C01"/>
    <w:rsid w:val="00054724"/>
    <w:rsid w:val="00054D00"/>
    <w:rsid w:val="000553FA"/>
    <w:rsid w:val="00055425"/>
    <w:rsid w:val="00057203"/>
    <w:rsid w:val="000577E2"/>
    <w:rsid w:val="00057DEB"/>
    <w:rsid w:val="00057E84"/>
    <w:rsid w:val="000612EF"/>
    <w:rsid w:val="00061A2E"/>
    <w:rsid w:val="00062435"/>
    <w:rsid w:val="00062914"/>
    <w:rsid w:val="00062ABF"/>
    <w:rsid w:val="00063964"/>
    <w:rsid w:val="00064C92"/>
    <w:rsid w:val="00064D1C"/>
    <w:rsid w:val="00065681"/>
    <w:rsid w:val="00067CA7"/>
    <w:rsid w:val="00070809"/>
    <w:rsid w:val="00070948"/>
    <w:rsid w:val="00071171"/>
    <w:rsid w:val="000715E3"/>
    <w:rsid w:val="00071E8C"/>
    <w:rsid w:val="00072BDF"/>
    <w:rsid w:val="00073E06"/>
    <w:rsid w:val="00074E22"/>
    <w:rsid w:val="000750FD"/>
    <w:rsid w:val="00075409"/>
    <w:rsid w:val="000754A2"/>
    <w:rsid w:val="00075647"/>
    <w:rsid w:val="00077D66"/>
    <w:rsid w:val="00080137"/>
    <w:rsid w:val="00080F1B"/>
    <w:rsid w:val="00081AA7"/>
    <w:rsid w:val="000821F8"/>
    <w:rsid w:val="00082ABF"/>
    <w:rsid w:val="0008339C"/>
    <w:rsid w:val="00084ADB"/>
    <w:rsid w:val="00085140"/>
    <w:rsid w:val="000854B6"/>
    <w:rsid w:val="000857A7"/>
    <w:rsid w:val="00085D66"/>
    <w:rsid w:val="00085F4D"/>
    <w:rsid w:val="00086C03"/>
    <w:rsid w:val="0008701B"/>
    <w:rsid w:val="0008725D"/>
    <w:rsid w:val="00087CE9"/>
    <w:rsid w:val="00090007"/>
    <w:rsid w:val="00091092"/>
    <w:rsid w:val="00092BC5"/>
    <w:rsid w:val="00092C36"/>
    <w:rsid w:val="000942E3"/>
    <w:rsid w:val="000963A9"/>
    <w:rsid w:val="00096D9E"/>
    <w:rsid w:val="000A0031"/>
    <w:rsid w:val="000A1094"/>
    <w:rsid w:val="000A14F8"/>
    <w:rsid w:val="000A1999"/>
    <w:rsid w:val="000A1A04"/>
    <w:rsid w:val="000A2D28"/>
    <w:rsid w:val="000A3ADB"/>
    <w:rsid w:val="000A3EF2"/>
    <w:rsid w:val="000A4C35"/>
    <w:rsid w:val="000A63B3"/>
    <w:rsid w:val="000A667E"/>
    <w:rsid w:val="000A75C8"/>
    <w:rsid w:val="000A7EA7"/>
    <w:rsid w:val="000B0D43"/>
    <w:rsid w:val="000B1A28"/>
    <w:rsid w:val="000B368D"/>
    <w:rsid w:val="000B4508"/>
    <w:rsid w:val="000B4B28"/>
    <w:rsid w:val="000B5634"/>
    <w:rsid w:val="000B6780"/>
    <w:rsid w:val="000B6B56"/>
    <w:rsid w:val="000C05E3"/>
    <w:rsid w:val="000C1112"/>
    <w:rsid w:val="000C169C"/>
    <w:rsid w:val="000C2DD5"/>
    <w:rsid w:val="000C3914"/>
    <w:rsid w:val="000C4154"/>
    <w:rsid w:val="000C42DD"/>
    <w:rsid w:val="000C4D76"/>
    <w:rsid w:val="000C6264"/>
    <w:rsid w:val="000C65EB"/>
    <w:rsid w:val="000D04D4"/>
    <w:rsid w:val="000D0CF5"/>
    <w:rsid w:val="000D20E8"/>
    <w:rsid w:val="000D2B65"/>
    <w:rsid w:val="000D2E09"/>
    <w:rsid w:val="000D3602"/>
    <w:rsid w:val="000D3D71"/>
    <w:rsid w:val="000D4003"/>
    <w:rsid w:val="000D4701"/>
    <w:rsid w:val="000D4F17"/>
    <w:rsid w:val="000D54D0"/>
    <w:rsid w:val="000D6EA8"/>
    <w:rsid w:val="000D71D6"/>
    <w:rsid w:val="000E00BA"/>
    <w:rsid w:val="000E05C5"/>
    <w:rsid w:val="000E06E6"/>
    <w:rsid w:val="000E1321"/>
    <w:rsid w:val="000E14B2"/>
    <w:rsid w:val="000E1F7E"/>
    <w:rsid w:val="000E23C1"/>
    <w:rsid w:val="000E2EF7"/>
    <w:rsid w:val="000E34E9"/>
    <w:rsid w:val="000E3742"/>
    <w:rsid w:val="000E3E44"/>
    <w:rsid w:val="000E4388"/>
    <w:rsid w:val="000E522F"/>
    <w:rsid w:val="000E652C"/>
    <w:rsid w:val="000E6BC8"/>
    <w:rsid w:val="000F0F20"/>
    <w:rsid w:val="000F105D"/>
    <w:rsid w:val="000F155F"/>
    <w:rsid w:val="000F17CD"/>
    <w:rsid w:val="000F3AC1"/>
    <w:rsid w:val="000F3FF3"/>
    <w:rsid w:val="000F4A3C"/>
    <w:rsid w:val="000F4EBB"/>
    <w:rsid w:val="000F5020"/>
    <w:rsid w:val="000F56A6"/>
    <w:rsid w:val="000F620D"/>
    <w:rsid w:val="00100C17"/>
    <w:rsid w:val="00101E31"/>
    <w:rsid w:val="00104582"/>
    <w:rsid w:val="00104F2D"/>
    <w:rsid w:val="001050FC"/>
    <w:rsid w:val="00106135"/>
    <w:rsid w:val="0010739D"/>
    <w:rsid w:val="001100F9"/>
    <w:rsid w:val="001101B4"/>
    <w:rsid w:val="00110C56"/>
    <w:rsid w:val="00110D8B"/>
    <w:rsid w:val="00111AD0"/>
    <w:rsid w:val="0011296B"/>
    <w:rsid w:val="001130AA"/>
    <w:rsid w:val="001144B7"/>
    <w:rsid w:val="00114ED2"/>
    <w:rsid w:val="00115435"/>
    <w:rsid w:val="0011648F"/>
    <w:rsid w:val="0011728A"/>
    <w:rsid w:val="00120CBA"/>
    <w:rsid w:val="00121EDA"/>
    <w:rsid w:val="00122D93"/>
    <w:rsid w:val="00124184"/>
    <w:rsid w:val="00124D1D"/>
    <w:rsid w:val="001250C9"/>
    <w:rsid w:val="001262CE"/>
    <w:rsid w:val="00126EE4"/>
    <w:rsid w:val="00127A59"/>
    <w:rsid w:val="00130189"/>
    <w:rsid w:val="00130546"/>
    <w:rsid w:val="00130C14"/>
    <w:rsid w:val="0013294A"/>
    <w:rsid w:val="00133318"/>
    <w:rsid w:val="00133928"/>
    <w:rsid w:val="001343BF"/>
    <w:rsid w:val="00134992"/>
    <w:rsid w:val="0013549F"/>
    <w:rsid w:val="00135ADC"/>
    <w:rsid w:val="00136801"/>
    <w:rsid w:val="0013693B"/>
    <w:rsid w:val="0013783F"/>
    <w:rsid w:val="0014167C"/>
    <w:rsid w:val="00141D3A"/>
    <w:rsid w:val="00141FE2"/>
    <w:rsid w:val="001424FD"/>
    <w:rsid w:val="00142993"/>
    <w:rsid w:val="001435D0"/>
    <w:rsid w:val="00143603"/>
    <w:rsid w:val="001445D7"/>
    <w:rsid w:val="0014461E"/>
    <w:rsid w:val="00144EE5"/>
    <w:rsid w:val="001477F9"/>
    <w:rsid w:val="00150183"/>
    <w:rsid w:val="00150FC7"/>
    <w:rsid w:val="00151092"/>
    <w:rsid w:val="00151FAE"/>
    <w:rsid w:val="00152668"/>
    <w:rsid w:val="0015369F"/>
    <w:rsid w:val="001542A8"/>
    <w:rsid w:val="001549FE"/>
    <w:rsid w:val="00154C45"/>
    <w:rsid w:val="001563B1"/>
    <w:rsid w:val="0015787C"/>
    <w:rsid w:val="001601CA"/>
    <w:rsid w:val="001607BF"/>
    <w:rsid w:val="0016084D"/>
    <w:rsid w:val="00160BC8"/>
    <w:rsid w:val="001627D0"/>
    <w:rsid w:val="00163274"/>
    <w:rsid w:val="00163862"/>
    <w:rsid w:val="00164F02"/>
    <w:rsid w:val="001656FD"/>
    <w:rsid w:val="00165A69"/>
    <w:rsid w:val="00167268"/>
    <w:rsid w:val="0016747D"/>
    <w:rsid w:val="001702F9"/>
    <w:rsid w:val="00170510"/>
    <w:rsid w:val="00170578"/>
    <w:rsid w:val="0017246F"/>
    <w:rsid w:val="00172749"/>
    <w:rsid w:val="00172F28"/>
    <w:rsid w:val="001743EB"/>
    <w:rsid w:val="001752B5"/>
    <w:rsid w:val="00175943"/>
    <w:rsid w:val="00176481"/>
    <w:rsid w:val="0017706C"/>
    <w:rsid w:val="00177790"/>
    <w:rsid w:val="00177EC4"/>
    <w:rsid w:val="00180394"/>
    <w:rsid w:val="00180EA9"/>
    <w:rsid w:val="0018196A"/>
    <w:rsid w:val="0018243D"/>
    <w:rsid w:val="00182689"/>
    <w:rsid w:val="00182D0E"/>
    <w:rsid w:val="0018364C"/>
    <w:rsid w:val="00185CA3"/>
    <w:rsid w:val="001861E7"/>
    <w:rsid w:val="00186DA7"/>
    <w:rsid w:val="00187BCF"/>
    <w:rsid w:val="0019016B"/>
    <w:rsid w:val="00190736"/>
    <w:rsid w:val="001924AD"/>
    <w:rsid w:val="0019406C"/>
    <w:rsid w:val="001947E8"/>
    <w:rsid w:val="00195659"/>
    <w:rsid w:val="00195B42"/>
    <w:rsid w:val="001963A7"/>
    <w:rsid w:val="00196CF8"/>
    <w:rsid w:val="001A013D"/>
    <w:rsid w:val="001A03D6"/>
    <w:rsid w:val="001A0CB3"/>
    <w:rsid w:val="001A0E97"/>
    <w:rsid w:val="001A122B"/>
    <w:rsid w:val="001A1F2F"/>
    <w:rsid w:val="001A294A"/>
    <w:rsid w:val="001A2DC2"/>
    <w:rsid w:val="001A571B"/>
    <w:rsid w:val="001A5C16"/>
    <w:rsid w:val="001A5C9F"/>
    <w:rsid w:val="001A62FB"/>
    <w:rsid w:val="001A673B"/>
    <w:rsid w:val="001B03D2"/>
    <w:rsid w:val="001B0698"/>
    <w:rsid w:val="001B09E5"/>
    <w:rsid w:val="001B1F66"/>
    <w:rsid w:val="001B20CD"/>
    <w:rsid w:val="001B218B"/>
    <w:rsid w:val="001B230C"/>
    <w:rsid w:val="001B2422"/>
    <w:rsid w:val="001B2F7E"/>
    <w:rsid w:val="001B45C9"/>
    <w:rsid w:val="001B5390"/>
    <w:rsid w:val="001B5C19"/>
    <w:rsid w:val="001B5FD0"/>
    <w:rsid w:val="001B617E"/>
    <w:rsid w:val="001B657E"/>
    <w:rsid w:val="001B673E"/>
    <w:rsid w:val="001B6783"/>
    <w:rsid w:val="001B6AFA"/>
    <w:rsid w:val="001B7E73"/>
    <w:rsid w:val="001C0254"/>
    <w:rsid w:val="001C0838"/>
    <w:rsid w:val="001C1A12"/>
    <w:rsid w:val="001C3491"/>
    <w:rsid w:val="001C3FE7"/>
    <w:rsid w:val="001C4210"/>
    <w:rsid w:val="001C43D8"/>
    <w:rsid w:val="001C48D6"/>
    <w:rsid w:val="001C5EDE"/>
    <w:rsid w:val="001C62B8"/>
    <w:rsid w:val="001D02FA"/>
    <w:rsid w:val="001D108A"/>
    <w:rsid w:val="001D190B"/>
    <w:rsid w:val="001D2679"/>
    <w:rsid w:val="001D2D16"/>
    <w:rsid w:val="001D468B"/>
    <w:rsid w:val="001D4A42"/>
    <w:rsid w:val="001D5DA6"/>
    <w:rsid w:val="001D6271"/>
    <w:rsid w:val="001D6407"/>
    <w:rsid w:val="001E09CF"/>
    <w:rsid w:val="001E14FF"/>
    <w:rsid w:val="001E19DE"/>
    <w:rsid w:val="001E2419"/>
    <w:rsid w:val="001E2A4E"/>
    <w:rsid w:val="001E40C2"/>
    <w:rsid w:val="001E4A9D"/>
    <w:rsid w:val="001E4BA5"/>
    <w:rsid w:val="001E4D70"/>
    <w:rsid w:val="001E6218"/>
    <w:rsid w:val="001E67C1"/>
    <w:rsid w:val="001F0152"/>
    <w:rsid w:val="001F031B"/>
    <w:rsid w:val="001F0598"/>
    <w:rsid w:val="001F0FCE"/>
    <w:rsid w:val="001F36A9"/>
    <w:rsid w:val="001F3A97"/>
    <w:rsid w:val="001F5C6A"/>
    <w:rsid w:val="001F6419"/>
    <w:rsid w:val="001F6B72"/>
    <w:rsid w:val="001F6D92"/>
    <w:rsid w:val="001F771D"/>
    <w:rsid w:val="001F7C35"/>
    <w:rsid w:val="002002D4"/>
    <w:rsid w:val="002008FE"/>
    <w:rsid w:val="00200E47"/>
    <w:rsid w:val="002018F8"/>
    <w:rsid w:val="00203008"/>
    <w:rsid w:val="00203CCA"/>
    <w:rsid w:val="00204117"/>
    <w:rsid w:val="002041A5"/>
    <w:rsid w:val="002041BF"/>
    <w:rsid w:val="00205535"/>
    <w:rsid w:val="002058E0"/>
    <w:rsid w:val="0020624C"/>
    <w:rsid w:val="00207B62"/>
    <w:rsid w:val="002102C2"/>
    <w:rsid w:val="00211211"/>
    <w:rsid w:val="00212248"/>
    <w:rsid w:val="00212D48"/>
    <w:rsid w:val="0021315F"/>
    <w:rsid w:val="002143F6"/>
    <w:rsid w:val="0021462D"/>
    <w:rsid w:val="00214A5F"/>
    <w:rsid w:val="002160EE"/>
    <w:rsid w:val="002175E8"/>
    <w:rsid w:val="00217885"/>
    <w:rsid w:val="00217B90"/>
    <w:rsid w:val="00220E10"/>
    <w:rsid w:val="0022152C"/>
    <w:rsid w:val="00221FFD"/>
    <w:rsid w:val="002228C2"/>
    <w:rsid w:val="00223373"/>
    <w:rsid w:val="00223CCB"/>
    <w:rsid w:val="0022468D"/>
    <w:rsid w:val="00224C64"/>
    <w:rsid w:val="00225839"/>
    <w:rsid w:val="00225B9C"/>
    <w:rsid w:val="002331CF"/>
    <w:rsid w:val="00233A91"/>
    <w:rsid w:val="00233C4E"/>
    <w:rsid w:val="00233E28"/>
    <w:rsid w:val="0023556E"/>
    <w:rsid w:val="00235743"/>
    <w:rsid w:val="00235BE5"/>
    <w:rsid w:val="00235CFA"/>
    <w:rsid w:val="00236243"/>
    <w:rsid w:val="002363A4"/>
    <w:rsid w:val="00236FFA"/>
    <w:rsid w:val="0024057E"/>
    <w:rsid w:val="002424B9"/>
    <w:rsid w:val="00242707"/>
    <w:rsid w:val="002429FF"/>
    <w:rsid w:val="00242D2F"/>
    <w:rsid w:val="00243C7F"/>
    <w:rsid w:val="00243D25"/>
    <w:rsid w:val="002449FC"/>
    <w:rsid w:val="00244AB9"/>
    <w:rsid w:val="00245467"/>
    <w:rsid w:val="002458E2"/>
    <w:rsid w:val="00245E5C"/>
    <w:rsid w:val="002463E9"/>
    <w:rsid w:val="00246520"/>
    <w:rsid w:val="00247B59"/>
    <w:rsid w:val="0025139A"/>
    <w:rsid w:val="00251456"/>
    <w:rsid w:val="00251A37"/>
    <w:rsid w:val="00251D98"/>
    <w:rsid w:val="00251DFD"/>
    <w:rsid w:val="002523A6"/>
    <w:rsid w:val="0025246A"/>
    <w:rsid w:val="00252AFA"/>
    <w:rsid w:val="00254E69"/>
    <w:rsid w:val="00255759"/>
    <w:rsid w:val="002614AC"/>
    <w:rsid w:val="002614FE"/>
    <w:rsid w:val="002618BC"/>
    <w:rsid w:val="00261BEE"/>
    <w:rsid w:val="00261E75"/>
    <w:rsid w:val="00262976"/>
    <w:rsid w:val="002632BE"/>
    <w:rsid w:val="002638ED"/>
    <w:rsid w:val="00263947"/>
    <w:rsid w:val="00263D6F"/>
    <w:rsid w:val="0026462A"/>
    <w:rsid w:val="00266020"/>
    <w:rsid w:val="002661E9"/>
    <w:rsid w:val="002670AC"/>
    <w:rsid w:val="002672C9"/>
    <w:rsid w:val="00267767"/>
    <w:rsid w:val="0026776A"/>
    <w:rsid w:val="00267EBE"/>
    <w:rsid w:val="00270401"/>
    <w:rsid w:val="002711D7"/>
    <w:rsid w:val="0027122C"/>
    <w:rsid w:val="00271B74"/>
    <w:rsid w:val="00272122"/>
    <w:rsid w:val="0027221E"/>
    <w:rsid w:val="00272D55"/>
    <w:rsid w:val="002737F9"/>
    <w:rsid w:val="002742EF"/>
    <w:rsid w:val="00275264"/>
    <w:rsid w:val="00275BB8"/>
    <w:rsid w:val="0027696B"/>
    <w:rsid w:val="002769E0"/>
    <w:rsid w:val="002771DE"/>
    <w:rsid w:val="0027744B"/>
    <w:rsid w:val="0028029F"/>
    <w:rsid w:val="002811D6"/>
    <w:rsid w:val="002814A5"/>
    <w:rsid w:val="00281E5F"/>
    <w:rsid w:val="00282A0D"/>
    <w:rsid w:val="0028477E"/>
    <w:rsid w:val="002852B1"/>
    <w:rsid w:val="00285663"/>
    <w:rsid w:val="00285C10"/>
    <w:rsid w:val="00285CD0"/>
    <w:rsid w:val="002861BF"/>
    <w:rsid w:val="002862C0"/>
    <w:rsid w:val="002865D7"/>
    <w:rsid w:val="002866AD"/>
    <w:rsid w:val="0028728C"/>
    <w:rsid w:val="00290BC3"/>
    <w:rsid w:val="00290DE5"/>
    <w:rsid w:val="00291163"/>
    <w:rsid w:val="002933FE"/>
    <w:rsid w:val="00293ACB"/>
    <w:rsid w:val="00293B34"/>
    <w:rsid w:val="002941CB"/>
    <w:rsid w:val="002944B1"/>
    <w:rsid w:val="0029490D"/>
    <w:rsid w:val="0029580E"/>
    <w:rsid w:val="00296F49"/>
    <w:rsid w:val="002A0322"/>
    <w:rsid w:val="002A0805"/>
    <w:rsid w:val="002A0F34"/>
    <w:rsid w:val="002A0FF6"/>
    <w:rsid w:val="002A2581"/>
    <w:rsid w:val="002A2698"/>
    <w:rsid w:val="002A3811"/>
    <w:rsid w:val="002A443C"/>
    <w:rsid w:val="002A50AC"/>
    <w:rsid w:val="002A53E6"/>
    <w:rsid w:val="002A58A8"/>
    <w:rsid w:val="002A69A6"/>
    <w:rsid w:val="002A7EAA"/>
    <w:rsid w:val="002B0282"/>
    <w:rsid w:val="002B03D0"/>
    <w:rsid w:val="002B13E7"/>
    <w:rsid w:val="002B1840"/>
    <w:rsid w:val="002B2565"/>
    <w:rsid w:val="002B2C9A"/>
    <w:rsid w:val="002B3131"/>
    <w:rsid w:val="002B317B"/>
    <w:rsid w:val="002B6050"/>
    <w:rsid w:val="002B6871"/>
    <w:rsid w:val="002B6D3D"/>
    <w:rsid w:val="002B73E9"/>
    <w:rsid w:val="002C10A0"/>
    <w:rsid w:val="002C1C51"/>
    <w:rsid w:val="002C1F90"/>
    <w:rsid w:val="002C4258"/>
    <w:rsid w:val="002C4BFF"/>
    <w:rsid w:val="002C5D4A"/>
    <w:rsid w:val="002C5ED8"/>
    <w:rsid w:val="002C6358"/>
    <w:rsid w:val="002C74AB"/>
    <w:rsid w:val="002D019A"/>
    <w:rsid w:val="002D13E8"/>
    <w:rsid w:val="002D1BC8"/>
    <w:rsid w:val="002D21AC"/>
    <w:rsid w:val="002D3EB7"/>
    <w:rsid w:val="002D4B91"/>
    <w:rsid w:val="002D57FE"/>
    <w:rsid w:val="002D7BF0"/>
    <w:rsid w:val="002E13CB"/>
    <w:rsid w:val="002E1729"/>
    <w:rsid w:val="002E214C"/>
    <w:rsid w:val="002E2A19"/>
    <w:rsid w:val="002E2B52"/>
    <w:rsid w:val="002E3B0E"/>
    <w:rsid w:val="002E41F4"/>
    <w:rsid w:val="002E5070"/>
    <w:rsid w:val="002E5909"/>
    <w:rsid w:val="002E5F3B"/>
    <w:rsid w:val="002E62A0"/>
    <w:rsid w:val="002E660C"/>
    <w:rsid w:val="002E7D94"/>
    <w:rsid w:val="002F1C06"/>
    <w:rsid w:val="002F2214"/>
    <w:rsid w:val="002F261C"/>
    <w:rsid w:val="002F2B7C"/>
    <w:rsid w:val="002F2DD7"/>
    <w:rsid w:val="002F2F38"/>
    <w:rsid w:val="002F5933"/>
    <w:rsid w:val="002F7EC0"/>
    <w:rsid w:val="003011E1"/>
    <w:rsid w:val="00301DF8"/>
    <w:rsid w:val="003037BC"/>
    <w:rsid w:val="00304794"/>
    <w:rsid w:val="00306A2E"/>
    <w:rsid w:val="00306AFA"/>
    <w:rsid w:val="003074F9"/>
    <w:rsid w:val="003100CF"/>
    <w:rsid w:val="00310573"/>
    <w:rsid w:val="003111D6"/>
    <w:rsid w:val="003114F0"/>
    <w:rsid w:val="00311C36"/>
    <w:rsid w:val="0031496A"/>
    <w:rsid w:val="0031538F"/>
    <w:rsid w:val="00315834"/>
    <w:rsid w:val="00316454"/>
    <w:rsid w:val="00316FE3"/>
    <w:rsid w:val="00317DFE"/>
    <w:rsid w:val="00321572"/>
    <w:rsid w:val="00321E1E"/>
    <w:rsid w:val="0032232A"/>
    <w:rsid w:val="00322DBD"/>
    <w:rsid w:val="00324E34"/>
    <w:rsid w:val="003258BA"/>
    <w:rsid w:val="003301C1"/>
    <w:rsid w:val="00330DBB"/>
    <w:rsid w:val="0033103A"/>
    <w:rsid w:val="00331FBA"/>
    <w:rsid w:val="00331FBF"/>
    <w:rsid w:val="00332FD8"/>
    <w:rsid w:val="003330D1"/>
    <w:rsid w:val="00335007"/>
    <w:rsid w:val="00337336"/>
    <w:rsid w:val="00340501"/>
    <w:rsid w:val="00340651"/>
    <w:rsid w:val="003407E7"/>
    <w:rsid w:val="00340E73"/>
    <w:rsid w:val="003410DE"/>
    <w:rsid w:val="003416D5"/>
    <w:rsid w:val="003420A1"/>
    <w:rsid w:val="00343C15"/>
    <w:rsid w:val="003458A6"/>
    <w:rsid w:val="003478D5"/>
    <w:rsid w:val="00347BBA"/>
    <w:rsid w:val="00351FD0"/>
    <w:rsid w:val="003526F0"/>
    <w:rsid w:val="00352BAE"/>
    <w:rsid w:val="003534DB"/>
    <w:rsid w:val="00353C22"/>
    <w:rsid w:val="00353DAF"/>
    <w:rsid w:val="00354D9A"/>
    <w:rsid w:val="00355156"/>
    <w:rsid w:val="003556FD"/>
    <w:rsid w:val="00355E7E"/>
    <w:rsid w:val="00355EF5"/>
    <w:rsid w:val="0035608A"/>
    <w:rsid w:val="0035686E"/>
    <w:rsid w:val="00356F34"/>
    <w:rsid w:val="00360DE4"/>
    <w:rsid w:val="00361DE0"/>
    <w:rsid w:val="00362272"/>
    <w:rsid w:val="003622B9"/>
    <w:rsid w:val="003629FE"/>
    <w:rsid w:val="00363324"/>
    <w:rsid w:val="003639ED"/>
    <w:rsid w:val="00366460"/>
    <w:rsid w:val="003679FB"/>
    <w:rsid w:val="00372701"/>
    <w:rsid w:val="00372A27"/>
    <w:rsid w:val="003731F8"/>
    <w:rsid w:val="003739C8"/>
    <w:rsid w:val="0037436A"/>
    <w:rsid w:val="00374C75"/>
    <w:rsid w:val="003750CB"/>
    <w:rsid w:val="00376B91"/>
    <w:rsid w:val="0038059A"/>
    <w:rsid w:val="0038194E"/>
    <w:rsid w:val="00382DF3"/>
    <w:rsid w:val="003831D1"/>
    <w:rsid w:val="00383DE5"/>
    <w:rsid w:val="0038420B"/>
    <w:rsid w:val="00387470"/>
    <w:rsid w:val="00387DDB"/>
    <w:rsid w:val="00391094"/>
    <w:rsid w:val="003915E7"/>
    <w:rsid w:val="00391A9A"/>
    <w:rsid w:val="00391C1F"/>
    <w:rsid w:val="00391D6C"/>
    <w:rsid w:val="00392566"/>
    <w:rsid w:val="00392AAA"/>
    <w:rsid w:val="00393F3B"/>
    <w:rsid w:val="00395180"/>
    <w:rsid w:val="00395331"/>
    <w:rsid w:val="00396DF2"/>
    <w:rsid w:val="00396EFF"/>
    <w:rsid w:val="00397B2D"/>
    <w:rsid w:val="00397D2D"/>
    <w:rsid w:val="003A08C0"/>
    <w:rsid w:val="003A0A4B"/>
    <w:rsid w:val="003A1AC8"/>
    <w:rsid w:val="003A1CF9"/>
    <w:rsid w:val="003A1E19"/>
    <w:rsid w:val="003A1E2F"/>
    <w:rsid w:val="003A41A6"/>
    <w:rsid w:val="003A4935"/>
    <w:rsid w:val="003A4969"/>
    <w:rsid w:val="003A4A30"/>
    <w:rsid w:val="003A6625"/>
    <w:rsid w:val="003A69DA"/>
    <w:rsid w:val="003A6B10"/>
    <w:rsid w:val="003A7162"/>
    <w:rsid w:val="003A7A20"/>
    <w:rsid w:val="003B0208"/>
    <w:rsid w:val="003B0F18"/>
    <w:rsid w:val="003B2266"/>
    <w:rsid w:val="003B3C35"/>
    <w:rsid w:val="003B418D"/>
    <w:rsid w:val="003B44AE"/>
    <w:rsid w:val="003B4AA9"/>
    <w:rsid w:val="003B53A4"/>
    <w:rsid w:val="003B59F3"/>
    <w:rsid w:val="003B6B9C"/>
    <w:rsid w:val="003C1659"/>
    <w:rsid w:val="003C1962"/>
    <w:rsid w:val="003C1C70"/>
    <w:rsid w:val="003C23C1"/>
    <w:rsid w:val="003C272F"/>
    <w:rsid w:val="003C34CC"/>
    <w:rsid w:val="003C34FC"/>
    <w:rsid w:val="003C353D"/>
    <w:rsid w:val="003C41E3"/>
    <w:rsid w:val="003C5094"/>
    <w:rsid w:val="003C5752"/>
    <w:rsid w:val="003C5B3F"/>
    <w:rsid w:val="003C5BA2"/>
    <w:rsid w:val="003D0108"/>
    <w:rsid w:val="003D04FF"/>
    <w:rsid w:val="003D053A"/>
    <w:rsid w:val="003D07F7"/>
    <w:rsid w:val="003D3156"/>
    <w:rsid w:val="003D43AB"/>
    <w:rsid w:val="003D4560"/>
    <w:rsid w:val="003D51FD"/>
    <w:rsid w:val="003D5850"/>
    <w:rsid w:val="003D668B"/>
    <w:rsid w:val="003D76FB"/>
    <w:rsid w:val="003E0C71"/>
    <w:rsid w:val="003E16CF"/>
    <w:rsid w:val="003E20BA"/>
    <w:rsid w:val="003E2E60"/>
    <w:rsid w:val="003E2F91"/>
    <w:rsid w:val="003E39D5"/>
    <w:rsid w:val="003E3D38"/>
    <w:rsid w:val="003E5806"/>
    <w:rsid w:val="003E5952"/>
    <w:rsid w:val="003E595B"/>
    <w:rsid w:val="003E5A3E"/>
    <w:rsid w:val="003E5BF0"/>
    <w:rsid w:val="003E6282"/>
    <w:rsid w:val="003E76FE"/>
    <w:rsid w:val="003F0220"/>
    <w:rsid w:val="003F02AC"/>
    <w:rsid w:val="003F04E3"/>
    <w:rsid w:val="003F09B3"/>
    <w:rsid w:val="003F0F04"/>
    <w:rsid w:val="003F17E9"/>
    <w:rsid w:val="003F2033"/>
    <w:rsid w:val="003F2F5B"/>
    <w:rsid w:val="003F3447"/>
    <w:rsid w:val="003F3738"/>
    <w:rsid w:val="003F3A7F"/>
    <w:rsid w:val="003F48D5"/>
    <w:rsid w:val="003F4C77"/>
    <w:rsid w:val="003F5514"/>
    <w:rsid w:val="003F6E00"/>
    <w:rsid w:val="0040035E"/>
    <w:rsid w:val="00400C56"/>
    <w:rsid w:val="00401445"/>
    <w:rsid w:val="00402719"/>
    <w:rsid w:val="004028E5"/>
    <w:rsid w:val="00402B4D"/>
    <w:rsid w:val="00402D16"/>
    <w:rsid w:val="00404276"/>
    <w:rsid w:val="004064D4"/>
    <w:rsid w:val="00406601"/>
    <w:rsid w:val="0040686C"/>
    <w:rsid w:val="00407135"/>
    <w:rsid w:val="004072AA"/>
    <w:rsid w:val="00407440"/>
    <w:rsid w:val="00410806"/>
    <w:rsid w:val="00410E0A"/>
    <w:rsid w:val="00410F30"/>
    <w:rsid w:val="004126F7"/>
    <w:rsid w:val="00412B8F"/>
    <w:rsid w:val="0041399D"/>
    <w:rsid w:val="00413F40"/>
    <w:rsid w:val="0041493C"/>
    <w:rsid w:val="00414A24"/>
    <w:rsid w:val="004155BA"/>
    <w:rsid w:val="004155D3"/>
    <w:rsid w:val="00415CC0"/>
    <w:rsid w:val="00415ED5"/>
    <w:rsid w:val="00415F4F"/>
    <w:rsid w:val="00417ECD"/>
    <w:rsid w:val="00420131"/>
    <w:rsid w:val="0042037A"/>
    <w:rsid w:val="00420809"/>
    <w:rsid w:val="00421127"/>
    <w:rsid w:val="00421B25"/>
    <w:rsid w:val="00423123"/>
    <w:rsid w:val="004234EF"/>
    <w:rsid w:val="0042445D"/>
    <w:rsid w:val="00424A92"/>
    <w:rsid w:val="004251F1"/>
    <w:rsid w:val="00426429"/>
    <w:rsid w:val="00426E17"/>
    <w:rsid w:val="00430566"/>
    <w:rsid w:val="00430AE7"/>
    <w:rsid w:val="00430D2A"/>
    <w:rsid w:val="00433279"/>
    <w:rsid w:val="0043449A"/>
    <w:rsid w:val="00435F02"/>
    <w:rsid w:val="00436892"/>
    <w:rsid w:val="004378EF"/>
    <w:rsid w:val="0044043D"/>
    <w:rsid w:val="0044069A"/>
    <w:rsid w:val="004408ED"/>
    <w:rsid w:val="004411E8"/>
    <w:rsid w:val="00441CD9"/>
    <w:rsid w:val="00443241"/>
    <w:rsid w:val="004441B5"/>
    <w:rsid w:val="00444A73"/>
    <w:rsid w:val="00445370"/>
    <w:rsid w:val="00445870"/>
    <w:rsid w:val="00446C6D"/>
    <w:rsid w:val="00450166"/>
    <w:rsid w:val="004503EB"/>
    <w:rsid w:val="00450FD0"/>
    <w:rsid w:val="00451554"/>
    <w:rsid w:val="00452D66"/>
    <w:rsid w:val="00453525"/>
    <w:rsid w:val="00454E8D"/>
    <w:rsid w:val="00455B3E"/>
    <w:rsid w:val="00455FBC"/>
    <w:rsid w:val="00456B8E"/>
    <w:rsid w:val="00457525"/>
    <w:rsid w:val="00457A44"/>
    <w:rsid w:val="00460807"/>
    <w:rsid w:val="00460987"/>
    <w:rsid w:val="00460DF8"/>
    <w:rsid w:val="00462256"/>
    <w:rsid w:val="0046275F"/>
    <w:rsid w:val="00462D8B"/>
    <w:rsid w:val="0046664B"/>
    <w:rsid w:val="00466902"/>
    <w:rsid w:val="004672C3"/>
    <w:rsid w:val="0046761E"/>
    <w:rsid w:val="0047038D"/>
    <w:rsid w:val="00473AE8"/>
    <w:rsid w:val="00475A8D"/>
    <w:rsid w:val="00476126"/>
    <w:rsid w:val="00476387"/>
    <w:rsid w:val="00476C7C"/>
    <w:rsid w:val="0047734D"/>
    <w:rsid w:val="004774CF"/>
    <w:rsid w:val="00480373"/>
    <w:rsid w:val="0048052E"/>
    <w:rsid w:val="00480C1B"/>
    <w:rsid w:val="00481FE0"/>
    <w:rsid w:val="00482DDD"/>
    <w:rsid w:val="00483F25"/>
    <w:rsid w:val="004842F7"/>
    <w:rsid w:val="004850AB"/>
    <w:rsid w:val="00485C11"/>
    <w:rsid w:val="00486187"/>
    <w:rsid w:val="00486C26"/>
    <w:rsid w:val="004876A4"/>
    <w:rsid w:val="00487884"/>
    <w:rsid w:val="0049043E"/>
    <w:rsid w:val="00490470"/>
    <w:rsid w:val="0049095D"/>
    <w:rsid w:val="00491E88"/>
    <w:rsid w:val="00493BC2"/>
    <w:rsid w:val="00493C65"/>
    <w:rsid w:val="00493DA8"/>
    <w:rsid w:val="00493EDB"/>
    <w:rsid w:val="0049443A"/>
    <w:rsid w:val="004949C7"/>
    <w:rsid w:val="00494C99"/>
    <w:rsid w:val="00495408"/>
    <w:rsid w:val="00495D32"/>
    <w:rsid w:val="004962F4"/>
    <w:rsid w:val="00497AE2"/>
    <w:rsid w:val="00497BD5"/>
    <w:rsid w:val="004A0497"/>
    <w:rsid w:val="004A12AB"/>
    <w:rsid w:val="004A1FB7"/>
    <w:rsid w:val="004A4DFD"/>
    <w:rsid w:val="004A5950"/>
    <w:rsid w:val="004A603E"/>
    <w:rsid w:val="004A67A4"/>
    <w:rsid w:val="004A6B75"/>
    <w:rsid w:val="004A6E92"/>
    <w:rsid w:val="004A72D9"/>
    <w:rsid w:val="004A73BE"/>
    <w:rsid w:val="004A7B92"/>
    <w:rsid w:val="004A7C92"/>
    <w:rsid w:val="004B08CA"/>
    <w:rsid w:val="004B13B6"/>
    <w:rsid w:val="004B187E"/>
    <w:rsid w:val="004B3E20"/>
    <w:rsid w:val="004B464A"/>
    <w:rsid w:val="004B4809"/>
    <w:rsid w:val="004B4AC8"/>
    <w:rsid w:val="004B5D64"/>
    <w:rsid w:val="004B744F"/>
    <w:rsid w:val="004C0301"/>
    <w:rsid w:val="004C0374"/>
    <w:rsid w:val="004C0F3B"/>
    <w:rsid w:val="004C12B3"/>
    <w:rsid w:val="004C1447"/>
    <w:rsid w:val="004C1A6A"/>
    <w:rsid w:val="004C1F5D"/>
    <w:rsid w:val="004C244D"/>
    <w:rsid w:val="004C3658"/>
    <w:rsid w:val="004C3C43"/>
    <w:rsid w:val="004C410A"/>
    <w:rsid w:val="004C48D8"/>
    <w:rsid w:val="004C49BA"/>
    <w:rsid w:val="004C49D5"/>
    <w:rsid w:val="004C4F4F"/>
    <w:rsid w:val="004C51AE"/>
    <w:rsid w:val="004C5474"/>
    <w:rsid w:val="004C5D68"/>
    <w:rsid w:val="004C65D9"/>
    <w:rsid w:val="004C671C"/>
    <w:rsid w:val="004C69E5"/>
    <w:rsid w:val="004C6A8C"/>
    <w:rsid w:val="004C6B83"/>
    <w:rsid w:val="004C71E2"/>
    <w:rsid w:val="004D00B8"/>
    <w:rsid w:val="004D052F"/>
    <w:rsid w:val="004D103C"/>
    <w:rsid w:val="004D1522"/>
    <w:rsid w:val="004D1F8A"/>
    <w:rsid w:val="004D2305"/>
    <w:rsid w:val="004D25D1"/>
    <w:rsid w:val="004D286C"/>
    <w:rsid w:val="004D3CA2"/>
    <w:rsid w:val="004D3FE2"/>
    <w:rsid w:val="004D40FC"/>
    <w:rsid w:val="004D5121"/>
    <w:rsid w:val="004D5C49"/>
    <w:rsid w:val="004D5DF6"/>
    <w:rsid w:val="004E0DCC"/>
    <w:rsid w:val="004E0F38"/>
    <w:rsid w:val="004E1919"/>
    <w:rsid w:val="004E20A5"/>
    <w:rsid w:val="004E2BFC"/>
    <w:rsid w:val="004E2F5D"/>
    <w:rsid w:val="004E30E2"/>
    <w:rsid w:val="004E48B1"/>
    <w:rsid w:val="004E5461"/>
    <w:rsid w:val="004E585E"/>
    <w:rsid w:val="004E6A41"/>
    <w:rsid w:val="004E7862"/>
    <w:rsid w:val="004F0490"/>
    <w:rsid w:val="004F0BE2"/>
    <w:rsid w:val="004F1E1A"/>
    <w:rsid w:val="004F538E"/>
    <w:rsid w:val="004F56EF"/>
    <w:rsid w:val="004F6615"/>
    <w:rsid w:val="004F6E4A"/>
    <w:rsid w:val="00500B2D"/>
    <w:rsid w:val="00501557"/>
    <w:rsid w:val="00501967"/>
    <w:rsid w:val="00503F86"/>
    <w:rsid w:val="005045EB"/>
    <w:rsid w:val="00504AC1"/>
    <w:rsid w:val="00504C09"/>
    <w:rsid w:val="00505D9A"/>
    <w:rsid w:val="00505E66"/>
    <w:rsid w:val="0050678C"/>
    <w:rsid w:val="00506B86"/>
    <w:rsid w:val="00507A74"/>
    <w:rsid w:val="00510068"/>
    <w:rsid w:val="00510112"/>
    <w:rsid w:val="0051030A"/>
    <w:rsid w:val="005111BC"/>
    <w:rsid w:val="005114EF"/>
    <w:rsid w:val="00512354"/>
    <w:rsid w:val="00512485"/>
    <w:rsid w:val="005139FD"/>
    <w:rsid w:val="00514812"/>
    <w:rsid w:val="00514DC7"/>
    <w:rsid w:val="00514F92"/>
    <w:rsid w:val="005168CB"/>
    <w:rsid w:val="00517193"/>
    <w:rsid w:val="005173A1"/>
    <w:rsid w:val="0052029E"/>
    <w:rsid w:val="00520E18"/>
    <w:rsid w:val="00521D78"/>
    <w:rsid w:val="0052215B"/>
    <w:rsid w:val="00523E86"/>
    <w:rsid w:val="00523ED3"/>
    <w:rsid w:val="00524136"/>
    <w:rsid w:val="00524157"/>
    <w:rsid w:val="00524793"/>
    <w:rsid w:val="00525194"/>
    <w:rsid w:val="00526ACD"/>
    <w:rsid w:val="00526E89"/>
    <w:rsid w:val="00527173"/>
    <w:rsid w:val="0052752A"/>
    <w:rsid w:val="00527758"/>
    <w:rsid w:val="00530050"/>
    <w:rsid w:val="00530649"/>
    <w:rsid w:val="0053149F"/>
    <w:rsid w:val="00531A84"/>
    <w:rsid w:val="00532A12"/>
    <w:rsid w:val="00532C1F"/>
    <w:rsid w:val="005332CA"/>
    <w:rsid w:val="00533402"/>
    <w:rsid w:val="005337CF"/>
    <w:rsid w:val="005339AD"/>
    <w:rsid w:val="00533A71"/>
    <w:rsid w:val="00534AEB"/>
    <w:rsid w:val="00534CB9"/>
    <w:rsid w:val="00534EC8"/>
    <w:rsid w:val="0053691D"/>
    <w:rsid w:val="00540783"/>
    <w:rsid w:val="005413A8"/>
    <w:rsid w:val="005432C1"/>
    <w:rsid w:val="0054331D"/>
    <w:rsid w:val="00546504"/>
    <w:rsid w:val="00546998"/>
    <w:rsid w:val="005470E0"/>
    <w:rsid w:val="005473D6"/>
    <w:rsid w:val="0055093A"/>
    <w:rsid w:val="00550EBE"/>
    <w:rsid w:val="00551A81"/>
    <w:rsid w:val="0055512E"/>
    <w:rsid w:val="0055545F"/>
    <w:rsid w:val="0055577C"/>
    <w:rsid w:val="00556222"/>
    <w:rsid w:val="00557792"/>
    <w:rsid w:val="00557988"/>
    <w:rsid w:val="00560EF7"/>
    <w:rsid w:val="005611D9"/>
    <w:rsid w:val="005620CF"/>
    <w:rsid w:val="0056211F"/>
    <w:rsid w:val="00562C86"/>
    <w:rsid w:val="0056403C"/>
    <w:rsid w:val="005646D5"/>
    <w:rsid w:val="005651E9"/>
    <w:rsid w:val="0056769A"/>
    <w:rsid w:val="005676A1"/>
    <w:rsid w:val="00567745"/>
    <w:rsid w:val="00570305"/>
    <w:rsid w:val="005719FD"/>
    <w:rsid w:val="00571DA5"/>
    <w:rsid w:val="0057377B"/>
    <w:rsid w:val="005761C8"/>
    <w:rsid w:val="00576DD3"/>
    <w:rsid w:val="005838EF"/>
    <w:rsid w:val="0058408D"/>
    <w:rsid w:val="00584509"/>
    <w:rsid w:val="00585973"/>
    <w:rsid w:val="005859FF"/>
    <w:rsid w:val="00585C15"/>
    <w:rsid w:val="00585D5B"/>
    <w:rsid w:val="00586F7B"/>
    <w:rsid w:val="005876C8"/>
    <w:rsid w:val="00587C6C"/>
    <w:rsid w:val="0059375C"/>
    <w:rsid w:val="00595073"/>
    <w:rsid w:val="005951E8"/>
    <w:rsid w:val="00595730"/>
    <w:rsid w:val="00595C2A"/>
    <w:rsid w:val="00595DAA"/>
    <w:rsid w:val="00596204"/>
    <w:rsid w:val="0059698E"/>
    <w:rsid w:val="00597425"/>
    <w:rsid w:val="005979D7"/>
    <w:rsid w:val="005A0AAE"/>
    <w:rsid w:val="005A0C02"/>
    <w:rsid w:val="005A0F80"/>
    <w:rsid w:val="005A2B87"/>
    <w:rsid w:val="005A3432"/>
    <w:rsid w:val="005A368E"/>
    <w:rsid w:val="005A37A1"/>
    <w:rsid w:val="005A41EA"/>
    <w:rsid w:val="005A449C"/>
    <w:rsid w:val="005A47CC"/>
    <w:rsid w:val="005A60B9"/>
    <w:rsid w:val="005A62FF"/>
    <w:rsid w:val="005A643D"/>
    <w:rsid w:val="005A7FA1"/>
    <w:rsid w:val="005B2219"/>
    <w:rsid w:val="005B28C9"/>
    <w:rsid w:val="005B2F66"/>
    <w:rsid w:val="005B322F"/>
    <w:rsid w:val="005B3B97"/>
    <w:rsid w:val="005B425D"/>
    <w:rsid w:val="005B4285"/>
    <w:rsid w:val="005B4665"/>
    <w:rsid w:val="005B53F4"/>
    <w:rsid w:val="005B74E5"/>
    <w:rsid w:val="005C0E0E"/>
    <w:rsid w:val="005C2E51"/>
    <w:rsid w:val="005C3261"/>
    <w:rsid w:val="005C3913"/>
    <w:rsid w:val="005C3D37"/>
    <w:rsid w:val="005C4F79"/>
    <w:rsid w:val="005C6A52"/>
    <w:rsid w:val="005C6DC8"/>
    <w:rsid w:val="005C6EA6"/>
    <w:rsid w:val="005D0797"/>
    <w:rsid w:val="005D16BC"/>
    <w:rsid w:val="005D1A6D"/>
    <w:rsid w:val="005D2E6D"/>
    <w:rsid w:val="005D42E1"/>
    <w:rsid w:val="005D731E"/>
    <w:rsid w:val="005D7411"/>
    <w:rsid w:val="005D7BBD"/>
    <w:rsid w:val="005E0AE3"/>
    <w:rsid w:val="005E1981"/>
    <w:rsid w:val="005E1E66"/>
    <w:rsid w:val="005E2D5A"/>
    <w:rsid w:val="005E2FA3"/>
    <w:rsid w:val="005E3311"/>
    <w:rsid w:val="005E38D7"/>
    <w:rsid w:val="005E40A1"/>
    <w:rsid w:val="005E45CC"/>
    <w:rsid w:val="005E46FB"/>
    <w:rsid w:val="005E4DF9"/>
    <w:rsid w:val="005F098C"/>
    <w:rsid w:val="005F1935"/>
    <w:rsid w:val="005F1A54"/>
    <w:rsid w:val="005F1DBA"/>
    <w:rsid w:val="005F2526"/>
    <w:rsid w:val="005F2B24"/>
    <w:rsid w:val="005F42EB"/>
    <w:rsid w:val="005F4F6F"/>
    <w:rsid w:val="005F5C0F"/>
    <w:rsid w:val="005F6D82"/>
    <w:rsid w:val="005F6DCF"/>
    <w:rsid w:val="005F7530"/>
    <w:rsid w:val="005F7DD4"/>
    <w:rsid w:val="00600E45"/>
    <w:rsid w:val="00601B09"/>
    <w:rsid w:val="00601D48"/>
    <w:rsid w:val="00601DD4"/>
    <w:rsid w:val="00602D19"/>
    <w:rsid w:val="00603602"/>
    <w:rsid w:val="00603E8B"/>
    <w:rsid w:val="00607977"/>
    <w:rsid w:val="00607C96"/>
    <w:rsid w:val="00607DC6"/>
    <w:rsid w:val="00607F2D"/>
    <w:rsid w:val="006112E8"/>
    <w:rsid w:val="00611CEE"/>
    <w:rsid w:val="00611FA8"/>
    <w:rsid w:val="00613678"/>
    <w:rsid w:val="006138FC"/>
    <w:rsid w:val="00613F85"/>
    <w:rsid w:val="006140F2"/>
    <w:rsid w:val="006143B6"/>
    <w:rsid w:val="0061444F"/>
    <w:rsid w:val="00614C9F"/>
    <w:rsid w:val="00614E53"/>
    <w:rsid w:val="00615427"/>
    <w:rsid w:val="006154EB"/>
    <w:rsid w:val="00615D5D"/>
    <w:rsid w:val="00616D5C"/>
    <w:rsid w:val="006170C3"/>
    <w:rsid w:val="00621910"/>
    <w:rsid w:val="00621CF2"/>
    <w:rsid w:val="00621E1A"/>
    <w:rsid w:val="00623850"/>
    <w:rsid w:val="00624E1C"/>
    <w:rsid w:val="006251B5"/>
    <w:rsid w:val="0062601B"/>
    <w:rsid w:val="0062615B"/>
    <w:rsid w:val="0062617B"/>
    <w:rsid w:val="00626728"/>
    <w:rsid w:val="00627649"/>
    <w:rsid w:val="00627B52"/>
    <w:rsid w:val="00627BE2"/>
    <w:rsid w:val="00631C2E"/>
    <w:rsid w:val="00631EF4"/>
    <w:rsid w:val="00632E6D"/>
    <w:rsid w:val="006339EB"/>
    <w:rsid w:val="00634723"/>
    <w:rsid w:val="00635236"/>
    <w:rsid w:val="00636686"/>
    <w:rsid w:val="00636B98"/>
    <w:rsid w:val="00636E95"/>
    <w:rsid w:val="00637784"/>
    <w:rsid w:val="00637B5C"/>
    <w:rsid w:val="00640374"/>
    <w:rsid w:val="00640E7E"/>
    <w:rsid w:val="006421E4"/>
    <w:rsid w:val="00642AA3"/>
    <w:rsid w:val="006437D1"/>
    <w:rsid w:val="00644969"/>
    <w:rsid w:val="00644A87"/>
    <w:rsid w:val="0064576E"/>
    <w:rsid w:val="00646121"/>
    <w:rsid w:val="00646CA5"/>
    <w:rsid w:val="0065096D"/>
    <w:rsid w:val="00651EC5"/>
    <w:rsid w:val="00652236"/>
    <w:rsid w:val="00652591"/>
    <w:rsid w:val="00652C71"/>
    <w:rsid w:val="00654AAD"/>
    <w:rsid w:val="00655EC2"/>
    <w:rsid w:val="00655F4C"/>
    <w:rsid w:val="00656D00"/>
    <w:rsid w:val="006609D7"/>
    <w:rsid w:val="00660CB0"/>
    <w:rsid w:val="00660DF8"/>
    <w:rsid w:val="006611F4"/>
    <w:rsid w:val="0066165F"/>
    <w:rsid w:val="00661E22"/>
    <w:rsid w:val="00662607"/>
    <w:rsid w:val="006628C3"/>
    <w:rsid w:val="0066343A"/>
    <w:rsid w:val="00664463"/>
    <w:rsid w:val="00664C77"/>
    <w:rsid w:val="00665A91"/>
    <w:rsid w:val="00665C39"/>
    <w:rsid w:val="00666D79"/>
    <w:rsid w:val="0066706D"/>
    <w:rsid w:val="00670295"/>
    <w:rsid w:val="00670833"/>
    <w:rsid w:val="006717C9"/>
    <w:rsid w:val="00671AD9"/>
    <w:rsid w:val="00672801"/>
    <w:rsid w:val="00674737"/>
    <w:rsid w:val="00675556"/>
    <w:rsid w:val="00682126"/>
    <w:rsid w:val="00684216"/>
    <w:rsid w:val="006845FE"/>
    <w:rsid w:val="0068477F"/>
    <w:rsid w:val="006851E3"/>
    <w:rsid w:val="00685400"/>
    <w:rsid w:val="00686A3D"/>
    <w:rsid w:val="00686CAE"/>
    <w:rsid w:val="006872E4"/>
    <w:rsid w:val="006873B6"/>
    <w:rsid w:val="0068777A"/>
    <w:rsid w:val="0069014C"/>
    <w:rsid w:val="00690694"/>
    <w:rsid w:val="00690822"/>
    <w:rsid w:val="00691BDD"/>
    <w:rsid w:val="00691C3A"/>
    <w:rsid w:val="006921E3"/>
    <w:rsid w:val="00692468"/>
    <w:rsid w:val="00692573"/>
    <w:rsid w:val="006934D4"/>
    <w:rsid w:val="006937A5"/>
    <w:rsid w:val="00694B8A"/>
    <w:rsid w:val="00694E34"/>
    <w:rsid w:val="006963E0"/>
    <w:rsid w:val="0069703F"/>
    <w:rsid w:val="00697D63"/>
    <w:rsid w:val="006A0595"/>
    <w:rsid w:val="006A09D3"/>
    <w:rsid w:val="006A138E"/>
    <w:rsid w:val="006A1746"/>
    <w:rsid w:val="006A1FBD"/>
    <w:rsid w:val="006A3310"/>
    <w:rsid w:val="006A37C7"/>
    <w:rsid w:val="006A3835"/>
    <w:rsid w:val="006A393D"/>
    <w:rsid w:val="006A4305"/>
    <w:rsid w:val="006A464D"/>
    <w:rsid w:val="006A4DEC"/>
    <w:rsid w:val="006A79E2"/>
    <w:rsid w:val="006A7E64"/>
    <w:rsid w:val="006B022F"/>
    <w:rsid w:val="006B02BB"/>
    <w:rsid w:val="006B18A0"/>
    <w:rsid w:val="006B27BD"/>
    <w:rsid w:val="006B44D3"/>
    <w:rsid w:val="006B4506"/>
    <w:rsid w:val="006B50ED"/>
    <w:rsid w:val="006B51E6"/>
    <w:rsid w:val="006B520C"/>
    <w:rsid w:val="006B5777"/>
    <w:rsid w:val="006B5D6A"/>
    <w:rsid w:val="006B5F0D"/>
    <w:rsid w:val="006B658C"/>
    <w:rsid w:val="006B7016"/>
    <w:rsid w:val="006B7727"/>
    <w:rsid w:val="006C14D7"/>
    <w:rsid w:val="006C1700"/>
    <w:rsid w:val="006C17D1"/>
    <w:rsid w:val="006C198B"/>
    <w:rsid w:val="006C25A4"/>
    <w:rsid w:val="006C27E6"/>
    <w:rsid w:val="006C283B"/>
    <w:rsid w:val="006C2889"/>
    <w:rsid w:val="006C33F3"/>
    <w:rsid w:val="006C34BF"/>
    <w:rsid w:val="006C3A16"/>
    <w:rsid w:val="006C5205"/>
    <w:rsid w:val="006C5F71"/>
    <w:rsid w:val="006C7FF8"/>
    <w:rsid w:val="006D2A2D"/>
    <w:rsid w:val="006D2EA5"/>
    <w:rsid w:val="006D3AC5"/>
    <w:rsid w:val="006D3B50"/>
    <w:rsid w:val="006D3C4B"/>
    <w:rsid w:val="006D44E9"/>
    <w:rsid w:val="006D4649"/>
    <w:rsid w:val="006D5F96"/>
    <w:rsid w:val="006D748B"/>
    <w:rsid w:val="006D7EB0"/>
    <w:rsid w:val="006E0018"/>
    <w:rsid w:val="006E0751"/>
    <w:rsid w:val="006E0845"/>
    <w:rsid w:val="006E127B"/>
    <w:rsid w:val="006E1415"/>
    <w:rsid w:val="006E2373"/>
    <w:rsid w:val="006E2784"/>
    <w:rsid w:val="006E30E6"/>
    <w:rsid w:val="006E4C70"/>
    <w:rsid w:val="006E6D1F"/>
    <w:rsid w:val="006E7DE7"/>
    <w:rsid w:val="006F0539"/>
    <w:rsid w:val="006F07FB"/>
    <w:rsid w:val="006F3E59"/>
    <w:rsid w:val="006F56F0"/>
    <w:rsid w:val="006F6BEF"/>
    <w:rsid w:val="006F7745"/>
    <w:rsid w:val="006F780E"/>
    <w:rsid w:val="00700FD6"/>
    <w:rsid w:val="007010E6"/>
    <w:rsid w:val="00702B33"/>
    <w:rsid w:val="007031D8"/>
    <w:rsid w:val="00704AEA"/>
    <w:rsid w:val="00704AFD"/>
    <w:rsid w:val="00704B6F"/>
    <w:rsid w:val="00705037"/>
    <w:rsid w:val="007051AD"/>
    <w:rsid w:val="00706B2C"/>
    <w:rsid w:val="00706D79"/>
    <w:rsid w:val="00707EDD"/>
    <w:rsid w:val="00707FD8"/>
    <w:rsid w:val="0071081B"/>
    <w:rsid w:val="00710876"/>
    <w:rsid w:val="00711564"/>
    <w:rsid w:val="007115B6"/>
    <w:rsid w:val="00711FC3"/>
    <w:rsid w:val="00712689"/>
    <w:rsid w:val="00713117"/>
    <w:rsid w:val="00713EC3"/>
    <w:rsid w:val="00714E27"/>
    <w:rsid w:val="00715A5F"/>
    <w:rsid w:val="007162C5"/>
    <w:rsid w:val="00717A32"/>
    <w:rsid w:val="00717E0B"/>
    <w:rsid w:val="0072112C"/>
    <w:rsid w:val="00721A91"/>
    <w:rsid w:val="00722452"/>
    <w:rsid w:val="007235B9"/>
    <w:rsid w:val="00723F60"/>
    <w:rsid w:val="00724C09"/>
    <w:rsid w:val="007252AF"/>
    <w:rsid w:val="00725313"/>
    <w:rsid w:val="00725C63"/>
    <w:rsid w:val="007268C8"/>
    <w:rsid w:val="00726BD9"/>
    <w:rsid w:val="0072729F"/>
    <w:rsid w:val="007274AF"/>
    <w:rsid w:val="007302DC"/>
    <w:rsid w:val="00730377"/>
    <w:rsid w:val="007307CB"/>
    <w:rsid w:val="00730ADF"/>
    <w:rsid w:val="0073162F"/>
    <w:rsid w:val="0073171D"/>
    <w:rsid w:val="00731D84"/>
    <w:rsid w:val="007355B2"/>
    <w:rsid w:val="00736FBE"/>
    <w:rsid w:val="00737ED5"/>
    <w:rsid w:val="00740524"/>
    <w:rsid w:val="00741E3C"/>
    <w:rsid w:val="00742A74"/>
    <w:rsid w:val="0074427D"/>
    <w:rsid w:val="00744474"/>
    <w:rsid w:val="007446E3"/>
    <w:rsid w:val="007452A8"/>
    <w:rsid w:val="007470B3"/>
    <w:rsid w:val="00747A94"/>
    <w:rsid w:val="00750BCA"/>
    <w:rsid w:val="00750CD3"/>
    <w:rsid w:val="00750F61"/>
    <w:rsid w:val="007517B3"/>
    <w:rsid w:val="007519BC"/>
    <w:rsid w:val="00752ECB"/>
    <w:rsid w:val="007531D7"/>
    <w:rsid w:val="007533E9"/>
    <w:rsid w:val="00753A04"/>
    <w:rsid w:val="0075598F"/>
    <w:rsid w:val="00755F22"/>
    <w:rsid w:val="00756845"/>
    <w:rsid w:val="00756BA4"/>
    <w:rsid w:val="007576F6"/>
    <w:rsid w:val="00760177"/>
    <w:rsid w:val="0076051C"/>
    <w:rsid w:val="00761B4F"/>
    <w:rsid w:val="007623B6"/>
    <w:rsid w:val="007627D8"/>
    <w:rsid w:val="00762AF1"/>
    <w:rsid w:val="0076372F"/>
    <w:rsid w:val="007654C8"/>
    <w:rsid w:val="007671A2"/>
    <w:rsid w:val="00770195"/>
    <w:rsid w:val="00770D25"/>
    <w:rsid w:val="00772088"/>
    <w:rsid w:val="00772BF9"/>
    <w:rsid w:val="007732E6"/>
    <w:rsid w:val="00773AD6"/>
    <w:rsid w:val="00773BFF"/>
    <w:rsid w:val="0077486F"/>
    <w:rsid w:val="00775171"/>
    <w:rsid w:val="00775815"/>
    <w:rsid w:val="00775EA4"/>
    <w:rsid w:val="007807F4"/>
    <w:rsid w:val="0078084D"/>
    <w:rsid w:val="00782AF4"/>
    <w:rsid w:val="00783082"/>
    <w:rsid w:val="007839D0"/>
    <w:rsid w:val="00784ADC"/>
    <w:rsid w:val="00784D16"/>
    <w:rsid w:val="0078523E"/>
    <w:rsid w:val="00785310"/>
    <w:rsid w:val="00785608"/>
    <w:rsid w:val="00785DFA"/>
    <w:rsid w:val="00786CEC"/>
    <w:rsid w:val="00787AF1"/>
    <w:rsid w:val="00790D64"/>
    <w:rsid w:val="00790F97"/>
    <w:rsid w:val="00790FE4"/>
    <w:rsid w:val="0079149C"/>
    <w:rsid w:val="00791D0F"/>
    <w:rsid w:val="00791F5A"/>
    <w:rsid w:val="00792502"/>
    <w:rsid w:val="00792C4E"/>
    <w:rsid w:val="007946EA"/>
    <w:rsid w:val="0079500D"/>
    <w:rsid w:val="007A0807"/>
    <w:rsid w:val="007A0BD1"/>
    <w:rsid w:val="007A12B6"/>
    <w:rsid w:val="007A21F1"/>
    <w:rsid w:val="007A248F"/>
    <w:rsid w:val="007A29B6"/>
    <w:rsid w:val="007A2C8C"/>
    <w:rsid w:val="007A37E8"/>
    <w:rsid w:val="007A43E2"/>
    <w:rsid w:val="007A47F0"/>
    <w:rsid w:val="007A4F4F"/>
    <w:rsid w:val="007A5109"/>
    <w:rsid w:val="007A56EA"/>
    <w:rsid w:val="007A5D72"/>
    <w:rsid w:val="007A5DAD"/>
    <w:rsid w:val="007A5EA6"/>
    <w:rsid w:val="007A62C5"/>
    <w:rsid w:val="007A6E01"/>
    <w:rsid w:val="007A71D3"/>
    <w:rsid w:val="007A75F5"/>
    <w:rsid w:val="007A79A8"/>
    <w:rsid w:val="007A7CC1"/>
    <w:rsid w:val="007B16C4"/>
    <w:rsid w:val="007B24B9"/>
    <w:rsid w:val="007B377F"/>
    <w:rsid w:val="007B41BD"/>
    <w:rsid w:val="007B4960"/>
    <w:rsid w:val="007B4D6D"/>
    <w:rsid w:val="007B5822"/>
    <w:rsid w:val="007B5F8A"/>
    <w:rsid w:val="007B66B6"/>
    <w:rsid w:val="007B7153"/>
    <w:rsid w:val="007B76D2"/>
    <w:rsid w:val="007C0278"/>
    <w:rsid w:val="007C2D4C"/>
    <w:rsid w:val="007C336A"/>
    <w:rsid w:val="007C36F9"/>
    <w:rsid w:val="007C38FE"/>
    <w:rsid w:val="007C49DF"/>
    <w:rsid w:val="007C4D87"/>
    <w:rsid w:val="007C5102"/>
    <w:rsid w:val="007C567B"/>
    <w:rsid w:val="007C66FC"/>
    <w:rsid w:val="007C72E6"/>
    <w:rsid w:val="007C7542"/>
    <w:rsid w:val="007C7D09"/>
    <w:rsid w:val="007C7E12"/>
    <w:rsid w:val="007D051C"/>
    <w:rsid w:val="007D406C"/>
    <w:rsid w:val="007D7339"/>
    <w:rsid w:val="007E03CB"/>
    <w:rsid w:val="007E2252"/>
    <w:rsid w:val="007E3340"/>
    <w:rsid w:val="007E4398"/>
    <w:rsid w:val="007E4B01"/>
    <w:rsid w:val="007E4F52"/>
    <w:rsid w:val="007E5B2C"/>
    <w:rsid w:val="007E5BC0"/>
    <w:rsid w:val="007E5E5A"/>
    <w:rsid w:val="007E6B5E"/>
    <w:rsid w:val="007F03AD"/>
    <w:rsid w:val="007F1A25"/>
    <w:rsid w:val="007F2B68"/>
    <w:rsid w:val="007F31A1"/>
    <w:rsid w:val="007F447A"/>
    <w:rsid w:val="007F454A"/>
    <w:rsid w:val="007F4D19"/>
    <w:rsid w:val="007F4D93"/>
    <w:rsid w:val="007F5B99"/>
    <w:rsid w:val="007F6244"/>
    <w:rsid w:val="007F6C79"/>
    <w:rsid w:val="007F6FBE"/>
    <w:rsid w:val="007F7A10"/>
    <w:rsid w:val="00800271"/>
    <w:rsid w:val="008007A3"/>
    <w:rsid w:val="00800BB3"/>
    <w:rsid w:val="00801064"/>
    <w:rsid w:val="0080111E"/>
    <w:rsid w:val="00801202"/>
    <w:rsid w:val="00801ACD"/>
    <w:rsid w:val="00803B55"/>
    <w:rsid w:val="0080471C"/>
    <w:rsid w:val="00804A5A"/>
    <w:rsid w:val="008067E5"/>
    <w:rsid w:val="00806A0B"/>
    <w:rsid w:val="00806BC2"/>
    <w:rsid w:val="0080739D"/>
    <w:rsid w:val="008076A7"/>
    <w:rsid w:val="00811194"/>
    <w:rsid w:val="00811CA0"/>
    <w:rsid w:val="00812D67"/>
    <w:rsid w:val="00814086"/>
    <w:rsid w:val="00814740"/>
    <w:rsid w:val="00814B98"/>
    <w:rsid w:val="00814E34"/>
    <w:rsid w:val="00815E40"/>
    <w:rsid w:val="008161D0"/>
    <w:rsid w:val="00816955"/>
    <w:rsid w:val="00816971"/>
    <w:rsid w:val="00816B03"/>
    <w:rsid w:val="00817276"/>
    <w:rsid w:val="00817AEF"/>
    <w:rsid w:val="00817BFF"/>
    <w:rsid w:val="0082002F"/>
    <w:rsid w:val="00820DC3"/>
    <w:rsid w:val="00821732"/>
    <w:rsid w:val="00821ED9"/>
    <w:rsid w:val="00822892"/>
    <w:rsid w:val="00822DF4"/>
    <w:rsid w:val="008240FB"/>
    <w:rsid w:val="00824159"/>
    <w:rsid w:val="0082660F"/>
    <w:rsid w:val="008269B6"/>
    <w:rsid w:val="008302E0"/>
    <w:rsid w:val="008303F9"/>
    <w:rsid w:val="00830831"/>
    <w:rsid w:val="00830D27"/>
    <w:rsid w:val="0083227F"/>
    <w:rsid w:val="00833782"/>
    <w:rsid w:val="008347F7"/>
    <w:rsid w:val="008351E6"/>
    <w:rsid w:val="0083684E"/>
    <w:rsid w:val="00836FE9"/>
    <w:rsid w:val="00837B85"/>
    <w:rsid w:val="00840489"/>
    <w:rsid w:val="00840A09"/>
    <w:rsid w:val="00840D27"/>
    <w:rsid w:val="00840F43"/>
    <w:rsid w:val="00841C41"/>
    <w:rsid w:val="008428D5"/>
    <w:rsid w:val="0084342C"/>
    <w:rsid w:val="00843507"/>
    <w:rsid w:val="00843551"/>
    <w:rsid w:val="00843719"/>
    <w:rsid w:val="00844609"/>
    <w:rsid w:val="008453FD"/>
    <w:rsid w:val="0084548B"/>
    <w:rsid w:val="00846374"/>
    <w:rsid w:val="00846B56"/>
    <w:rsid w:val="008470F5"/>
    <w:rsid w:val="00847618"/>
    <w:rsid w:val="00847B29"/>
    <w:rsid w:val="00847EA3"/>
    <w:rsid w:val="00847FA1"/>
    <w:rsid w:val="008514D1"/>
    <w:rsid w:val="00851CF0"/>
    <w:rsid w:val="008520C3"/>
    <w:rsid w:val="008522F9"/>
    <w:rsid w:val="00853B10"/>
    <w:rsid w:val="00853ECE"/>
    <w:rsid w:val="00854CC5"/>
    <w:rsid w:val="00855B30"/>
    <w:rsid w:val="00856ADB"/>
    <w:rsid w:val="0085765C"/>
    <w:rsid w:val="00857707"/>
    <w:rsid w:val="0086055D"/>
    <w:rsid w:val="0086095F"/>
    <w:rsid w:val="00860E60"/>
    <w:rsid w:val="00862EF1"/>
    <w:rsid w:val="00863589"/>
    <w:rsid w:val="00863794"/>
    <w:rsid w:val="008637A6"/>
    <w:rsid w:val="00863EF6"/>
    <w:rsid w:val="00864734"/>
    <w:rsid w:val="00865AF5"/>
    <w:rsid w:val="00866122"/>
    <w:rsid w:val="0086613C"/>
    <w:rsid w:val="00866369"/>
    <w:rsid w:val="00866AC0"/>
    <w:rsid w:val="0086781D"/>
    <w:rsid w:val="008678F2"/>
    <w:rsid w:val="00867B39"/>
    <w:rsid w:val="00870C62"/>
    <w:rsid w:val="00870C78"/>
    <w:rsid w:val="00872034"/>
    <w:rsid w:val="00872A6F"/>
    <w:rsid w:val="00872DE4"/>
    <w:rsid w:val="00873126"/>
    <w:rsid w:val="00873913"/>
    <w:rsid w:val="00873932"/>
    <w:rsid w:val="00873DF6"/>
    <w:rsid w:val="008752BA"/>
    <w:rsid w:val="0087580B"/>
    <w:rsid w:val="00875866"/>
    <w:rsid w:val="00875F6C"/>
    <w:rsid w:val="00876858"/>
    <w:rsid w:val="00876978"/>
    <w:rsid w:val="008777B2"/>
    <w:rsid w:val="00877AE7"/>
    <w:rsid w:val="0088085A"/>
    <w:rsid w:val="008809A9"/>
    <w:rsid w:val="00880CE5"/>
    <w:rsid w:val="0088104F"/>
    <w:rsid w:val="00882600"/>
    <w:rsid w:val="00882F30"/>
    <w:rsid w:val="0088321F"/>
    <w:rsid w:val="00884BD6"/>
    <w:rsid w:val="00885C58"/>
    <w:rsid w:val="0088643C"/>
    <w:rsid w:val="008877DF"/>
    <w:rsid w:val="00890AA6"/>
    <w:rsid w:val="00890FBB"/>
    <w:rsid w:val="008924AF"/>
    <w:rsid w:val="0089293E"/>
    <w:rsid w:val="00892A80"/>
    <w:rsid w:val="00892F9A"/>
    <w:rsid w:val="00893604"/>
    <w:rsid w:val="0089384F"/>
    <w:rsid w:val="00893D12"/>
    <w:rsid w:val="008944A2"/>
    <w:rsid w:val="00895B29"/>
    <w:rsid w:val="00895C73"/>
    <w:rsid w:val="008968A9"/>
    <w:rsid w:val="008A1AC9"/>
    <w:rsid w:val="008A2D7A"/>
    <w:rsid w:val="008A322D"/>
    <w:rsid w:val="008A3A0A"/>
    <w:rsid w:val="008A41C5"/>
    <w:rsid w:val="008A4CCF"/>
    <w:rsid w:val="008A6AF6"/>
    <w:rsid w:val="008A709B"/>
    <w:rsid w:val="008A776A"/>
    <w:rsid w:val="008A7B42"/>
    <w:rsid w:val="008B0142"/>
    <w:rsid w:val="008B07AD"/>
    <w:rsid w:val="008B1390"/>
    <w:rsid w:val="008B2105"/>
    <w:rsid w:val="008B3A7C"/>
    <w:rsid w:val="008B3B4D"/>
    <w:rsid w:val="008B3E8D"/>
    <w:rsid w:val="008B42D0"/>
    <w:rsid w:val="008B521C"/>
    <w:rsid w:val="008B5391"/>
    <w:rsid w:val="008B61D5"/>
    <w:rsid w:val="008B6505"/>
    <w:rsid w:val="008B686D"/>
    <w:rsid w:val="008B6BD2"/>
    <w:rsid w:val="008B6C5A"/>
    <w:rsid w:val="008B6F8A"/>
    <w:rsid w:val="008C0377"/>
    <w:rsid w:val="008C086F"/>
    <w:rsid w:val="008C16DE"/>
    <w:rsid w:val="008C2C94"/>
    <w:rsid w:val="008C32F4"/>
    <w:rsid w:val="008C3ACE"/>
    <w:rsid w:val="008C3D2C"/>
    <w:rsid w:val="008C3D85"/>
    <w:rsid w:val="008C4075"/>
    <w:rsid w:val="008C4700"/>
    <w:rsid w:val="008C4C90"/>
    <w:rsid w:val="008C4DC9"/>
    <w:rsid w:val="008C509C"/>
    <w:rsid w:val="008C5FB7"/>
    <w:rsid w:val="008C6F3B"/>
    <w:rsid w:val="008D0263"/>
    <w:rsid w:val="008D0945"/>
    <w:rsid w:val="008D17E9"/>
    <w:rsid w:val="008D1E3B"/>
    <w:rsid w:val="008D1ECA"/>
    <w:rsid w:val="008D22EB"/>
    <w:rsid w:val="008D2569"/>
    <w:rsid w:val="008D3449"/>
    <w:rsid w:val="008D4402"/>
    <w:rsid w:val="008D444D"/>
    <w:rsid w:val="008D62FF"/>
    <w:rsid w:val="008D6776"/>
    <w:rsid w:val="008D7FFB"/>
    <w:rsid w:val="008E1492"/>
    <w:rsid w:val="008E251A"/>
    <w:rsid w:val="008E30CB"/>
    <w:rsid w:val="008E32E6"/>
    <w:rsid w:val="008E4409"/>
    <w:rsid w:val="008E55F8"/>
    <w:rsid w:val="008E6166"/>
    <w:rsid w:val="008E637B"/>
    <w:rsid w:val="008E692D"/>
    <w:rsid w:val="008E79E6"/>
    <w:rsid w:val="008F0536"/>
    <w:rsid w:val="008F0AC6"/>
    <w:rsid w:val="008F0B59"/>
    <w:rsid w:val="008F23D9"/>
    <w:rsid w:val="008F2B34"/>
    <w:rsid w:val="008F2D67"/>
    <w:rsid w:val="008F37AC"/>
    <w:rsid w:val="008F398C"/>
    <w:rsid w:val="008F40D4"/>
    <w:rsid w:val="008F6823"/>
    <w:rsid w:val="008F6908"/>
    <w:rsid w:val="008F77A7"/>
    <w:rsid w:val="00900F6C"/>
    <w:rsid w:val="0090224F"/>
    <w:rsid w:val="00902EA9"/>
    <w:rsid w:val="00903091"/>
    <w:rsid w:val="00903293"/>
    <w:rsid w:val="00903917"/>
    <w:rsid w:val="00903CDA"/>
    <w:rsid w:val="00903E92"/>
    <w:rsid w:val="0090409E"/>
    <w:rsid w:val="00904D6A"/>
    <w:rsid w:val="0090576D"/>
    <w:rsid w:val="00905BE9"/>
    <w:rsid w:val="00905D35"/>
    <w:rsid w:val="0090684F"/>
    <w:rsid w:val="00907A57"/>
    <w:rsid w:val="00911041"/>
    <w:rsid w:val="00911BB7"/>
    <w:rsid w:val="0091340F"/>
    <w:rsid w:val="00913512"/>
    <w:rsid w:val="009138EC"/>
    <w:rsid w:val="0091499B"/>
    <w:rsid w:val="0091566B"/>
    <w:rsid w:val="00915F6D"/>
    <w:rsid w:val="009162A3"/>
    <w:rsid w:val="009176EB"/>
    <w:rsid w:val="00917891"/>
    <w:rsid w:val="00917E53"/>
    <w:rsid w:val="0092023F"/>
    <w:rsid w:val="009203B3"/>
    <w:rsid w:val="00921377"/>
    <w:rsid w:val="00922369"/>
    <w:rsid w:val="0092263A"/>
    <w:rsid w:val="00922953"/>
    <w:rsid w:val="00922C92"/>
    <w:rsid w:val="00922F2A"/>
    <w:rsid w:val="00923E65"/>
    <w:rsid w:val="00924262"/>
    <w:rsid w:val="0092435E"/>
    <w:rsid w:val="00925D00"/>
    <w:rsid w:val="00925E88"/>
    <w:rsid w:val="00925F70"/>
    <w:rsid w:val="009276AB"/>
    <w:rsid w:val="0093088D"/>
    <w:rsid w:val="0093119D"/>
    <w:rsid w:val="009323A3"/>
    <w:rsid w:val="00932FFE"/>
    <w:rsid w:val="0093355F"/>
    <w:rsid w:val="0093505C"/>
    <w:rsid w:val="0093599A"/>
    <w:rsid w:val="00936922"/>
    <w:rsid w:val="00941CFC"/>
    <w:rsid w:val="009429CB"/>
    <w:rsid w:val="00942B8C"/>
    <w:rsid w:val="00942B95"/>
    <w:rsid w:val="0094334C"/>
    <w:rsid w:val="009437C1"/>
    <w:rsid w:val="009437CE"/>
    <w:rsid w:val="00943DF8"/>
    <w:rsid w:val="009448AB"/>
    <w:rsid w:val="009459C0"/>
    <w:rsid w:val="009462EE"/>
    <w:rsid w:val="00950F96"/>
    <w:rsid w:val="009511E9"/>
    <w:rsid w:val="00951292"/>
    <w:rsid w:val="00951D54"/>
    <w:rsid w:val="00952312"/>
    <w:rsid w:val="00952977"/>
    <w:rsid w:val="009537F7"/>
    <w:rsid w:val="00954926"/>
    <w:rsid w:val="0095492C"/>
    <w:rsid w:val="00957C75"/>
    <w:rsid w:val="00964098"/>
    <w:rsid w:val="00964613"/>
    <w:rsid w:val="0096535E"/>
    <w:rsid w:val="009656E8"/>
    <w:rsid w:val="00966A7C"/>
    <w:rsid w:val="00966E26"/>
    <w:rsid w:val="009670F4"/>
    <w:rsid w:val="00967D9B"/>
    <w:rsid w:val="00970150"/>
    <w:rsid w:val="009709F3"/>
    <w:rsid w:val="00973928"/>
    <w:rsid w:val="00973A45"/>
    <w:rsid w:val="00973B0E"/>
    <w:rsid w:val="00975AE1"/>
    <w:rsid w:val="00975AF0"/>
    <w:rsid w:val="00975B68"/>
    <w:rsid w:val="0097644A"/>
    <w:rsid w:val="009765CB"/>
    <w:rsid w:val="00977E73"/>
    <w:rsid w:val="009804AA"/>
    <w:rsid w:val="00981731"/>
    <w:rsid w:val="00981C87"/>
    <w:rsid w:val="009824B1"/>
    <w:rsid w:val="00982E6B"/>
    <w:rsid w:val="00982F86"/>
    <w:rsid w:val="009837D6"/>
    <w:rsid w:val="00983B91"/>
    <w:rsid w:val="00984475"/>
    <w:rsid w:val="009856B9"/>
    <w:rsid w:val="00986101"/>
    <w:rsid w:val="00986588"/>
    <w:rsid w:val="00987070"/>
    <w:rsid w:val="00987A97"/>
    <w:rsid w:val="00987D07"/>
    <w:rsid w:val="00990262"/>
    <w:rsid w:val="00990534"/>
    <w:rsid w:val="0099489C"/>
    <w:rsid w:val="0099553F"/>
    <w:rsid w:val="00995B45"/>
    <w:rsid w:val="009976DC"/>
    <w:rsid w:val="00997EAC"/>
    <w:rsid w:val="009A01EB"/>
    <w:rsid w:val="009A2678"/>
    <w:rsid w:val="009A2B61"/>
    <w:rsid w:val="009A44F0"/>
    <w:rsid w:val="009A5B3E"/>
    <w:rsid w:val="009A76D7"/>
    <w:rsid w:val="009B0511"/>
    <w:rsid w:val="009B0920"/>
    <w:rsid w:val="009B0956"/>
    <w:rsid w:val="009B1F6C"/>
    <w:rsid w:val="009B29BE"/>
    <w:rsid w:val="009B2A11"/>
    <w:rsid w:val="009B38C0"/>
    <w:rsid w:val="009B44FE"/>
    <w:rsid w:val="009B57C1"/>
    <w:rsid w:val="009B5B0C"/>
    <w:rsid w:val="009B616D"/>
    <w:rsid w:val="009B618B"/>
    <w:rsid w:val="009B6D26"/>
    <w:rsid w:val="009B6EB3"/>
    <w:rsid w:val="009B712A"/>
    <w:rsid w:val="009C02E6"/>
    <w:rsid w:val="009C2CA8"/>
    <w:rsid w:val="009C52D1"/>
    <w:rsid w:val="009C6912"/>
    <w:rsid w:val="009C79D3"/>
    <w:rsid w:val="009C7D1D"/>
    <w:rsid w:val="009D0451"/>
    <w:rsid w:val="009D0F9E"/>
    <w:rsid w:val="009D2095"/>
    <w:rsid w:val="009D3A91"/>
    <w:rsid w:val="009D48ED"/>
    <w:rsid w:val="009D4A59"/>
    <w:rsid w:val="009D52A5"/>
    <w:rsid w:val="009D6315"/>
    <w:rsid w:val="009E0331"/>
    <w:rsid w:val="009E041A"/>
    <w:rsid w:val="009E1757"/>
    <w:rsid w:val="009E1816"/>
    <w:rsid w:val="009E1920"/>
    <w:rsid w:val="009E3093"/>
    <w:rsid w:val="009E3AC9"/>
    <w:rsid w:val="009E4850"/>
    <w:rsid w:val="009E5B6A"/>
    <w:rsid w:val="009E6F2D"/>
    <w:rsid w:val="009E711A"/>
    <w:rsid w:val="009E765B"/>
    <w:rsid w:val="009F0D74"/>
    <w:rsid w:val="009F246F"/>
    <w:rsid w:val="009F2EDF"/>
    <w:rsid w:val="009F5B37"/>
    <w:rsid w:val="009F5E5C"/>
    <w:rsid w:val="009F7634"/>
    <w:rsid w:val="00A0032C"/>
    <w:rsid w:val="00A00447"/>
    <w:rsid w:val="00A010A4"/>
    <w:rsid w:val="00A024F9"/>
    <w:rsid w:val="00A033D4"/>
    <w:rsid w:val="00A0356D"/>
    <w:rsid w:val="00A047B2"/>
    <w:rsid w:val="00A05250"/>
    <w:rsid w:val="00A071F9"/>
    <w:rsid w:val="00A1162D"/>
    <w:rsid w:val="00A13479"/>
    <w:rsid w:val="00A136DB"/>
    <w:rsid w:val="00A1545C"/>
    <w:rsid w:val="00A157D8"/>
    <w:rsid w:val="00A16302"/>
    <w:rsid w:val="00A16AE4"/>
    <w:rsid w:val="00A17964"/>
    <w:rsid w:val="00A17A24"/>
    <w:rsid w:val="00A20618"/>
    <w:rsid w:val="00A20CFD"/>
    <w:rsid w:val="00A240BA"/>
    <w:rsid w:val="00A25222"/>
    <w:rsid w:val="00A25840"/>
    <w:rsid w:val="00A26326"/>
    <w:rsid w:val="00A26780"/>
    <w:rsid w:val="00A27E4B"/>
    <w:rsid w:val="00A307F0"/>
    <w:rsid w:val="00A30FD8"/>
    <w:rsid w:val="00A3156C"/>
    <w:rsid w:val="00A3278F"/>
    <w:rsid w:val="00A33AEE"/>
    <w:rsid w:val="00A347A7"/>
    <w:rsid w:val="00A34A44"/>
    <w:rsid w:val="00A3567E"/>
    <w:rsid w:val="00A35C70"/>
    <w:rsid w:val="00A37894"/>
    <w:rsid w:val="00A37AE4"/>
    <w:rsid w:val="00A37B43"/>
    <w:rsid w:val="00A37FF2"/>
    <w:rsid w:val="00A4088F"/>
    <w:rsid w:val="00A41FD7"/>
    <w:rsid w:val="00A422F0"/>
    <w:rsid w:val="00A4292E"/>
    <w:rsid w:val="00A429C9"/>
    <w:rsid w:val="00A437DE"/>
    <w:rsid w:val="00A43F14"/>
    <w:rsid w:val="00A4401C"/>
    <w:rsid w:val="00A4414A"/>
    <w:rsid w:val="00A46F1B"/>
    <w:rsid w:val="00A5046C"/>
    <w:rsid w:val="00A50B1D"/>
    <w:rsid w:val="00A51936"/>
    <w:rsid w:val="00A51AE4"/>
    <w:rsid w:val="00A555C2"/>
    <w:rsid w:val="00A60965"/>
    <w:rsid w:val="00A60D8D"/>
    <w:rsid w:val="00A6138E"/>
    <w:rsid w:val="00A6176B"/>
    <w:rsid w:val="00A61C37"/>
    <w:rsid w:val="00A61F93"/>
    <w:rsid w:val="00A63E15"/>
    <w:rsid w:val="00A64497"/>
    <w:rsid w:val="00A64811"/>
    <w:rsid w:val="00A64D65"/>
    <w:rsid w:val="00A6556A"/>
    <w:rsid w:val="00A6697C"/>
    <w:rsid w:val="00A66EA4"/>
    <w:rsid w:val="00A678EB"/>
    <w:rsid w:val="00A67DF1"/>
    <w:rsid w:val="00A67E5A"/>
    <w:rsid w:val="00A7023B"/>
    <w:rsid w:val="00A70DF0"/>
    <w:rsid w:val="00A711C6"/>
    <w:rsid w:val="00A735F0"/>
    <w:rsid w:val="00A74404"/>
    <w:rsid w:val="00A74A36"/>
    <w:rsid w:val="00A74CC6"/>
    <w:rsid w:val="00A75727"/>
    <w:rsid w:val="00A75AAD"/>
    <w:rsid w:val="00A75B95"/>
    <w:rsid w:val="00A7619F"/>
    <w:rsid w:val="00A76C8D"/>
    <w:rsid w:val="00A77465"/>
    <w:rsid w:val="00A77E65"/>
    <w:rsid w:val="00A8080C"/>
    <w:rsid w:val="00A80D0A"/>
    <w:rsid w:val="00A848EE"/>
    <w:rsid w:val="00A867BD"/>
    <w:rsid w:val="00A86B85"/>
    <w:rsid w:val="00A91404"/>
    <w:rsid w:val="00A93437"/>
    <w:rsid w:val="00A93BDD"/>
    <w:rsid w:val="00A93E28"/>
    <w:rsid w:val="00A94707"/>
    <w:rsid w:val="00A9489E"/>
    <w:rsid w:val="00A94CDE"/>
    <w:rsid w:val="00A94CE1"/>
    <w:rsid w:val="00A953F3"/>
    <w:rsid w:val="00A96B7B"/>
    <w:rsid w:val="00A96DE9"/>
    <w:rsid w:val="00A96F5E"/>
    <w:rsid w:val="00A970A8"/>
    <w:rsid w:val="00A97878"/>
    <w:rsid w:val="00AA0B15"/>
    <w:rsid w:val="00AA11A0"/>
    <w:rsid w:val="00AA322A"/>
    <w:rsid w:val="00AA3C0F"/>
    <w:rsid w:val="00AA56BB"/>
    <w:rsid w:val="00AA5B17"/>
    <w:rsid w:val="00AA6056"/>
    <w:rsid w:val="00AA73A8"/>
    <w:rsid w:val="00AB0830"/>
    <w:rsid w:val="00AB09DB"/>
    <w:rsid w:val="00AB12CC"/>
    <w:rsid w:val="00AB1D2C"/>
    <w:rsid w:val="00AB40FE"/>
    <w:rsid w:val="00AB5F0B"/>
    <w:rsid w:val="00AB6257"/>
    <w:rsid w:val="00AB6BA0"/>
    <w:rsid w:val="00AB6DDF"/>
    <w:rsid w:val="00AB6FA7"/>
    <w:rsid w:val="00AB6FE3"/>
    <w:rsid w:val="00AB6FF0"/>
    <w:rsid w:val="00AB7326"/>
    <w:rsid w:val="00AC0401"/>
    <w:rsid w:val="00AC18B8"/>
    <w:rsid w:val="00AC26E9"/>
    <w:rsid w:val="00AC3A93"/>
    <w:rsid w:val="00AC4A94"/>
    <w:rsid w:val="00AC4E14"/>
    <w:rsid w:val="00AC5619"/>
    <w:rsid w:val="00AC5A5A"/>
    <w:rsid w:val="00AC6818"/>
    <w:rsid w:val="00AC6B9C"/>
    <w:rsid w:val="00AC6E1F"/>
    <w:rsid w:val="00AC6E34"/>
    <w:rsid w:val="00AC76EF"/>
    <w:rsid w:val="00AC7FB1"/>
    <w:rsid w:val="00AD27C0"/>
    <w:rsid w:val="00AD286C"/>
    <w:rsid w:val="00AD3712"/>
    <w:rsid w:val="00AD3C1C"/>
    <w:rsid w:val="00AD42C9"/>
    <w:rsid w:val="00AD48EC"/>
    <w:rsid w:val="00AD5085"/>
    <w:rsid w:val="00AD5781"/>
    <w:rsid w:val="00AD6BDC"/>
    <w:rsid w:val="00AD6FD0"/>
    <w:rsid w:val="00AE0B1D"/>
    <w:rsid w:val="00AE0C72"/>
    <w:rsid w:val="00AE0CEC"/>
    <w:rsid w:val="00AE126B"/>
    <w:rsid w:val="00AE12AB"/>
    <w:rsid w:val="00AE3F79"/>
    <w:rsid w:val="00AE4500"/>
    <w:rsid w:val="00AE4987"/>
    <w:rsid w:val="00AE5309"/>
    <w:rsid w:val="00AE73DB"/>
    <w:rsid w:val="00AE7B4A"/>
    <w:rsid w:val="00AE7FEE"/>
    <w:rsid w:val="00AF06E2"/>
    <w:rsid w:val="00AF27D8"/>
    <w:rsid w:val="00AF2E74"/>
    <w:rsid w:val="00AF3C31"/>
    <w:rsid w:val="00AF43E4"/>
    <w:rsid w:val="00AF4D20"/>
    <w:rsid w:val="00AF4F78"/>
    <w:rsid w:val="00AF52D8"/>
    <w:rsid w:val="00AF5A3E"/>
    <w:rsid w:val="00AF5C44"/>
    <w:rsid w:val="00AF5E5E"/>
    <w:rsid w:val="00AF68BB"/>
    <w:rsid w:val="00AF6A28"/>
    <w:rsid w:val="00AF6A6C"/>
    <w:rsid w:val="00AF6EDE"/>
    <w:rsid w:val="00B00DCE"/>
    <w:rsid w:val="00B00EF5"/>
    <w:rsid w:val="00B01477"/>
    <w:rsid w:val="00B0363E"/>
    <w:rsid w:val="00B04032"/>
    <w:rsid w:val="00B04710"/>
    <w:rsid w:val="00B06EBF"/>
    <w:rsid w:val="00B06F42"/>
    <w:rsid w:val="00B073CE"/>
    <w:rsid w:val="00B07E8C"/>
    <w:rsid w:val="00B101CB"/>
    <w:rsid w:val="00B108BE"/>
    <w:rsid w:val="00B11ACF"/>
    <w:rsid w:val="00B1286E"/>
    <w:rsid w:val="00B12D80"/>
    <w:rsid w:val="00B1457B"/>
    <w:rsid w:val="00B14A4E"/>
    <w:rsid w:val="00B166FA"/>
    <w:rsid w:val="00B16E50"/>
    <w:rsid w:val="00B203F8"/>
    <w:rsid w:val="00B2083A"/>
    <w:rsid w:val="00B214D6"/>
    <w:rsid w:val="00B2267C"/>
    <w:rsid w:val="00B24761"/>
    <w:rsid w:val="00B25207"/>
    <w:rsid w:val="00B252A0"/>
    <w:rsid w:val="00B25A63"/>
    <w:rsid w:val="00B26053"/>
    <w:rsid w:val="00B26B71"/>
    <w:rsid w:val="00B27518"/>
    <w:rsid w:val="00B27BB7"/>
    <w:rsid w:val="00B3048D"/>
    <w:rsid w:val="00B305D8"/>
    <w:rsid w:val="00B3104B"/>
    <w:rsid w:val="00B3286B"/>
    <w:rsid w:val="00B328CD"/>
    <w:rsid w:val="00B33E34"/>
    <w:rsid w:val="00B33E66"/>
    <w:rsid w:val="00B35ADC"/>
    <w:rsid w:val="00B35AE7"/>
    <w:rsid w:val="00B35B9B"/>
    <w:rsid w:val="00B35C94"/>
    <w:rsid w:val="00B35D01"/>
    <w:rsid w:val="00B360A7"/>
    <w:rsid w:val="00B3615C"/>
    <w:rsid w:val="00B36671"/>
    <w:rsid w:val="00B3671C"/>
    <w:rsid w:val="00B37AD4"/>
    <w:rsid w:val="00B37DA6"/>
    <w:rsid w:val="00B401CC"/>
    <w:rsid w:val="00B40573"/>
    <w:rsid w:val="00B41392"/>
    <w:rsid w:val="00B41F84"/>
    <w:rsid w:val="00B42F64"/>
    <w:rsid w:val="00B43905"/>
    <w:rsid w:val="00B43A00"/>
    <w:rsid w:val="00B43E07"/>
    <w:rsid w:val="00B44A57"/>
    <w:rsid w:val="00B44C1C"/>
    <w:rsid w:val="00B46613"/>
    <w:rsid w:val="00B46C11"/>
    <w:rsid w:val="00B47A5D"/>
    <w:rsid w:val="00B50566"/>
    <w:rsid w:val="00B51382"/>
    <w:rsid w:val="00B51983"/>
    <w:rsid w:val="00B52AC3"/>
    <w:rsid w:val="00B52E03"/>
    <w:rsid w:val="00B53904"/>
    <w:rsid w:val="00B53AF9"/>
    <w:rsid w:val="00B543DA"/>
    <w:rsid w:val="00B548B5"/>
    <w:rsid w:val="00B54A7D"/>
    <w:rsid w:val="00B54DA6"/>
    <w:rsid w:val="00B57855"/>
    <w:rsid w:val="00B57B87"/>
    <w:rsid w:val="00B606D7"/>
    <w:rsid w:val="00B63DF2"/>
    <w:rsid w:val="00B640E1"/>
    <w:rsid w:val="00B6446C"/>
    <w:rsid w:val="00B66FB2"/>
    <w:rsid w:val="00B70849"/>
    <w:rsid w:val="00B7120A"/>
    <w:rsid w:val="00B7239C"/>
    <w:rsid w:val="00B731B5"/>
    <w:rsid w:val="00B73240"/>
    <w:rsid w:val="00B7354A"/>
    <w:rsid w:val="00B73BBE"/>
    <w:rsid w:val="00B73F82"/>
    <w:rsid w:val="00B747F1"/>
    <w:rsid w:val="00B756A6"/>
    <w:rsid w:val="00B80730"/>
    <w:rsid w:val="00B81061"/>
    <w:rsid w:val="00B81296"/>
    <w:rsid w:val="00B81940"/>
    <w:rsid w:val="00B82266"/>
    <w:rsid w:val="00B8250D"/>
    <w:rsid w:val="00B82965"/>
    <w:rsid w:val="00B834FC"/>
    <w:rsid w:val="00B836AB"/>
    <w:rsid w:val="00B8484B"/>
    <w:rsid w:val="00B8595B"/>
    <w:rsid w:val="00B85C59"/>
    <w:rsid w:val="00B905C2"/>
    <w:rsid w:val="00B916FF"/>
    <w:rsid w:val="00B91834"/>
    <w:rsid w:val="00B928A1"/>
    <w:rsid w:val="00B92C39"/>
    <w:rsid w:val="00B9465F"/>
    <w:rsid w:val="00B97BCD"/>
    <w:rsid w:val="00BA05C6"/>
    <w:rsid w:val="00BA0DB5"/>
    <w:rsid w:val="00BA0F6C"/>
    <w:rsid w:val="00BA182C"/>
    <w:rsid w:val="00BA36FC"/>
    <w:rsid w:val="00BA384E"/>
    <w:rsid w:val="00BA3F18"/>
    <w:rsid w:val="00BA4582"/>
    <w:rsid w:val="00BA4B5C"/>
    <w:rsid w:val="00BA635C"/>
    <w:rsid w:val="00BA65F2"/>
    <w:rsid w:val="00BB0049"/>
    <w:rsid w:val="00BB0E63"/>
    <w:rsid w:val="00BB2F33"/>
    <w:rsid w:val="00BB3F50"/>
    <w:rsid w:val="00BB42EB"/>
    <w:rsid w:val="00BB46C6"/>
    <w:rsid w:val="00BB530D"/>
    <w:rsid w:val="00BB539C"/>
    <w:rsid w:val="00BB5536"/>
    <w:rsid w:val="00BB5998"/>
    <w:rsid w:val="00BB5D56"/>
    <w:rsid w:val="00BB6211"/>
    <w:rsid w:val="00BB6F33"/>
    <w:rsid w:val="00BB7DED"/>
    <w:rsid w:val="00BC05D3"/>
    <w:rsid w:val="00BC119C"/>
    <w:rsid w:val="00BC1BBA"/>
    <w:rsid w:val="00BC1E1A"/>
    <w:rsid w:val="00BC29FD"/>
    <w:rsid w:val="00BC2B42"/>
    <w:rsid w:val="00BC4137"/>
    <w:rsid w:val="00BC4828"/>
    <w:rsid w:val="00BC6899"/>
    <w:rsid w:val="00BC69D2"/>
    <w:rsid w:val="00BC6D69"/>
    <w:rsid w:val="00BC7997"/>
    <w:rsid w:val="00BD11AA"/>
    <w:rsid w:val="00BD152B"/>
    <w:rsid w:val="00BD2741"/>
    <w:rsid w:val="00BD4649"/>
    <w:rsid w:val="00BD4684"/>
    <w:rsid w:val="00BD60B9"/>
    <w:rsid w:val="00BD6E8A"/>
    <w:rsid w:val="00BE1AFA"/>
    <w:rsid w:val="00BE234E"/>
    <w:rsid w:val="00BE2AA3"/>
    <w:rsid w:val="00BE3821"/>
    <w:rsid w:val="00BE6CD9"/>
    <w:rsid w:val="00BE7161"/>
    <w:rsid w:val="00BE7184"/>
    <w:rsid w:val="00BE734F"/>
    <w:rsid w:val="00BE7953"/>
    <w:rsid w:val="00BE7BA7"/>
    <w:rsid w:val="00BE7BD9"/>
    <w:rsid w:val="00BF181C"/>
    <w:rsid w:val="00BF2155"/>
    <w:rsid w:val="00BF2399"/>
    <w:rsid w:val="00BF2980"/>
    <w:rsid w:val="00BF3176"/>
    <w:rsid w:val="00BF3507"/>
    <w:rsid w:val="00BF3E24"/>
    <w:rsid w:val="00BF4216"/>
    <w:rsid w:val="00BF45B2"/>
    <w:rsid w:val="00BF4A25"/>
    <w:rsid w:val="00BF50CE"/>
    <w:rsid w:val="00BF5C05"/>
    <w:rsid w:val="00C005CB"/>
    <w:rsid w:val="00C00CF0"/>
    <w:rsid w:val="00C01562"/>
    <w:rsid w:val="00C02F53"/>
    <w:rsid w:val="00C03C65"/>
    <w:rsid w:val="00C042D5"/>
    <w:rsid w:val="00C0453C"/>
    <w:rsid w:val="00C046CF"/>
    <w:rsid w:val="00C05BBE"/>
    <w:rsid w:val="00C10318"/>
    <w:rsid w:val="00C10CB0"/>
    <w:rsid w:val="00C10F3F"/>
    <w:rsid w:val="00C1288D"/>
    <w:rsid w:val="00C13239"/>
    <w:rsid w:val="00C14C6F"/>
    <w:rsid w:val="00C15547"/>
    <w:rsid w:val="00C16381"/>
    <w:rsid w:val="00C1684B"/>
    <w:rsid w:val="00C1744F"/>
    <w:rsid w:val="00C17A49"/>
    <w:rsid w:val="00C20A2B"/>
    <w:rsid w:val="00C21790"/>
    <w:rsid w:val="00C21A6E"/>
    <w:rsid w:val="00C21E46"/>
    <w:rsid w:val="00C226BC"/>
    <w:rsid w:val="00C22996"/>
    <w:rsid w:val="00C22F81"/>
    <w:rsid w:val="00C245B9"/>
    <w:rsid w:val="00C24B29"/>
    <w:rsid w:val="00C24ECC"/>
    <w:rsid w:val="00C25078"/>
    <w:rsid w:val="00C25E62"/>
    <w:rsid w:val="00C26082"/>
    <w:rsid w:val="00C27245"/>
    <w:rsid w:val="00C30583"/>
    <w:rsid w:val="00C31C14"/>
    <w:rsid w:val="00C31D38"/>
    <w:rsid w:val="00C32587"/>
    <w:rsid w:val="00C3278E"/>
    <w:rsid w:val="00C32B34"/>
    <w:rsid w:val="00C33210"/>
    <w:rsid w:val="00C33881"/>
    <w:rsid w:val="00C33D2A"/>
    <w:rsid w:val="00C33FAF"/>
    <w:rsid w:val="00C343CD"/>
    <w:rsid w:val="00C3572F"/>
    <w:rsid w:val="00C366F7"/>
    <w:rsid w:val="00C36E30"/>
    <w:rsid w:val="00C3727D"/>
    <w:rsid w:val="00C3764D"/>
    <w:rsid w:val="00C40154"/>
    <w:rsid w:val="00C412CF"/>
    <w:rsid w:val="00C415B2"/>
    <w:rsid w:val="00C41C96"/>
    <w:rsid w:val="00C41E7E"/>
    <w:rsid w:val="00C422D8"/>
    <w:rsid w:val="00C43365"/>
    <w:rsid w:val="00C43897"/>
    <w:rsid w:val="00C43CCD"/>
    <w:rsid w:val="00C43FE4"/>
    <w:rsid w:val="00C44630"/>
    <w:rsid w:val="00C44B70"/>
    <w:rsid w:val="00C44FFD"/>
    <w:rsid w:val="00C4505F"/>
    <w:rsid w:val="00C4538C"/>
    <w:rsid w:val="00C456C0"/>
    <w:rsid w:val="00C46E9F"/>
    <w:rsid w:val="00C4771B"/>
    <w:rsid w:val="00C50879"/>
    <w:rsid w:val="00C50B9A"/>
    <w:rsid w:val="00C50C65"/>
    <w:rsid w:val="00C51780"/>
    <w:rsid w:val="00C51D7E"/>
    <w:rsid w:val="00C52B56"/>
    <w:rsid w:val="00C5385E"/>
    <w:rsid w:val="00C543D9"/>
    <w:rsid w:val="00C5486F"/>
    <w:rsid w:val="00C55A0E"/>
    <w:rsid w:val="00C5604E"/>
    <w:rsid w:val="00C600F8"/>
    <w:rsid w:val="00C6012F"/>
    <w:rsid w:val="00C60820"/>
    <w:rsid w:val="00C60846"/>
    <w:rsid w:val="00C61416"/>
    <w:rsid w:val="00C615AF"/>
    <w:rsid w:val="00C63AB7"/>
    <w:rsid w:val="00C65043"/>
    <w:rsid w:val="00C65B2C"/>
    <w:rsid w:val="00C65D28"/>
    <w:rsid w:val="00C66303"/>
    <w:rsid w:val="00C66485"/>
    <w:rsid w:val="00C66D54"/>
    <w:rsid w:val="00C6799E"/>
    <w:rsid w:val="00C70515"/>
    <w:rsid w:val="00C72EC9"/>
    <w:rsid w:val="00C73128"/>
    <w:rsid w:val="00C7340F"/>
    <w:rsid w:val="00C75010"/>
    <w:rsid w:val="00C7551D"/>
    <w:rsid w:val="00C756AE"/>
    <w:rsid w:val="00C82807"/>
    <w:rsid w:val="00C832B6"/>
    <w:rsid w:val="00C83ACC"/>
    <w:rsid w:val="00C845B4"/>
    <w:rsid w:val="00C8735C"/>
    <w:rsid w:val="00C9176E"/>
    <w:rsid w:val="00C91B24"/>
    <w:rsid w:val="00C92804"/>
    <w:rsid w:val="00C9295E"/>
    <w:rsid w:val="00C92C0C"/>
    <w:rsid w:val="00C92FA0"/>
    <w:rsid w:val="00C9346C"/>
    <w:rsid w:val="00C93B13"/>
    <w:rsid w:val="00C93C58"/>
    <w:rsid w:val="00C9460B"/>
    <w:rsid w:val="00C94ED9"/>
    <w:rsid w:val="00C9592E"/>
    <w:rsid w:val="00C972CD"/>
    <w:rsid w:val="00CA027B"/>
    <w:rsid w:val="00CA0CB4"/>
    <w:rsid w:val="00CA0E9E"/>
    <w:rsid w:val="00CA238C"/>
    <w:rsid w:val="00CA356B"/>
    <w:rsid w:val="00CA4836"/>
    <w:rsid w:val="00CA58E7"/>
    <w:rsid w:val="00CA5E57"/>
    <w:rsid w:val="00CA6A29"/>
    <w:rsid w:val="00CA6BBB"/>
    <w:rsid w:val="00CA7C51"/>
    <w:rsid w:val="00CA7FBB"/>
    <w:rsid w:val="00CB0321"/>
    <w:rsid w:val="00CB202E"/>
    <w:rsid w:val="00CB316C"/>
    <w:rsid w:val="00CB3C41"/>
    <w:rsid w:val="00CB3D4F"/>
    <w:rsid w:val="00CB4924"/>
    <w:rsid w:val="00CB5796"/>
    <w:rsid w:val="00CB5E10"/>
    <w:rsid w:val="00CB6A9C"/>
    <w:rsid w:val="00CC05E4"/>
    <w:rsid w:val="00CC182B"/>
    <w:rsid w:val="00CC2120"/>
    <w:rsid w:val="00CC2177"/>
    <w:rsid w:val="00CC29F6"/>
    <w:rsid w:val="00CC2EF4"/>
    <w:rsid w:val="00CC304B"/>
    <w:rsid w:val="00CC330E"/>
    <w:rsid w:val="00CC34A7"/>
    <w:rsid w:val="00CC3A5A"/>
    <w:rsid w:val="00CC4115"/>
    <w:rsid w:val="00CC512E"/>
    <w:rsid w:val="00CC51AF"/>
    <w:rsid w:val="00CC52C2"/>
    <w:rsid w:val="00CC55EC"/>
    <w:rsid w:val="00CC662E"/>
    <w:rsid w:val="00CC6791"/>
    <w:rsid w:val="00CC7A2B"/>
    <w:rsid w:val="00CD0877"/>
    <w:rsid w:val="00CD11A3"/>
    <w:rsid w:val="00CD13EB"/>
    <w:rsid w:val="00CD22F1"/>
    <w:rsid w:val="00CD2E6B"/>
    <w:rsid w:val="00CD3F72"/>
    <w:rsid w:val="00CD5064"/>
    <w:rsid w:val="00CD5CF8"/>
    <w:rsid w:val="00CD60CC"/>
    <w:rsid w:val="00CD6523"/>
    <w:rsid w:val="00CD67A2"/>
    <w:rsid w:val="00CD6828"/>
    <w:rsid w:val="00CD6D25"/>
    <w:rsid w:val="00CD767F"/>
    <w:rsid w:val="00CE0357"/>
    <w:rsid w:val="00CE16E4"/>
    <w:rsid w:val="00CE170F"/>
    <w:rsid w:val="00CE2826"/>
    <w:rsid w:val="00CE345F"/>
    <w:rsid w:val="00CE41B2"/>
    <w:rsid w:val="00CE430D"/>
    <w:rsid w:val="00CE44B1"/>
    <w:rsid w:val="00CE47C0"/>
    <w:rsid w:val="00CE4DAB"/>
    <w:rsid w:val="00CE56CB"/>
    <w:rsid w:val="00CE5DEC"/>
    <w:rsid w:val="00CE67DD"/>
    <w:rsid w:val="00CE6C0D"/>
    <w:rsid w:val="00CE7C06"/>
    <w:rsid w:val="00CF0031"/>
    <w:rsid w:val="00CF0343"/>
    <w:rsid w:val="00CF18FC"/>
    <w:rsid w:val="00CF1FAA"/>
    <w:rsid w:val="00CF2A0C"/>
    <w:rsid w:val="00CF4425"/>
    <w:rsid w:val="00CF4700"/>
    <w:rsid w:val="00CF4742"/>
    <w:rsid w:val="00CF4EAE"/>
    <w:rsid w:val="00CF66D0"/>
    <w:rsid w:val="00CF69D9"/>
    <w:rsid w:val="00CF70A2"/>
    <w:rsid w:val="00CF73BA"/>
    <w:rsid w:val="00CF7562"/>
    <w:rsid w:val="00CF77C7"/>
    <w:rsid w:val="00CF7E81"/>
    <w:rsid w:val="00D007C7"/>
    <w:rsid w:val="00D00BE6"/>
    <w:rsid w:val="00D023C6"/>
    <w:rsid w:val="00D025C3"/>
    <w:rsid w:val="00D028C1"/>
    <w:rsid w:val="00D02E0E"/>
    <w:rsid w:val="00D03650"/>
    <w:rsid w:val="00D0548B"/>
    <w:rsid w:val="00D077C0"/>
    <w:rsid w:val="00D11008"/>
    <w:rsid w:val="00D11F61"/>
    <w:rsid w:val="00D1235F"/>
    <w:rsid w:val="00D138D8"/>
    <w:rsid w:val="00D154D0"/>
    <w:rsid w:val="00D156D3"/>
    <w:rsid w:val="00D17EE2"/>
    <w:rsid w:val="00D21158"/>
    <w:rsid w:val="00D23B7F"/>
    <w:rsid w:val="00D24377"/>
    <w:rsid w:val="00D2460E"/>
    <w:rsid w:val="00D25A3A"/>
    <w:rsid w:val="00D25D96"/>
    <w:rsid w:val="00D26168"/>
    <w:rsid w:val="00D27446"/>
    <w:rsid w:val="00D30A9E"/>
    <w:rsid w:val="00D32635"/>
    <w:rsid w:val="00D32CD8"/>
    <w:rsid w:val="00D34107"/>
    <w:rsid w:val="00D34386"/>
    <w:rsid w:val="00D3480A"/>
    <w:rsid w:val="00D348CB"/>
    <w:rsid w:val="00D34990"/>
    <w:rsid w:val="00D34E25"/>
    <w:rsid w:val="00D34F2E"/>
    <w:rsid w:val="00D35432"/>
    <w:rsid w:val="00D36C3E"/>
    <w:rsid w:val="00D374D3"/>
    <w:rsid w:val="00D40BF3"/>
    <w:rsid w:val="00D40C1E"/>
    <w:rsid w:val="00D412D4"/>
    <w:rsid w:val="00D41C5A"/>
    <w:rsid w:val="00D41DEF"/>
    <w:rsid w:val="00D41FCD"/>
    <w:rsid w:val="00D433FA"/>
    <w:rsid w:val="00D43B9F"/>
    <w:rsid w:val="00D448C8"/>
    <w:rsid w:val="00D44D01"/>
    <w:rsid w:val="00D46B32"/>
    <w:rsid w:val="00D46D80"/>
    <w:rsid w:val="00D46EF0"/>
    <w:rsid w:val="00D47CE1"/>
    <w:rsid w:val="00D5026F"/>
    <w:rsid w:val="00D51B74"/>
    <w:rsid w:val="00D51F7A"/>
    <w:rsid w:val="00D54656"/>
    <w:rsid w:val="00D550B6"/>
    <w:rsid w:val="00D55101"/>
    <w:rsid w:val="00D55B85"/>
    <w:rsid w:val="00D5647A"/>
    <w:rsid w:val="00D573EF"/>
    <w:rsid w:val="00D577CD"/>
    <w:rsid w:val="00D57C57"/>
    <w:rsid w:val="00D601A4"/>
    <w:rsid w:val="00D609C0"/>
    <w:rsid w:val="00D6186F"/>
    <w:rsid w:val="00D62036"/>
    <w:rsid w:val="00D62802"/>
    <w:rsid w:val="00D6377F"/>
    <w:rsid w:val="00D6455C"/>
    <w:rsid w:val="00D64848"/>
    <w:rsid w:val="00D64A18"/>
    <w:rsid w:val="00D65B51"/>
    <w:rsid w:val="00D66853"/>
    <w:rsid w:val="00D66888"/>
    <w:rsid w:val="00D66BFC"/>
    <w:rsid w:val="00D67291"/>
    <w:rsid w:val="00D702F0"/>
    <w:rsid w:val="00D70381"/>
    <w:rsid w:val="00D70B5F"/>
    <w:rsid w:val="00D7103A"/>
    <w:rsid w:val="00D713D9"/>
    <w:rsid w:val="00D723F3"/>
    <w:rsid w:val="00D72D2A"/>
    <w:rsid w:val="00D736E3"/>
    <w:rsid w:val="00D73D63"/>
    <w:rsid w:val="00D74775"/>
    <w:rsid w:val="00D74985"/>
    <w:rsid w:val="00D74CE5"/>
    <w:rsid w:val="00D752DA"/>
    <w:rsid w:val="00D76D67"/>
    <w:rsid w:val="00D77918"/>
    <w:rsid w:val="00D80426"/>
    <w:rsid w:val="00D806DC"/>
    <w:rsid w:val="00D80752"/>
    <w:rsid w:val="00D81478"/>
    <w:rsid w:val="00D81696"/>
    <w:rsid w:val="00D817BE"/>
    <w:rsid w:val="00D81870"/>
    <w:rsid w:val="00D81C3A"/>
    <w:rsid w:val="00D81E75"/>
    <w:rsid w:val="00D82BD7"/>
    <w:rsid w:val="00D832AD"/>
    <w:rsid w:val="00D834FC"/>
    <w:rsid w:val="00D841BC"/>
    <w:rsid w:val="00D867F0"/>
    <w:rsid w:val="00D8718A"/>
    <w:rsid w:val="00D87D1F"/>
    <w:rsid w:val="00D919AE"/>
    <w:rsid w:val="00D91C15"/>
    <w:rsid w:val="00D91D7D"/>
    <w:rsid w:val="00D92225"/>
    <w:rsid w:val="00D92423"/>
    <w:rsid w:val="00D93C38"/>
    <w:rsid w:val="00D93FA8"/>
    <w:rsid w:val="00D952DD"/>
    <w:rsid w:val="00D95A17"/>
    <w:rsid w:val="00D95E9E"/>
    <w:rsid w:val="00D96A1E"/>
    <w:rsid w:val="00D96D39"/>
    <w:rsid w:val="00D97047"/>
    <w:rsid w:val="00DA03BC"/>
    <w:rsid w:val="00DA03BE"/>
    <w:rsid w:val="00DA1519"/>
    <w:rsid w:val="00DA1527"/>
    <w:rsid w:val="00DA203D"/>
    <w:rsid w:val="00DA2139"/>
    <w:rsid w:val="00DA41A4"/>
    <w:rsid w:val="00DA4975"/>
    <w:rsid w:val="00DA563C"/>
    <w:rsid w:val="00DA6E1B"/>
    <w:rsid w:val="00DA7280"/>
    <w:rsid w:val="00DB1157"/>
    <w:rsid w:val="00DB1BB0"/>
    <w:rsid w:val="00DB2472"/>
    <w:rsid w:val="00DB28DA"/>
    <w:rsid w:val="00DB3E21"/>
    <w:rsid w:val="00DB45D5"/>
    <w:rsid w:val="00DB47C6"/>
    <w:rsid w:val="00DB52B6"/>
    <w:rsid w:val="00DB78B2"/>
    <w:rsid w:val="00DB7F98"/>
    <w:rsid w:val="00DC0BF7"/>
    <w:rsid w:val="00DC0D24"/>
    <w:rsid w:val="00DC2908"/>
    <w:rsid w:val="00DC50FC"/>
    <w:rsid w:val="00DC637B"/>
    <w:rsid w:val="00DC6AF5"/>
    <w:rsid w:val="00DC6FED"/>
    <w:rsid w:val="00DC755D"/>
    <w:rsid w:val="00DC7BEA"/>
    <w:rsid w:val="00DD06C9"/>
    <w:rsid w:val="00DD0CFD"/>
    <w:rsid w:val="00DD2672"/>
    <w:rsid w:val="00DD26C7"/>
    <w:rsid w:val="00DD2C08"/>
    <w:rsid w:val="00DD3113"/>
    <w:rsid w:val="00DD338E"/>
    <w:rsid w:val="00DD3902"/>
    <w:rsid w:val="00DD4BCD"/>
    <w:rsid w:val="00DD4FCB"/>
    <w:rsid w:val="00DD789F"/>
    <w:rsid w:val="00DE01D8"/>
    <w:rsid w:val="00DE0892"/>
    <w:rsid w:val="00DE0B93"/>
    <w:rsid w:val="00DE3138"/>
    <w:rsid w:val="00DE34C6"/>
    <w:rsid w:val="00DE4117"/>
    <w:rsid w:val="00DE4681"/>
    <w:rsid w:val="00DE4999"/>
    <w:rsid w:val="00DE4FB9"/>
    <w:rsid w:val="00DE529E"/>
    <w:rsid w:val="00DE52F6"/>
    <w:rsid w:val="00DE58A7"/>
    <w:rsid w:val="00DE79EA"/>
    <w:rsid w:val="00DF0153"/>
    <w:rsid w:val="00DF210F"/>
    <w:rsid w:val="00DF25C3"/>
    <w:rsid w:val="00DF267A"/>
    <w:rsid w:val="00DF2E8C"/>
    <w:rsid w:val="00DF3C43"/>
    <w:rsid w:val="00DF51B8"/>
    <w:rsid w:val="00DF5CFA"/>
    <w:rsid w:val="00DF5FB5"/>
    <w:rsid w:val="00DF68D1"/>
    <w:rsid w:val="00DF6912"/>
    <w:rsid w:val="00DF711F"/>
    <w:rsid w:val="00E014A7"/>
    <w:rsid w:val="00E01755"/>
    <w:rsid w:val="00E01A3D"/>
    <w:rsid w:val="00E020A7"/>
    <w:rsid w:val="00E021C4"/>
    <w:rsid w:val="00E029F9"/>
    <w:rsid w:val="00E04AA0"/>
    <w:rsid w:val="00E061A2"/>
    <w:rsid w:val="00E074A4"/>
    <w:rsid w:val="00E07DC4"/>
    <w:rsid w:val="00E10E43"/>
    <w:rsid w:val="00E11E5B"/>
    <w:rsid w:val="00E11F32"/>
    <w:rsid w:val="00E12E05"/>
    <w:rsid w:val="00E1316F"/>
    <w:rsid w:val="00E13A16"/>
    <w:rsid w:val="00E14A75"/>
    <w:rsid w:val="00E14C2F"/>
    <w:rsid w:val="00E14CF6"/>
    <w:rsid w:val="00E15DD7"/>
    <w:rsid w:val="00E16B16"/>
    <w:rsid w:val="00E16E11"/>
    <w:rsid w:val="00E200B9"/>
    <w:rsid w:val="00E208D6"/>
    <w:rsid w:val="00E215BF"/>
    <w:rsid w:val="00E21817"/>
    <w:rsid w:val="00E223E1"/>
    <w:rsid w:val="00E236E8"/>
    <w:rsid w:val="00E237A6"/>
    <w:rsid w:val="00E2392D"/>
    <w:rsid w:val="00E24756"/>
    <w:rsid w:val="00E25016"/>
    <w:rsid w:val="00E252EB"/>
    <w:rsid w:val="00E257A3"/>
    <w:rsid w:val="00E25A47"/>
    <w:rsid w:val="00E25E23"/>
    <w:rsid w:val="00E26665"/>
    <w:rsid w:val="00E26DE9"/>
    <w:rsid w:val="00E34553"/>
    <w:rsid w:val="00E34B83"/>
    <w:rsid w:val="00E358B5"/>
    <w:rsid w:val="00E374AC"/>
    <w:rsid w:val="00E37DBB"/>
    <w:rsid w:val="00E40ECC"/>
    <w:rsid w:val="00E40F63"/>
    <w:rsid w:val="00E413D4"/>
    <w:rsid w:val="00E42630"/>
    <w:rsid w:val="00E432AC"/>
    <w:rsid w:val="00E433ED"/>
    <w:rsid w:val="00E43A4E"/>
    <w:rsid w:val="00E43EC7"/>
    <w:rsid w:val="00E441A3"/>
    <w:rsid w:val="00E452F3"/>
    <w:rsid w:val="00E45412"/>
    <w:rsid w:val="00E4551C"/>
    <w:rsid w:val="00E47EAE"/>
    <w:rsid w:val="00E47FCC"/>
    <w:rsid w:val="00E517B3"/>
    <w:rsid w:val="00E51E68"/>
    <w:rsid w:val="00E51FB0"/>
    <w:rsid w:val="00E521EE"/>
    <w:rsid w:val="00E529E6"/>
    <w:rsid w:val="00E535C2"/>
    <w:rsid w:val="00E53627"/>
    <w:rsid w:val="00E54583"/>
    <w:rsid w:val="00E54773"/>
    <w:rsid w:val="00E5488A"/>
    <w:rsid w:val="00E56121"/>
    <w:rsid w:val="00E562B1"/>
    <w:rsid w:val="00E57CB4"/>
    <w:rsid w:val="00E601FB"/>
    <w:rsid w:val="00E60FDA"/>
    <w:rsid w:val="00E61CDA"/>
    <w:rsid w:val="00E629E9"/>
    <w:rsid w:val="00E62AF3"/>
    <w:rsid w:val="00E64518"/>
    <w:rsid w:val="00E647C3"/>
    <w:rsid w:val="00E64ED6"/>
    <w:rsid w:val="00E650DA"/>
    <w:rsid w:val="00E66869"/>
    <w:rsid w:val="00E66A87"/>
    <w:rsid w:val="00E70C80"/>
    <w:rsid w:val="00E70F9D"/>
    <w:rsid w:val="00E710B0"/>
    <w:rsid w:val="00E71C79"/>
    <w:rsid w:val="00E7333B"/>
    <w:rsid w:val="00E744BF"/>
    <w:rsid w:val="00E74642"/>
    <w:rsid w:val="00E7470F"/>
    <w:rsid w:val="00E75397"/>
    <w:rsid w:val="00E7564E"/>
    <w:rsid w:val="00E76304"/>
    <w:rsid w:val="00E77A62"/>
    <w:rsid w:val="00E77E5A"/>
    <w:rsid w:val="00E77EDF"/>
    <w:rsid w:val="00E81620"/>
    <w:rsid w:val="00E818C1"/>
    <w:rsid w:val="00E82439"/>
    <w:rsid w:val="00E82DC1"/>
    <w:rsid w:val="00E83647"/>
    <w:rsid w:val="00E84A6F"/>
    <w:rsid w:val="00E858BB"/>
    <w:rsid w:val="00E85BBF"/>
    <w:rsid w:val="00E87C13"/>
    <w:rsid w:val="00E90562"/>
    <w:rsid w:val="00E9086A"/>
    <w:rsid w:val="00E90ACE"/>
    <w:rsid w:val="00E91EC9"/>
    <w:rsid w:val="00E91EFC"/>
    <w:rsid w:val="00E9248A"/>
    <w:rsid w:val="00E92C53"/>
    <w:rsid w:val="00E9351C"/>
    <w:rsid w:val="00E939AB"/>
    <w:rsid w:val="00E9449B"/>
    <w:rsid w:val="00E9599C"/>
    <w:rsid w:val="00E95EC9"/>
    <w:rsid w:val="00E979E2"/>
    <w:rsid w:val="00E97E93"/>
    <w:rsid w:val="00EA21CE"/>
    <w:rsid w:val="00EA226E"/>
    <w:rsid w:val="00EA2571"/>
    <w:rsid w:val="00EA2830"/>
    <w:rsid w:val="00EA2CCC"/>
    <w:rsid w:val="00EA2CEF"/>
    <w:rsid w:val="00EA3284"/>
    <w:rsid w:val="00EA3E1F"/>
    <w:rsid w:val="00EA43D5"/>
    <w:rsid w:val="00EA4FC8"/>
    <w:rsid w:val="00EA54B2"/>
    <w:rsid w:val="00EA5FD3"/>
    <w:rsid w:val="00EA6AB5"/>
    <w:rsid w:val="00EA70DA"/>
    <w:rsid w:val="00EA7576"/>
    <w:rsid w:val="00EB1785"/>
    <w:rsid w:val="00EB1FAB"/>
    <w:rsid w:val="00EB3468"/>
    <w:rsid w:val="00EB3DE8"/>
    <w:rsid w:val="00EB3F3E"/>
    <w:rsid w:val="00EB410D"/>
    <w:rsid w:val="00EB5036"/>
    <w:rsid w:val="00EB55E8"/>
    <w:rsid w:val="00EB55F0"/>
    <w:rsid w:val="00EB67E5"/>
    <w:rsid w:val="00EB6E22"/>
    <w:rsid w:val="00EB6F3A"/>
    <w:rsid w:val="00EB7301"/>
    <w:rsid w:val="00EB79F7"/>
    <w:rsid w:val="00EB7B17"/>
    <w:rsid w:val="00EC0A62"/>
    <w:rsid w:val="00EC0BFC"/>
    <w:rsid w:val="00EC13A0"/>
    <w:rsid w:val="00EC15F3"/>
    <w:rsid w:val="00EC1D6E"/>
    <w:rsid w:val="00EC2324"/>
    <w:rsid w:val="00EC321F"/>
    <w:rsid w:val="00EC364D"/>
    <w:rsid w:val="00EC4040"/>
    <w:rsid w:val="00EC5FDD"/>
    <w:rsid w:val="00EC6339"/>
    <w:rsid w:val="00EC6496"/>
    <w:rsid w:val="00ED027D"/>
    <w:rsid w:val="00ED0430"/>
    <w:rsid w:val="00ED0487"/>
    <w:rsid w:val="00ED09BD"/>
    <w:rsid w:val="00ED0D14"/>
    <w:rsid w:val="00ED136B"/>
    <w:rsid w:val="00ED191B"/>
    <w:rsid w:val="00ED2484"/>
    <w:rsid w:val="00ED29B5"/>
    <w:rsid w:val="00ED41A0"/>
    <w:rsid w:val="00ED4636"/>
    <w:rsid w:val="00ED5362"/>
    <w:rsid w:val="00ED6948"/>
    <w:rsid w:val="00ED726A"/>
    <w:rsid w:val="00ED75FC"/>
    <w:rsid w:val="00ED7D81"/>
    <w:rsid w:val="00ED7E8A"/>
    <w:rsid w:val="00EE061E"/>
    <w:rsid w:val="00EE09A0"/>
    <w:rsid w:val="00EE0E1F"/>
    <w:rsid w:val="00EE11F5"/>
    <w:rsid w:val="00EE1602"/>
    <w:rsid w:val="00EE1D7C"/>
    <w:rsid w:val="00EE2B13"/>
    <w:rsid w:val="00EE3744"/>
    <w:rsid w:val="00EE38B5"/>
    <w:rsid w:val="00EE3A67"/>
    <w:rsid w:val="00EE3B20"/>
    <w:rsid w:val="00EE3F93"/>
    <w:rsid w:val="00EE44EA"/>
    <w:rsid w:val="00EE46C0"/>
    <w:rsid w:val="00EE484C"/>
    <w:rsid w:val="00EE4D4B"/>
    <w:rsid w:val="00EE5419"/>
    <w:rsid w:val="00EE634C"/>
    <w:rsid w:val="00EE6C30"/>
    <w:rsid w:val="00EE7378"/>
    <w:rsid w:val="00EE7A60"/>
    <w:rsid w:val="00EE7D07"/>
    <w:rsid w:val="00EE7D08"/>
    <w:rsid w:val="00EF09CF"/>
    <w:rsid w:val="00EF114F"/>
    <w:rsid w:val="00EF1D84"/>
    <w:rsid w:val="00EF2FEC"/>
    <w:rsid w:val="00EF30E8"/>
    <w:rsid w:val="00EF3747"/>
    <w:rsid w:val="00EF4518"/>
    <w:rsid w:val="00EF4C87"/>
    <w:rsid w:val="00EF5450"/>
    <w:rsid w:val="00EF6737"/>
    <w:rsid w:val="00EF6956"/>
    <w:rsid w:val="00EF7017"/>
    <w:rsid w:val="00F0134F"/>
    <w:rsid w:val="00F021A1"/>
    <w:rsid w:val="00F029BE"/>
    <w:rsid w:val="00F02E1D"/>
    <w:rsid w:val="00F044E5"/>
    <w:rsid w:val="00F044EC"/>
    <w:rsid w:val="00F047B3"/>
    <w:rsid w:val="00F04DE3"/>
    <w:rsid w:val="00F06950"/>
    <w:rsid w:val="00F06A9F"/>
    <w:rsid w:val="00F06BCD"/>
    <w:rsid w:val="00F06F70"/>
    <w:rsid w:val="00F07B22"/>
    <w:rsid w:val="00F11226"/>
    <w:rsid w:val="00F114DC"/>
    <w:rsid w:val="00F12F5C"/>
    <w:rsid w:val="00F135AF"/>
    <w:rsid w:val="00F13959"/>
    <w:rsid w:val="00F15470"/>
    <w:rsid w:val="00F16C1A"/>
    <w:rsid w:val="00F17256"/>
    <w:rsid w:val="00F21CEF"/>
    <w:rsid w:val="00F21CFC"/>
    <w:rsid w:val="00F2210B"/>
    <w:rsid w:val="00F22B54"/>
    <w:rsid w:val="00F23BD7"/>
    <w:rsid w:val="00F241CD"/>
    <w:rsid w:val="00F2465C"/>
    <w:rsid w:val="00F2652A"/>
    <w:rsid w:val="00F27AB8"/>
    <w:rsid w:val="00F30285"/>
    <w:rsid w:val="00F311D3"/>
    <w:rsid w:val="00F314AD"/>
    <w:rsid w:val="00F32110"/>
    <w:rsid w:val="00F33CD7"/>
    <w:rsid w:val="00F34EE9"/>
    <w:rsid w:val="00F377F6"/>
    <w:rsid w:val="00F403D2"/>
    <w:rsid w:val="00F407EF"/>
    <w:rsid w:val="00F41C9A"/>
    <w:rsid w:val="00F424CF"/>
    <w:rsid w:val="00F4425B"/>
    <w:rsid w:val="00F44EDF"/>
    <w:rsid w:val="00F44FE6"/>
    <w:rsid w:val="00F451CA"/>
    <w:rsid w:val="00F45224"/>
    <w:rsid w:val="00F45FC2"/>
    <w:rsid w:val="00F462FE"/>
    <w:rsid w:val="00F463EB"/>
    <w:rsid w:val="00F47937"/>
    <w:rsid w:val="00F47BB3"/>
    <w:rsid w:val="00F50EC3"/>
    <w:rsid w:val="00F51AFD"/>
    <w:rsid w:val="00F51D33"/>
    <w:rsid w:val="00F531B2"/>
    <w:rsid w:val="00F541BC"/>
    <w:rsid w:val="00F54F09"/>
    <w:rsid w:val="00F566B6"/>
    <w:rsid w:val="00F57A15"/>
    <w:rsid w:val="00F635D9"/>
    <w:rsid w:val="00F63A56"/>
    <w:rsid w:val="00F64493"/>
    <w:rsid w:val="00F64EDC"/>
    <w:rsid w:val="00F65044"/>
    <w:rsid w:val="00F659AA"/>
    <w:rsid w:val="00F6717B"/>
    <w:rsid w:val="00F67247"/>
    <w:rsid w:val="00F700DA"/>
    <w:rsid w:val="00F713F3"/>
    <w:rsid w:val="00F7223E"/>
    <w:rsid w:val="00F726E3"/>
    <w:rsid w:val="00F72BD2"/>
    <w:rsid w:val="00F73473"/>
    <w:rsid w:val="00F736DE"/>
    <w:rsid w:val="00F74AF3"/>
    <w:rsid w:val="00F75E3A"/>
    <w:rsid w:val="00F75F63"/>
    <w:rsid w:val="00F7680E"/>
    <w:rsid w:val="00F76C6C"/>
    <w:rsid w:val="00F77612"/>
    <w:rsid w:val="00F77C4A"/>
    <w:rsid w:val="00F77D7E"/>
    <w:rsid w:val="00F81C0D"/>
    <w:rsid w:val="00F84314"/>
    <w:rsid w:val="00F84DBB"/>
    <w:rsid w:val="00F85460"/>
    <w:rsid w:val="00F8635B"/>
    <w:rsid w:val="00F867C7"/>
    <w:rsid w:val="00F8692B"/>
    <w:rsid w:val="00F87F9C"/>
    <w:rsid w:val="00F90E76"/>
    <w:rsid w:val="00F91890"/>
    <w:rsid w:val="00F91CD5"/>
    <w:rsid w:val="00F92286"/>
    <w:rsid w:val="00F940DF"/>
    <w:rsid w:val="00F9451C"/>
    <w:rsid w:val="00F94A66"/>
    <w:rsid w:val="00F94AE8"/>
    <w:rsid w:val="00F94F52"/>
    <w:rsid w:val="00F9605B"/>
    <w:rsid w:val="00F9652A"/>
    <w:rsid w:val="00F96AEC"/>
    <w:rsid w:val="00F96C55"/>
    <w:rsid w:val="00F974F9"/>
    <w:rsid w:val="00F97ED5"/>
    <w:rsid w:val="00FA19A0"/>
    <w:rsid w:val="00FA292F"/>
    <w:rsid w:val="00FA3A5C"/>
    <w:rsid w:val="00FA5F94"/>
    <w:rsid w:val="00FA6568"/>
    <w:rsid w:val="00FA6AC7"/>
    <w:rsid w:val="00FA6FCC"/>
    <w:rsid w:val="00FA7627"/>
    <w:rsid w:val="00FA7792"/>
    <w:rsid w:val="00FA7CA2"/>
    <w:rsid w:val="00FA7CF4"/>
    <w:rsid w:val="00FB013C"/>
    <w:rsid w:val="00FB0187"/>
    <w:rsid w:val="00FB06FC"/>
    <w:rsid w:val="00FB1356"/>
    <w:rsid w:val="00FB1EC0"/>
    <w:rsid w:val="00FB29EA"/>
    <w:rsid w:val="00FB3053"/>
    <w:rsid w:val="00FB5181"/>
    <w:rsid w:val="00FC000E"/>
    <w:rsid w:val="00FC04AC"/>
    <w:rsid w:val="00FC1E3E"/>
    <w:rsid w:val="00FC667A"/>
    <w:rsid w:val="00FC69E8"/>
    <w:rsid w:val="00FC77D8"/>
    <w:rsid w:val="00FD0374"/>
    <w:rsid w:val="00FD03DF"/>
    <w:rsid w:val="00FD20B8"/>
    <w:rsid w:val="00FD37D4"/>
    <w:rsid w:val="00FD3DF8"/>
    <w:rsid w:val="00FD4069"/>
    <w:rsid w:val="00FD5A51"/>
    <w:rsid w:val="00FD5FCF"/>
    <w:rsid w:val="00FD6207"/>
    <w:rsid w:val="00FD65B5"/>
    <w:rsid w:val="00FD662B"/>
    <w:rsid w:val="00FD67A6"/>
    <w:rsid w:val="00FE03B2"/>
    <w:rsid w:val="00FE345F"/>
    <w:rsid w:val="00FE3CAE"/>
    <w:rsid w:val="00FE4342"/>
    <w:rsid w:val="00FE622A"/>
    <w:rsid w:val="00FE6EF6"/>
    <w:rsid w:val="00FE7063"/>
    <w:rsid w:val="00FE7118"/>
    <w:rsid w:val="00FE7C44"/>
    <w:rsid w:val="00FE7EA2"/>
    <w:rsid w:val="00FE7F4C"/>
    <w:rsid w:val="00FF0E86"/>
    <w:rsid w:val="00FF113A"/>
    <w:rsid w:val="00FF1A23"/>
    <w:rsid w:val="00FF1F29"/>
    <w:rsid w:val="00FF2127"/>
    <w:rsid w:val="00FF434F"/>
    <w:rsid w:val="00FF51B4"/>
    <w:rsid w:val="00FF5547"/>
    <w:rsid w:val="00FF5E24"/>
    <w:rsid w:val="00FF626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qFormat="1"/>
    <w:lsdException w:name="endnote text" w:uiPriority="0"/>
    <w:lsdException w:name="List Bullet" w:qFormat="1"/>
    <w:lsdException w:name="List Number" w:qFormat="1"/>
    <w:lsdException w:name="List Bullet 2" w:qFormat="1"/>
    <w:lsdException w:name="List Bullet 3" w:qFormat="1"/>
    <w:lsdException w:name="List Number 2" w:qFormat="1"/>
    <w:lsdException w:name="List Number 3" w:qFormat="1"/>
    <w:lsdException w:name="Title" w:semiHidden="0" w:uiPriority="0" w:unhideWhenUsed="0" w:qFormat="1"/>
    <w:lsdException w:name="Default Paragraph Font" w:uiPriority="1"/>
    <w:lsdException w:name="Body Text" w:qFormat="1"/>
    <w:lsdException w:name="Body Text Indent" w:uiPriority="0"/>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Normal (Web)" w:qFormat="1"/>
    <w:lsdException w:name="annotation subject" w:uiPriority="0"/>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8C6F3B"/>
  </w:style>
  <w:style w:type="paragraph" w:styleId="Heading1">
    <w:name w:val="heading 1"/>
    <w:basedOn w:val="Normal"/>
    <w:next w:val="Heading2"/>
    <w:link w:val="Heading1Char"/>
    <w:uiPriority w:val="9"/>
    <w:qFormat/>
    <w:rsid w:val="008C6F3B"/>
    <w:pPr>
      <w:keepNext/>
      <w:keepLines/>
      <w:numPr>
        <w:numId w:val="8"/>
      </w:numPr>
      <w:spacing w:after="480" w:line="600" w:lineRule="atLeast"/>
      <w:ind w:left="432"/>
      <w:outlineLvl w:val="0"/>
    </w:pPr>
    <w:rPr>
      <w:rFonts w:asciiTheme="majorHAnsi" w:eastAsiaTheme="majorEastAsia" w:hAnsiTheme="majorHAnsi" w:cstheme="majorBidi"/>
      <w:b/>
      <w:bCs/>
      <w:i/>
      <w:sz w:val="56"/>
      <w:szCs w:val="28"/>
    </w:rPr>
  </w:style>
  <w:style w:type="paragraph" w:styleId="Heading2">
    <w:name w:val="heading 2"/>
    <w:basedOn w:val="Normal"/>
    <w:next w:val="BodyText"/>
    <w:link w:val="Heading2Char"/>
    <w:uiPriority w:val="9"/>
    <w:unhideWhenUsed/>
    <w:qFormat/>
    <w:rsid w:val="008C6F3B"/>
    <w:pPr>
      <w:keepNext/>
      <w:keepLines/>
      <w:numPr>
        <w:ilvl w:val="1"/>
        <w:numId w:val="8"/>
      </w:numPr>
      <w:spacing w:after="40" w:line="240" w:lineRule="auto"/>
      <w:outlineLvl w:val="1"/>
    </w:pPr>
    <w:rPr>
      <w:rFonts w:asciiTheme="majorHAnsi" w:eastAsiaTheme="majorEastAsia" w:hAnsiTheme="majorHAnsi" w:cstheme="majorBidi"/>
      <w:b/>
      <w:bCs/>
      <w:i/>
      <w:color w:val="DC6900" w:themeColor="text2"/>
      <w:sz w:val="32"/>
      <w:szCs w:val="26"/>
    </w:rPr>
  </w:style>
  <w:style w:type="paragraph" w:styleId="Heading3">
    <w:name w:val="heading 3"/>
    <w:basedOn w:val="Normal"/>
    <w:next w:val="BodyText"/>
    <w:link w:val="Heading3Char"/>
    <w:uiPriority w:val="9"/>
    <w:unhideWhenUsed/>
    <w:qFormat/>
    <w:rsid w:val="008C6F3B"/>
    <w:pPr>
      <w:keepNext/>
      <w:keepLines/>
      <w:numPr>
        <w:ilvl w:val="2"/>
        <w:numId w:val="8"/>
      </w:numPr>
      <w:spacing w:after="40" w:line="240" w:lineRule="auto"/>
      <w:outlineLvl w:val="2"/>
    </w:pPr>
    <w:rPr>
      <w:rFonts w:asciiTheme="majorHAnsi" w:eastAsiaTheme="majorEastAsia" w:hAnsiTheme="majorHAnsi" w:cstheme="majorBidi"/>
      <w:bCs/>
      <w:i/>
      <w:color w:val="DC6900" w:themeColor="text2"/>
      <w:sz w:val="32"/>
    </w:rPr>
  </w:style>
  <w:style w:type="paragraph" w:styleId="Heading4">
    <w:name w:val="heading 4"/>
    <w:basedOn w:val="Normal"/>
    <w:next w:val="BodyText"/>
    <w:link w:val="Heading4Char"/>
    <w:uiPriority w:val="9"/>
    <w:unhideWhenUsed/>
    <w:qFormat/>
    <w:rsid w:val="008C6F3B"/>
    <w:pPr>
      <w:keepNext/>
      <w:keepLines/>
      <w:numPr>
        <w:ilvl w:val="3"/>
        <w:numId w:val="8"/>
      </w:numPr>
      <w:spacing w:after="40" w:line="240" w:lineRule="auto"/>
      <w:outlineLvl w:val="3"/>
    </w:pPr>
    <w:rPr>
      <w:rFonts w:asciiTheme="majorHAnsi" w:eastAsiaTheme="majorEastAsia" w:hAnsiTheme="majorHAnsi" w:cstheme="majorBidi"/>
      <w:bCs/>
      <w:iCs/>
      <w:color w:val="DC6900" w:themeColor="text2"/>
      <w:sz w:val="32"/>
    </w:rPr>
  </w:style>
  <w:style w:type="paragraph" w:styleId="Heading5">
    <w:name w:val="heading 5"/>
    <w:basedOn w:val="Normal"/>
    <w:next w:val="BodyText"/>
    <w:link w:val="Heading5Char"/>
    <w:uiPriority w:val="9"/>
    <w:unhideWhenUsed/>
    <w:qFormat/>
    <w:rsid w:val="008C6F3B"/>
    <w:pPr>
      <w:keepNext/>
      <w:keepLines/>
      <w:numPr>
        <w:ilvl w:val="4"/>
        <w:numId w:val="8"/>
      </w:numPr>
      <w:spacing w:after="40" w:line="240" w:lineRule="auto"/>
      <w:outlineLvl w:val="4"/>
    </w:pPr>
    <w:rPr>
      <w:rFonts w:asciiTheme="majorHAnsi" w:eastAsiaTheme="majorEastAsia" w:hAnsiTheme="majorHAnsi" w:cstheme="majorBidi"/>
      <w:color w:val="DC6900" w:themeColor="text2"/>
    </w:rPr>
  </w:style>
  <w:style w:type="paragraph" w:styleId="Heading6">
    <w:name w:val="heading 6"/>
    <w:basedOn w:val="Normal"/>
    <w:next w:val="Normal"/>
    <w:link w:val="Heading6Char"/>
    <w:uiPriority w:val="9"/>
    <w:unhideWhenUsed/>
    <w:qFormat/>
    <w:rsid w:val="008C6F3B"/>
    <w:pPr>
      <w:keepNext/>
      <w:keepLines/>
      <w:numPr>
        <w:ilvl w:val="5"/>
        <w:numId w:val="8"/>
      </w:numPr>
      <w:spacing w:after="40" w:line="240" w:lineRule="auto"/>
      <w:outlineLvl w:val="5"/>
    </w:pPr>
    <w:rPr>
      <w:rFonts w:asciiTheme="majorHAnsi" w:eastAsiaTheme="majorEastAsia" w:hAnsiTheme="majorHAnsi" w:cstheme="majorBidi"/>
      <w:iCs/>
      <w:color w:val="DC6900" w:themeColor="text2"/>
    </w:rPr>
  </w:style>
  <w:style w:type="paragraph" w:styleId="Heading7">
    <w:name w:val="heading 7"/>
    <w:basedOn w:val="Normal"/>
    <w:next w:val="Normal"/>
    <w:link w:val="Heading7Char"/>
    <w:uiPriority w:val="9"/>
    <w:semiHidden/>
    <w:unhideWhenUsed/>
    <w:qFormat/>
    <w:rsid w:val="008C6F3B"/>
    <w:pPr>
      <w:keepNext/>
      <w:keepLines/>
      <w:numPr>
        <w:ilvl w:val="6"/>
        <w:numId w:val="8"/>
      </w:numPr>
      <w:spacing w:after="40" w:line="240" w:lineRule="auto"/>
      <w:outlineLvl w:val="6"/>
    </w:pPr>
    <w:rPr>
      <w:rFonts w:asciiTheme="majorHAnsi" w:eastAsiaTheme="majorEastAsia" w:hAnsiTheme="majorHAnsi" w:cstheme="majorBidi"/>
      <w:iCs/>
      <w:color w:val="DC6900" w:themeColor="text2"/>
    </w:rPr>
  </w:style>
  <w:style w:type="paragraph" w:styleId="Heading8">
    <w:name w:val="heading 8"/>
    <w:basedOn w:val="Normal"/>
    <w:next w:val="Normal"/>
    <w:link w:val="Heading8Char"/>
    <w:uiPriority w:val="9"/>
    <w:semiHidden/>
    <w:unhideWhenUsed/>
    <w:qFormat/>
    <w:rsid w:val="008C6F3B"/>
    <w:pPr>
      <w:keepNext/>
      <w:keepLines/>
      <w:numPr>
        <w:ilvl w:val="7"/>
        <w:numId w:val="8"/>
      </w:numPr>
      <w:spacing w:after="40" w:line="240" w:lineRule="auto"/>
      <w:outlineLvl w:val="7"/>
    </w:pPr>
    <w:rPr>
      <w:rFonts w:asciiTheme="majorHAnsi" w:eastAsiaTheme="majorEastAsia" w:hAnsiTheme="majorHAnsi" w:cstheme="majorBidi"/>
      <w:color w:val="DC6900" w:themeColor="text2"/>
    </w:rPr>
  </w:style>
  <w:style w:type="paragraph" w:styleId="Heading9">
    <w:name w:val="heading 9"/>
    <w:basedOn w:val="Normal"/>
    <w:next w:val="Normal"/>
    <w:link w:val="Heading9Char"/>
    <w:uiPriority w:val="9"/>
    <w:semiHidden/>
    <w:unhideWhenUsed/>
    <w:qFormat/>
    <w:rsid w:val="008C6F3B"/>
    <w:pPr>
      <w:keepNext/>
      <w:keepLines/>
      <w:numPr>
        <w:ilvl w:val="8"/>
        <w:numId w:val="8"/>
      </w:numPr>
      <w:spacing w:after="40" w:line="240" w:lineRule="auto"/>
      <w:outlineLvl w:val="8"/>
    </w:pPr>
    <w:rPr>
      <w:rFonts w:asciiTheme="majorHAnsi" w:eastAsiaTheme="majorEastAsia" w:hAnsiTheme="majorHAnsi" w:cstheme="majorBidi"/>
      <w:iCs/>
      <w:color w:val="DC690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qFormat/>
    <w:rsid w:val="008C6F3B"/>
  </w:style>
  <w:style w:type="character" w:customStyle="1" w:styleId="BodyTextChar">
    <w:name w:val="Body Text Char"/>
    <w:basedOn w:val="DefaultParagraphFont"/>
    <w:link w:val="BodyText"/>
    <w:uiPriority w:val="99"/>
    <w:rsid w:val="008C6F3B"/>
  </w:style>
  <w:style w:type="paragraph" w:customStyle="1" w:styleId="BodySingle">
    <w:name w:val="Body Single"/>
    <w:basedOn w:val="BodyText"/>
    <w:link w:val="BodySingleChar"/>
    <w:uiPriority w:val="1"/>
    <w:qFormat/>
    <w:rsid w:val="008C6F3B"/>
    <w:pPr>
      <w:spacing w:after="0"/>
    </w:pPr>
  </w:style>
  <w:style w:type="paragraph" w:styleId="Header">
    <w:name w:val="header"/>
    <w:basedOn w:val="Normal"/>
    <w:link w:val="HeaderChar"/>
    <w:unhideWhenUsed/>
    <w:rsid w:val="008C6F3B"/>
    <w:pPr>
      <w:spacing w:after="0" w:line="240" w:lineRule="auto"/>
    </w:pPr>
    <w:rPr>
      <w:rFonts w:asciiTheme="minorHAnsi" w:hAnsiTheme="minorHAnsi"/>
      <w:sz w:val="19"/>
    </w:rPr>
  </w:style>
  <w:style w:type="character" w:customStyle="1" w:styleId="BodySingleChar">
    <w:name w:val="Body Single Char"/>
    <w:basedOn w:val="BodyTextChar"/>
    <w:link w:val="BodySingle"/>
    <w:uiPriority w:val="1"/>
    <w:rsid w:val="008C6F3B"/>
  </w:style>
  <w:style w:type="character" w:customStyle="1" w:styleId="HeaderChar">
    <w:name w:val="Header Char"/>
    <w:basedOn w:val="DefaultParagraphFont"/>
    <w:link w:val="Header"/>
    <w:uiPriority w:val="99"/>
    <w:rsid w:val="008C6F3B"/>
    <w:rPr>
      <w:rFonts w:asciiTheme="minorHAnsi" w:hAnsiTheme="minorHAnsi"/>
      <w:sz w:val="19"/>
    </w:rPr>
  </w:style>
  <w:style w:type="paragraph" w:styleId="Footer">
    <w:name w:val="footer"/>
    <w:basedOn w:val="Normal"/>
    <w:link w:val="FooterChar"/>
    <w:uiPriority w:val="99"/>
    <w:unhideWhenUsed/>
    <w:rsid w:val="008C6F3B"/>
    <w:pPr>
      <w:spacing w:after="0" w:line="240" w:lineRule="auto"/>
    </w:pPr>
    <w:rPr>
      <w:rFonts w:asciiTheme="minorHAnsi" w:hAnsiTheme="minorHAnsi"/>
      <w:sz w:val="19"/>
    </w:rPr>
  </w:style>
  <w:style w:type="character" w:customStyle="1" w:styleId="FooterChar">
    <w:name w:val="Footer Char"/>
    <w:basedOn w:val="DefaultParagraphFont"/>
    <w:link w:val="Footer"/>
    <w:uiPriority w:val="99"/>
    <w:rsid w:val="008C6F3B"/>
    <w:rPr>
      <w:rFonts w:asciiTheme="minorHAnsi" w:hAnsiTheme="minorHAnsi"/>
      <w:sz w:val="19"/>
    </w:rPr>
  </w:style>
  <w:style w:type="character" w:customStyle="1" w:styleId="Heading1Char">
    <w:name w:val="Heading 1 Char"/>
    <w:basedOn w:val="DefaultParagraphFont"/>
    <w:link w:val="Heading1"/>
    <w:uiPriority w:val="9"/>
    <w:rsid w:val="008C6F3B"/>
    <w:rPr>
      <w:rFonts w:asciiTheme="majorHAnsi" w:eastAsiaTheme="majorEastAsia" w:hAnsiTheme="majorHAnsi" w:cstheme="majorBidi"/>
      <w:b/>
      <w:bCs/>
      <w:i/>
      <w:sz w:val="56"/>
      <w:szCs w:val="28"/>
    </w:rPr>
  </w:style>
  <w:style w:type="character" w:customStyle="1" w:styleId="Heading2Char">
    <w:name w:val="Heading 2 Char"/>
    <w:basedOn w:val="DefaultParagraphFont"/>
    <w:link w:val="Heading2"/>
    <w:uiPriority w:val="9"/>
    <w:rsid w:val="008C6F3B"/>
    <w:rPr>
      <w:rFonts w:asciiTheme="majorHAnsi" w:eastAsiaTheme="majorEastAsia" w:hAnsiTheme="majorHAnsi" w:cstheme="majorBidi"/>
      <w:b/>
      <w:bCs/>
      <w:i/>
      <w:color w:val="DC6900" w:themeColor="text2"/>
      <w:sz w:val="32"/>
      <w:szCs w:val="26"/>
    </w:rPr>
  </w:style>
  <w:style w:type="character" w:customStyle="1" w:styleId="Heading3Char">
    <w:name w:val="Heading 3 Char"/>
    <w:basedOn w:val="DefaultParagraphFont"/>
    <w:link w:val="Heading3"/>
    <w:uiPriority w:val="9"/>
    <w:rsid w:val="008C6F3B"/>
    <w:rPr>
      <w:rFonts w:asciiTheme="majorHAnsi" w:eastAsiaTheme="majorEastAsia" w:hAnsiTheme="majorHAnsi" w:cstheme="majorBidi"/>
      <w:bCs/>
      <w:i/>
      <w:color w:val="DC6900" w:themeColor="text2"/>
      <w:sz w:val="32"/>
    </w:rPr>
  </w:style>
  <w:style w:type="character" w:customStyle="1" w:styleId="Heading4Char">
    <w:name w:val="Heading 4 Char"/>
    <w:basedOn w:val="DefaultParagraphFont"/>
    <w:link w:val="Heading4"/>
    <w:uiPriority w:val="9"/>
    <w:rsid w:val="008C6F3B"/>
    <w:rPr>
      <w:rFonts w:asciiTheme="majorHAnsi" w:eastAsiaTheme="majorEastAsia" w:hAnsiTheme="majorHAnsi" w:cstheme="majorBidi"/>
      <w:bCs/>
      <w:iCs/>
      <w:color w:val="DC6900" w:themeColor="text2"/>
      <w:sz w:val="32"/>
    </w:rPr>
  </w:style>
  <w:style w:type="character" w:customStyle="1" w:styleId="Heading5Char">
    <w:name w:val="Heading 5 Char"/>
    <w:basedOn w:val="DefaultParagraphFont"/>
    <w:link w:val="Heading5"/>
    <w:uiPriority w:val="9"/>
    <w:rsid w:val="008C6F3B"/>
    <w:rPr>
      <w:rFonts w:asciiTheme="majorHAnsi" w:eastAsiaTheme="majorEastAsia" w:hAnsiTheme="majorHAnsi" w:cstheme="majorBidi"/>
      <w:color w:val="DC6900" w:themeColor="text2"/>
    </w:rPr>
  </w:style>
  <w:style w:type="paragraph" w:styleId="Title">
    <w:name w:val="Title"/>
    <w:basedOn w:val="Normal"/>
    <w:next w:val="Subtitle"/>
    <w:link w:val="TitleChar"/>
    <w:qFormat/>
    <w:rsid w:val="008C6F3B"/>
    <w:pPr>
      <w:spacing w:after="0" w:line="240" w:lineRule="auto"/>
      <w:contextualSpacing/>
    </w:pPr>
    <w:rPr>
      <w:rFonts w:asciiTheme="majorHAnsi" w:eastAsiaTheme="majorEastAsia" w:hAnsiTheme="majorHAnsi" w:cstheme="majorBidi"/>
      <w:b/>
      <w:i/>
      <w:spacing w:val="5"/>
      <w:kern w:val="28"/>
      <w:sz w:val="80"/>
      <w:szCs w:val="52"/>
    </w:rPr>
  </w:style>
  <w:style w:type="character" w:customStyle="1" w:styleId="TitleChar">
    <w:name w:val="Title Char"/>
    <w:basedOn w:val="DefaultParagraphFont"/>
    <w:link w:val="Title"/>
    <w:uiPriority w:val="10"/>
    <w:rsid w:val="008C6F3B"/>
    <w:rPr>
      <w:rFonts w:asciiTheme="majorHAnsi" w:eastAsiaTheme="majorEastAsia" w:hAnsiTheme="majorHAnsi" w:cstheme="majorBidi"/>
      <w:b/>
      <w:i/>
      <w:spacing w:val="5"/>
      <w:kern w:val="28"/>
      <w:sz w:val="80"/>
      <w:szCs w:val="52"/>
    </w:rPr>
  </w:style>
  <w:style w:type="paragraph" w:styleId="TOCHeading">
    <w:name w:val="TOC Heading"/>
    <w:basedOn w:val="Heading1"/>
    <w:next w:val="Normal"/>
    <w:uiPriority w:val="39"/>
    <w:unhideWhenUsed/>
    <w:qFormat/>
    <w:rsid w:val="008C6F3B"/>
    <w:pPr>
      <w:outlineLvl w:val="9"/>
    </w:pPr>
    <w:rPr>
      <w:lang w:val="en-US"/>
    </w:rPr>
  </w:style>
  <w:style w:type="paragraph" w:styleId="Subtitle">
    <w:name w:val="Subtitle"/>
    <w:basedOn w:val="Normal"/>
    <w:next w:val="Normal"/>
    <w:link w:val="SubtitleChar"/>
    <w:uiPriority w:val="11"/>
    <w:qFormat/>
    <w:rsid w:val="008C6F3B"/>
    <w:pPr>
      <w:numPr>
        <w:ilvl w:val="1"/>
      </w:numPr>
      <w:spacing w:after="1200" w:line="240" w:lineRule="auto"/>
    </w:pPr>
    <w:rPr>
      <w:rFonts w:asciiTheme="majorHAnsi" w:eastAsiaTheme="majorEastAsia" w:hAnsiTheme="majorHAnsi" w:cstheme="majorBidi"/>
      <w:iCs/>
      <w:spacing w:val="15"/>
      <w:sz w:val="80"/>
      <w:szCs w:val="24"/>
    </w:rPr>
  </w:style>
  <w:style w:type="character" w:customStyle="1" w:styleId="SubtitleChar">
    <w:name w:val="Subtitle Char"/>
    <w:basedOn w:val="DefaultParagraphFont"/>
    <w:link w:val="Subtitle"/>
    <w:uiPriority w:val="11"/>
    <w:rsid w:val="008C6F3B"/>
    <w:rPr>
      <w:rFonts w:asciiTheme="majorHAnsi" w:eastAsiaTheme="majorEastAsia" w:hAnsiTheme="majorHAnsi" w:cstheme="majorBidi"/>
      <w:iCs/>
      <w:spacing w:val="15"/>
      <w:sz w:val="80"/>
      <w:szCs w:val="24"/>
    </w:rPr>
  </w:style>
  <w:style w:type="paragraph" w:styleId="TOC1">
    <w:name w:val="toc 1"/>
    <w:basedOn w:val="Normal"/>
    <w:next w:val="Normal"/>
    <w:autoRedefine/>
    <w:uiPriority w:val="39"/>
    <w:unhideWhenUsed/>
    <w:qFormat/>
    <w:rsid w:val="008C6F3B"/>
    <w:pPr>
      <w:pBdr>
        <w:top w:val="single" w:sz="8" w:space="4" w:color="DC6900" w:themeColor="text2"/>
      </w:pBdr>
      <w:spacing w:before="120" w:after="120"/>
      <w:ind w:left="284" w:hanging="284"/>
    </w:pPr>
  </w:style>
  <w:style w:type="paragraph" w:styleId="TOC2">
    <w:name w:val="toc 2"/>
    <w:basedOn w:val="Normal"/>
    <w:next w:val="Normal"/>
    <w:autoRedefine/>
    <w:uiPriority w:val="39"/>
    <w:unhideWhenUsed/>
    <w:qFormat/>
    <w:rsid w:val="003750CB"/>
    <w:pPr>
      <w:pBdr>
        <w:top w:val="dotted" w:sz="8" w:space="4" w:color="DC6900" w:themeColor="text2"/>
      </w:pBdr>
      <w:tabs>
        <w:tab w:val="right" w:pos="8789"/>
        <w:tab w:val="right" w:pos="9854"/>
      </w:tabs>
      <w:spacing w:before="120" w:after="120"/>
      <w:ind w:left="709" w:hanging="425"/>
    </w:pPr>
  </w:style>
  <w:style w:type="paragraph" w:styleId="TOC3">
    <w:name w:val="toc 3"/>
    <w:basedOn w:val="Normal"/>
    <w:next w:val="Normal"/>
    <w:autoRedefine/>
    <w:uiPriority w:val="39"/>
    <w:unhideWhenUsed/>
    <w:qFormat/>
    <w:rsid w:val="00497BD5"/>
    <w:pPr>
      <w:tabs>
        <w:tab w:val="left" w:pos="1135"/>
        <w:tab w:val="right" w:pos="8789"/>
      </w:tabs>
      <w:spacing w:before="120" w:after="120"/>
      <w:ind w:left="568" w:hanging="284"/>
    </w:pPr>
  </w:style>
  <w:style w:type="character" w:styleId="Hyperlink">
    <w:name w:val="Hyperlink"/>
    <w:basedOn w:val="DefaultParagraphFont"/>
    <w:uiPriority w:val="99"/>
    <w:unhideWhenUsed/>
    <w:rsid w:val="008C6F3B"/>
    <w:rPr>
      <w:color w:val="DC6900" w:themeColor="hyperlink"/>
      <w:u w:val="single"/>
    </w:rPr>
  </w:style>
  <w:style w:type="paragraph" w:styleId="BalloonText">
    <w:name w:val="Balloon Text"/>
    <w:basedOn w:val="Normal"/>
    <w:link w:val="BalloonTextChar"/>
    <w:uiPriority w:val="99"/>
    <w:semiHidden/>
    <w:unhideWhenUsed/>
    <w:rsid w:val="008C6F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F3B"/>
    <w:rPr>
      <w:rFonts w:ascii="Tahoma" w:hAnsi="Tahoma" w:cs="Tahoma"/>
      <w:sz w:val="16"/>
      <w:szCs w:val="16"/>
    </w:rPr>
  </w:style>
  <w:style w:type="paragraph" w:styleId="ListBullet">
    <w:name w:val="List Bullet"/>
    <w:basedOn w:val="Normal"/>
    <w:uiPriority w:val="13"/>
    <w:unhideWhenUsed/>
    <w:qFormat/>
    <w:rsid w:val="008C6F3B"/>
    <w:pPr>
      <w:numPr>
        <w:numId w:val="4"/>
      </w:numPr>
      <w:contextualSpacing/>
    </w:pPr>
  </w:style>
  <w:style w:type="numbering" w:customStyle="1" w:styleId="PwCListBullets1">
    <w:name w:val="PwC List Bullets 1"/>
    <w:uiPriority w:val="99"/>
    <w:rsid w:val="008C6F3B"/>
    <w:pPr>
      <w:numPr>
        <w:numId w:val="1"/>
      </w:numPr>
    </w:pPr>
  </w:style>
  <w:style w:type="numbering" w:customStyle="1" w:styleId="PwCListNumbers1">
    <w:name w:val="PwC List Numbers 1"/>
    <w:uiPriority w:val="99"/>
    <w:rsid w:val="008C6F3B"/>
    <w:pPr>
      <w:numPr>
        <w:numId w:val="2"/>
      </w:numPr>
    </w:pPr>
  </w:style>
  <w:style w:type="paragraph" w:styleId="ListNumber">
    <w:name w:val="List Number"/>
    <w:basedOn w:val="Normal"/>
    <w:uiPriority w:val="13"/>
    <w:unhideWhenUsed/>
    <w:qFormat/>
    <w:rsid w:val="008C6F3B"/>
    <w:pPr>
      <w:numPr>
        <w:numId w:val="3"/>
      </w:numPr>
      <w:contextualSpacing/>
    </w:pPr>
  </w:style>
  <w:style w:type="paragraph" w:styleId="ListBullet2">
    <w:name w:val="List Bullet 2"/>
    <w:basedOn w:val="Normal"/>
    <w:uiPriority w:val="13"/>
    <w:unhideWhenUsed/>
    <w:qFormat/>
    <w:rsid w:val="008C6F3B"/>
    <w:pPr>
      <w:numPr>
        <w:ilvl w:val="1"/>
        <w:numId w:val="4"/>
      </w:numPr>
      <w:contextualSpacing/>
    </w:pPr>
  </w:style>
  <w:style w:type="paragraph" w:styleId="ListBullet3">
    <w:name w:val="List Bullet 3"/>
    <w:basedOn w:val="Normal"/>
    <w:uiPriority w:val="13"/>
    <w:unhideWhenUsed/>
    <w:qFormat/>
    <w:rsid w:val="008C6F3B"/>
    <w:pPr>
      <w:numPr>
        <w:ilvl w:val="2"/>
        <w:numId w:val="4"/>
      </w:numPr>
      <w:contextualSpacing/>
    </w:pPr>
  </w:style>
  <w:style w:type="paragraph" w:styleId="ListBullet4">
    <w:name w:val="List Bullet 4"/>
    <w:basedOn w:val="Normal"/>
    <w:uiPriority w:val="13"/>
    <w:unhideWhenUsed/>
    <w:rsid w:val="008C6F3B"/>
    <w:pPr>
      <w:numPr>
        <w:ilvl w:val="3"/>
        <w:numId w:val="4"/>
      </w:numPr>
      <w:contextualSpacing/>
    </w:pPr>
  </w:style>
  <w:style w:type="paragraph" w:styleId="ListBullet5">
    <w:name w:val="List Bullet 5"/>
    <w:basedOn w:val="Normal"/>
    <w:uiPriority w:val="13"/>
    <w:unhideWhenUsed/>
    <w:rsid w:val="008C6F3B"/>
    <w:pPr>
      <w:numPr>
        <w:ilvl w:val="4"/>
        <w:numId w:val="4"/>
      </w:numPr>
      <w:contextualSpacing/>
    </w:pPr>
  </w:style>
  <w:style w:type="paragraph" w:styleId="ListNumber2">
    <w:name w:val="List Number 2"/>
    <w:basedOn w:val="Normal"/>
    <w:uiPriority w:val="13"/>
    <w:unhideWhenUsed/>
    <w:qFormat/>
    <w:rsid w:val="008C6F3B"/>
    <w:pPr>
      <w:numPr>
        <w:ilvl w:val="1"/>
        <w:numId w:val="3"/>
      </w:numPr>
      <w:contextualSpacing/>
    </w:pPr>
  </w:style>
  <w:style w:type="paragraph" w:styleId="ListNumber3">
    <w:name w:val="List Number 3"/>
    <w:basedOn w:val="Normal"/>
    <w:uiPriority w:val="13"/>
    <w:unhideWhenUsed/>
    <w:qFormat/>
    <w:rsid w:val="008C6F3B"/>
    <w:pPr>
      <w:numPr>
        <w:ilvl w:val="2"/>
        <w:numId w:val="3"/>
      </w:numPr>
      <w:contextualSpacing/>
    </w:pPr>
  </w:style>
  <w:style w:type="paragraph" w:styleId="ListNumber4">
    <w:name w:val="List Number 4"/>
    <w:basedOn w:val="Normal"/>
    <w:uiPriority w:val="13"/>
    <w:unhideWhenUsed/>
    <w:rsid w:val="008C6F3B"/>
    <w:pPr>
      <w:numPr>
        <w:ilvl w:val="3"/>
        <w:numId w:val="3"/>
      </w:numPr>
      <w:contextualSpacing/>
    </w:pPr>
  </w:style>
  <w:style w:type="paragraph" w:styleId="ListNumber5">
    <w:name w:val="List Number 5"/>
    <w:basedOn w:val="Normal"/>
    <w:uiPriority w:val="13"/>
    <w:unhideWhenUsed/>
    <w:rsid w:val="008C6F3B"/>
    <w:pPr>
      <w:numPr>
        <w:ilvl w:val="4"/>
        <w:numId w:val="3"/>
      </w:numPr>
      <w:contextualSpacing/>
    </w:pPr>
  </w:style>
  <w:style w:type="paragraph" w:styleId="List">
    <w:name w:val="List"/>
    <w:basedOn w:val="Normal"/>
    <w:uiPriority w:val="99"/>
    <w:semiHidden/>
    <w:unhideWhenUsed/>
    <w:rsid w:val="008C6F3B"/>
    <w:pPr>
      <w:ind w:left="567" w:hanging="567"/>
      <w:contextualSpacing/>
    </w:pPr>
  </w:style>
  <w:style w:type="paragraph" w:styleId="List2">
    <w:name w:val="List 2"/>
    <w:basedOn w:val="Normal"/>
    <w:uiPriority w:val="99"/>
    <w:semiHidden/>
    <w:unhideWhenUsed/>
    <w:rsid w:val="008C6F3B"/>
    <w:pPr>
      <w:ind w:left="1134" w:hanging="567"/>
      <w:contextualSpacing/>
    </w:pPr>
  </w:style>
  <w:style w:type="paragraph" w:styleId="ListContinue">
    <w:name w:val="List Continue"/>
    <w:basedOn w:val="Normal"/>
    <w:uiPriority w:val="14"/>
    <w:unhideWhenUsed/>
    <w:qFormat/>
    <w:rsid w:val="008C6F3B"/>
    <w:pPr>
      <w:spacing w:after="120"/>
      <w:ind w:left="567"/>
      <w:contextualSpacing/>
    </w:pPr>
  </w:style>
  <w:style w:type="paragraph" w:styleId="ListContinue2">
    <w:name w:val="List Continue 2"/>
    <w:basedOn w:val="Normal"/>
    <w:uiPriority w:val="14"/>
    <w:unhideWhenUsed/>
    <w:qFormat/>
    <w:rsid w:val="008C6F3B"/>
    <w:pPr>
      <w:spacing w:after="120"/>
      <w:ind w:left="1134"/>
      <w:contextualSpacing/>
    </w:pPr>
  </w:style>
  <w:style w:type="paragraph" w:styleId="ListContinue3">
    <w:name w:val="List Continue 3"/>
    <w:basedOn w:val="Normal"/>
    <w:uiPriority w:val="14"/>
    <w:unhideWhenUsed/>
    <w:qFormat/>
    <w:rsid w:val="008C6F3B"/>
    <w:pPr>
      <w:spacing w:after="120"/>
      <w:ind w:left="1701"/>
      <w:contextualSpacing/>
    </w:pPr>
  </w:style>
  <w:style w:type="paragraph" w:styleId="ListContinue4">
    <w:name w:val="List Continue 4"/>
    <w:basedOn w:val="Normal"/>
    <w:uiPriority w:val="14"/>
    <w:semiHidden/>
    <w:unhideWhenUsed/>
    <w:rsid w:val="008C6F3B"/>
    <w:pPr>
      <w:spacing w:after="120"/>
      <w:ind w:left="2268"/>
      <w:contextualSpacing/>
    </w:pPr>
  </w:style>
  <w:style w:type="paragraph" w:styleId="ListContinue5">
    <w:name w:val="List Continue 5"/>
    <w:basedOn w:val="Normal"/>
    <w:uiPriority w:val="14"/>
    <w:semiHidden/>
    <w:unhideWhenUsed/>
    <w:rsid w:val="008C6F3B"/>
    <w:pPr>
      <w:spacing w:after="120"/>
      <w:ind w:left="2835"/>
      <w:contextualSpacing/>
    </w:pPr>
  </w:style>
  <w:style w:type="paragraph" w:styleId="List3">
    <w:name w:val="List 3"/>
    <w:basedOn w:val="Normal"/>
    <w:uiPriority w:val="99"/>
    <w:semiHidden/>
    <w:unhideWhenUsed/>
    <w:rsid w:val="008C6F3B"/>
    <w:pPr>
      <w:ind w:left="1701" w:hanging="567"/>
      <w:contextualSpacing/>
    </w:pPr>
  </w:style>
  <w:style w:type="paragraph" w:styleId="List4">
    <w:name w:val="List 4"/>
    <w:basedOn w:val="Normal"/>
    <w:uiPriority w:val="99"/>
    <w:semiHidden/>
    <w:unhideWhenUsed/>
    <w:rsid w:val="008C6F3B"/>
    <w:pPr>
      <w:ind w:left="2268" w:hanging="567"/>
      <w:contextualSpacing/>
    </w:pPr>
  </w:style>
  <w:style w:type="paragraph" w:styleId="List5">
    <w:name w:val="List 5"/>
    <w:basedOn w:val="Normal"/>
    <w:uiPriority w:val="99"/>
    <w:semiHidden/>
    <w:unhideWhenUsed/>
    <w:rsid w:val="008C6F3B"/>
    <w:pPr>
      <w:ind w:left="2835" w:hanging="567"/>
      <w:contextualSpacing/>
    </w:pPr>
  </w:style>
  <w:style w:type="table" w:styleId="TableGrid">
    <w:name w:val="Table Grid"/>
    <w:basedOn w:val="TableNormal"/>
    <w:uiPriority w:val="39"/>
    <w:rsid w:val="008C6F3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PwCTableFigures">
    <w:name w:val="PwC Table Figures"/>
    <w:basedOn w:val="TableNormal"/>
    <w:uiPriority w:val="99"/>
    <w:qFormat/>
    <w:rsid w:val="008C6F3B"/>
    <w:pPr>
      <w:tabs>
        <w:tab w:val="decimal" w:pos="1134"/>
      </w:tabs>
      <w:spacing w:before="60" w:after="60" w:line="240" w:lineRule="auto"/>
    </w:pPr>
    <w:rPr>
      <w:rFonts w:asciiTheme="minorHAnsi" w:hAnsiTheme="minorHAnsi"/>
    </w:rPr>
    <w:tblPr>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left w:val="nil"/>
          <w:bottom w:val="single" w:sz="6" w:space="0" w:color="DC690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table" w:customStyle="1" w:styleId="PwCTableText">
    <w:name w:val="PwC Table Text"/>
    <w:basedOn w:val="TableNormal"/>
    <w:uiPriority w:val="99"/>
    <w:qFormat/>
    <w:rsid w:val="008C6F3B"/>
    <w:pPr>
      <w:spacing w:before="60" w:after="60" w:line="240" w:lineRule="auto"/>
    </w:pPr>
    <w:tblPr>
      <w:tblStyleRowBandSize w:val="1"/>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bottom w:val="single" w:sz="6" w:space="0" w:color="DC6900" w:themeColor="text2"/>
        </w:tcBorders>
      </w:tcPr>
    </w:tblStylePr>
    <w:tblStylePr w:type="lastRow">
      <w:rPr>
        <w:b/>
      </w:rPr>
      <w:tblPr/>
      <w:tcPr>
        <w:tcBorders>
          <w:top w:val="single" w:sz="6" w:space="0" w:color="DC6900" w:themeColor="text2"/>
          <w:bottom w:val="single" w:sz="6" w:space="0" w:color="DC6900" w:themeColor="text2"/>
        </w:tcBorders>
      </w:tcPr>
    </w:tblStylePr>
    <w:tblStylePr w:type="band1Horz">
      <w:tblPr/>
      <w:tcPr>
        <w:tcBorders>
          <w:bottom w:val="nil"/>
        </w:tcBorders>
      </w:tcPr>
    </w:tblStylePr>
  </w:style>
  <w:style w:type="paragraph" w:customStyle="1" w:styleId="SubHeading">
    <w:name w:val="Sub Heading"/>
    <w:basedOn w:val="Heading1"/>
    <w:uiPriority w:val="99"/>
    <w:qFormat/>
    <w:rsid w:val="008C6F3B"/>
    <w:rPr>
      <w:b w:val="0"/>
      <w:i w:val="0"/>
    </w:rPr>
  </w:style>
  <w:style w:type="paragraph" w:customStyle="1" w:styleId="Heading1NoSpacing">
    <w:name w:val="Heading 1 No Spacing"/>
    <w:basedOn w:val="Heading1"/>
    <w:next w:val="Heading2"/>
    <w:link w:val="Heading1NoSpacingChar"/>
    <w:uiPriority w:val="9"/>
    <w:qFormat/>
    <w:rsid w:val="008C6F3B"/>
    <w:pPr>
      <w:spacing w:after="0"/>
    </w:pPr>
  </w:style>
  <w:style w:type="character" w:customStyle="1" w:styleId="Heading1NoSpacingChar">
    <w:name w:val="Heading 1 No Spacing Char"/>
    <w:basedOn w:val="Heading1Char"/>
    <w:link w:val="Heading1NoSpacing"/>
    <w:uiPriority w:val="9"/>
    <w:rsid w:val="008C6F3B"/>
    <w:rPr>
      <w:rFonts w:asciiTheme="majorHAnsi" w:eastAsiaTheme="majorEastAsia" w:hAnsiTheme="majorHAnsi" w:cstheme="majorBidi"/>
      <w:b/>
      <w:bCs/>
      <w:i/>
      <w:sz w:val="56"/>
      <w:szCs w:val="28"/>
    </w:rPr>
  </w:style>
  <w:style w:type="character" w:customStyle="1" w:styleId="Heading6Char">
    <w:name w:val="Heading 6 Char"/>
    <w:basedOn w:val="DefaultParagraphFont"/>
    <w:link w:val="Heading6"/>
    <w:uiPriority w:val="9"/>
    <w:rsid w:val="008C6F3B"/>
    <w:rPr>
      <w:rFonts w:asciiTheme="majorHAnsi" w:eastAsiaTheme="majorEastAsia" w:hAnsiTheme="majorHAnsi" w:cstheme="majorBidi"/>
      <w:iCs/>
      <w:color w:val="DC6900" w:themeColor="text2"/>
    </w:rPr>
  </w:style>
  <w:style w:type="character" w:customStyle="1" w:styleId="Heading7Char">
    <w:name w:val="Heading 7 Char"/>
    <w:basedOn w:val="DefaultParagraphFont"/>
    <w:link w:val="Heading7"/>
    <w:uiPriority w:val="9"/>
    <w:semiHidden/>
    <w:rsid w:val="008C6F3B"/>
    <w:rPr>
      <w:rFonts w:asciiTheme="majorHAnsi" w:eastAsiaTheme="majorEastAsia" w:hAnsiTheme="majorHAnsi" w:cstheme="majorBidi"/>
      <w:iCs/>
      <w:color w:val="DC6900" w:themeColor="text2"/>
    </w:rPr>
  </w:style>
  <w:style w:type="character" w:customStyle="1" w:styleId="Heading8Char">
    <w:name w:val="Heading 8 Char"/>
    <w:basedOn w:val="DefaultParagraphFont"/>
    <w:link w:val="Heading8"/>
    <w:uiPriority w:val="9"/>
    <w:semiHidden/>
    <w:rsid w:val="008C6F3B"/>
    <w:rPr>
      <w:rFonts w:asciiTheme="majorHAnsi" w:eastAsiaTheme="majorEastAsia" w:hAnsiTheme="majorHAnsi" w:cstheme="majorBidi"/>
      <w:color w:val="DC6900" w:themeColor="text2"/>
    </w:rPr>
  </w:style>
  <w:style w:type="character" w:customStyle="1" w:styleId="Heading9Char">
    <w:name w:val="Heading 9 Char"/>
    <w:basedOn w:val="DefaultParagraphFont"/>
    <w:link w:val="Heading9"/>
    <w:uiPriority w:val="9"/>
    <w:semiHidden/>
    <w:rsid w:val="008C6F3B"/>
    <w:rPr>
      <w:rFonts w:asciiTheme="majorHAnsi" w:eastAsiaTheme="majorEastAsia" w:hAnsiTheme="majorHAnsi" w:cstheme="majorBidi"/>
      <w:iCs/>
      <w:color w:val="DC6900" w:themeColor="text2"/>
    </w:rPr>
  </w:style>
  <w:style w:type="paragraph" w:styleId="TOC4">
    <w:name w:val="toc 4"/>
    <w:basedOn w:val="Normal"/>
    <w:next w:val="Normal"/>
    <w:autoRedefine/>
    <w:uiPriority w:val="39"/>
    <w:unhideWhenUsed/>
    <w:rsid w:val="008C6F3B"/>
    <w:pPr>
      <w:spacing w:after="120"/>
      <w:ind w:left="851" w:hanging="284"/>
    </w:pPr>
  </w:style>
  <w:style w:type="paragraph" w:styleId="TOC5">
    <w:name w:val="toc 5"/>
    <w:basedOn w:val="Normal"/>
    <w:next w:val="Normal"/>
    <w:autoRedefine/>
    <w:uiPriority w:val="39"/>
    <w:unhideWhenUsed/>
    <w:rsid w:val="008C6F3B"/>
    <w:pPr>
      <w:spacing w:after="120"/>
      <w:ind w:left="1135" w:hanging="284"/>
    </w:pPr>
  </w:style>
  <w:style w:type="paragraph" w:styleId="TOC6">
    <w:name w:val="toc 6"/>
    <w:basedOn w:val="Normal"/>
    <w:next w:val="Normal"/>
    <w:autoRedefine/>
    <w:uiPriority w:val="39"/>
    <w:semiHidden/>
    <w:unhideWhenUsed/>
    <w:rsid w:val="008C6F3B"/>
    <w:pPr>
      <w:spacing w:after="120"/>
      <w:ind w:left="1418" w:hanging="284"/>
    </w:pPr>
  </w:style>
  <w:style w:type="paragraph" w:styleId="TOC7">
    <w:name w:val="toc 7"/>
    <w:basedOn w:val="Normal"/>
    <w:next w:val="Normal"/>
    <w:autoRedefine/>
    <w:uiPriority w:val="39"/>
    <w:semiHidden/>
    <w:unhideWhenUsed/>
    <w:rsid w:val="008C6F3B"/>
    <w:pPr>
      <w:spacing w:after="120"/>
      <w:ind w:left="1702" w:hanging="284"/>
    </w:pPr>
  </w:style>
  <w:style w:type="paragraph" w:styleId="TOC8">
    <w:name w:val="toc 8"/>
    <w:basedOn w:val="Normal"/>
    <w:next w:val="Normal"/>
    <w:autoRedefine/>
    <w:uiPriority w:val="39"/>
    <w:semiHidden/>
    <w:unhideWhenUsed/>
    <w:rsid w:val="008C6F3B"/>
    <w:pPr>
      <w:spacing w:after="120"/>
      <w:ind w:left="1985" w:hanging="284"/>
    </w:pPr>
  </w:style>
  <w:style w:type="paragraph" w:styleId="TOC9">
    <w:name w:val="toc 9"/>
    <w:basedOn w:val="Normal"/>
    <w:next w:val="Normal"/>
    <w:autoRedefine/>
    <w:uiPriority w:val="39"/>
    <w:semiHidden/>
    <w:unhideWhenUsed/>
    <w:rsid w:val="008C6F3B"/>
    <w:pPr>
      <w:spacing w:after="120"/>
      <w:ind w:left="2269" w:hanging="284"/>
    </w:pPr>
  </w:style>
  <w:style w:type="character" w:styleId="Emphasis">
    <w:name w:val="Emphasis"/>
    <w:basedOn w:val="DefaultParagraphFont"/>
    <w:uiPriority w:val="20"/>
    <w:qFormat/>
    <w:rsid w:val="008C6F3B"/>
    <w:rPr>
      <w:i/>
      <w:iCs/>
    </w:rPr>
  </w:style>
  <w:style w:type="paragraph" w:styleId="Quote">
    <w:name w:val="Quote"/>
    <w:basedOn w:val="Normal"/>
    <w:next w:val="Normal"/>
    <w:link w:val="QuoteChar"/>
    <w:uiPriority w:val="29"/>
    <w:qFormat/>
    <w:rsid w:val="008C6F3B"/>
    <w:rPr>
      <w:i/>
      <w:iCs/>
      <w:color w:val="000000" w:themeColor="text1"/>
    </w:rPr>
  </w:style>
  <w:style w:type="character" w:customStyle="1" w:styleId="QuoteChar">
    <w:name w:val="Quote Char"/>
    <w:basedOn w:val="DefaultParagraphFont"/>
    <w:link w:val="Quote"/>
    <w:uiPriority w:val="29"/>
    <w:rsid w:val="008C6F3B"/>
    <w:rPr>
      <w:i/>
      <w:iCs/>
      <w:color w:val="000000" w:themeColor="text1"/>
    </w:rPr>
  </w:style>
  <w:style w:type="paragraph" w:styleId="BlockText">
    <w:name w:val="Block Text"/>
    <w:basedOn w:val="Normal"/>
    <w:next w:val="BodyText3"/>
    <w:uiPriority w:val="99"/>
    <w:unhideWhenUsed/>
    <w:qFormat/>
    <w:rsid w:val="008C6F3B"/>
    <w:pPr>
      <w:spacing w:line="240" w:lineRule="auto"/>
    </w:pPr>
    <w:rPr>
      <w:b/>
      <w:i/>
      <w:color w:val="DC6900" w:themeColor="text2"/>
      <w:sz w:val="48"/>
      <w:szCs w:val="48"/>
    </w:rPr>
  </w:style>
  <w:style w:type="paragraph" w:customStyle="1" w:styleId="BlockText2">
    <w:name w:val="Block Text 2"/>
    <w:basedOn w:val="Normal"/>
    <w:uiPriority w:val="99"/>
    <w:qFormat/>
    <w:rsid w:val="008C6F3B"/>
    <w:pPr>
      <w:pBdr>
        <w:top w:val="single" w:sz="2" w:space="10" w:color="DC6900" w:themeColor="text2"/>
        <w:left w:val="single" w:sz="2" w:space="10" w:color="DC6900" w:themeColor="text2"/>
        <w:bottom w:val="single" w:sz="2" w:space="10" w:color="DC6900" w:themeColor="text2"/>
        <w:right w:val="single" w:sz="2" w:space="10" w:color="DC6900" w:themeColor="text2"/>
      </w:pBdr>
      <w:shd w:val="clear" w:color="auto" w:fill="DC690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8C6F3B"/>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DC6900" w:themeColor="accent1"/>
      <w:sz w:val="96"/>
      <w:szCs w:val="20"/>
    </w:rPr>
  </w:style>
  <w:style w:type="paragraph" w:styleId="BodyText3">
    <w:name w:val="Body Text 3"/>
    <w:basedOn w:val="Normal"/>
    <w:link w:val="BodyText3Char"/>
    <w:uiPriority w:val="99"/>
    <w:semiHidden/>
    <w:unhideWhenUsed/>
    <w:rsid w:val="008C6F3B"/>
    <w:pPr>
      <w:spacing w:after="120"/>
    </w:pPr>
    <w:rPr>
      <w:sz w:val="16"/>
      <w:szCs w:val="16"/>
    </w:rPr>
  </w:style>
  <w:style w:type="character" w:customStyle="1" w:styleId="BodyText3Char">
    <w:name w:val="Body Text 3 Char"/>
    <w:basedOn w:val="DefaultParagraphFont"/>
    <w:link w:val="BodyText3"/>
    <w:uiPriority w:val="99"/>
    <w:semiHidden/>
    <w:rsid w:val="008C6F3B"/>
    <w:rPr>
      <w:sz w:val="16"/>
      <w:szCs w:val="16"/>
    </w:rPr>
  </w:style>
  <w:style w:type="paragraph" w:customStyle="1" w:styleId="Callout1">
    <w:name w:val="Callout 1"/>
    <w:rsid w:val="00304794"/>
    <w:pPr>
      <w:framePr w:hSpace="187" w:wrap="around" w:vAnchor="page" w:hAnchor="page" w:x="721" w:y="6913"/>
      <w:spacing w:after="180" w:line="280" w:lineRule="atLeast"/>
      <w:suppressOverlap/>
    </w:pPr>
    <w:rPr>
      <w:rFonts w:eastAsia="Times New Roman" w:cs="Arial"/>
      <w:i/>
      <w:sz w:val="19"/>
      <w:szCs w:val="36"/>
      <w:lang w:val="es-ES"/>
    </w:rPr>
  </w:style>
  <w:style w:type="table" w:styleId="LightList-Accent4">
    <w:name w:val="Light List Accent 4"/>
    <w:basedOn w:val="TableNormal"/>
    <w:uiPriority w:val="61"/>
    <w:rsid w:val="00D40C1E"/>
    <w:pPr>
      <w:spacing w:after="0" w:line="240" w:lineRule="auto"/>
    </w:pPr>
    <w:tblPr>
      <w:tblStyleRowBandSize w:val="1"/>
      <w:tblStyleColBandSize w:val="1"/>
      <w:tblInd w:w="0" w:type="dxa"/>
      <w:tblBorders>
        <w:top w:val="single" w:sz="8" w:space="0" w:color="DB536A" w:themeColor="accent4"/>
        <w:left w:val="single" w:sz="8" w:space="0" w:color="DB536A" w:themeColor="accent4"/>
        <w:bottom w:val="single" w:sz="8" w:space="0" w:color="DB536A" w:themeColor="accent4"/>
        <w:right w:val="single" w:sz="8" w:space="0" w:color="DB536A"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DB536A" w:themeFill="accent4"/>
      </w:tcPr>
    </w:tblStylePr>
    <w:tblStylePr w:type="lastRow">
      <w:pPr>
        <w:spacing w:before="0" w:after="0" w:line="240" w:lineRule="auto"/>
      </w:pPr>
      <w:rPr>
        <w:b/>
        <w:bCs/>
      </w:rPr>
      <w:tblPr/>
      <w:tcPr>
        <w:tcBorders>
          <w:top w:val="double" w:sz="6" w:space="0" w:color="DB536A" w:themeColor="accent4"/>
          <w:left w:val="single" w:sz="8" w:space="0" w:color="DB536A" w:themeColor="accent4"/>
          <w:bottom w:val="single" w:sz="8" w:space="0" w:color="DB536A" w:themeColor="accent4"/>
          <w:right w:val="single" w:sz="8" w:space="0" w:color="DB536A" w:themeColor="accent4"/>
        </w:tcBorders>
      </w:tcPr>
    </w:tblStylePr>
    <w:tblStylePr w:type="firstCol">
      <w:rPr>
        <w:b/>
        <w:bCs/>
      </w:rPr>
    </w:tblStylePr>
    <w:tblStylePr w:type="lastCol">
      <w:rPr>
        <w:b/>
        <w:bCs/>
      </w:rPr>
    </w:tblStylePr>
    <w:tblStylePr w:type="band1Vert">
      <w:tblPr/>
      <w:tcPr>
        <w:tcBorders>
          <w:top w:val="single" w:sz="8" w:space="0" w:color="DB536A" w:themeColor="accent4"/>
          <w:left w:val="single" w:sz="8" w:space="0" w:color="DB536A" w:themeColor="accent4"/>
          <w:bottom w:val="single" w:sz="8" w:space="0" w:color="DB536A" w:themeColor="accent4"/>
          <w:right w:val="single" w:sz="8" w:space="0" w:color="DB536A" w:themeColor="accent4"/>
        </w:tcBorders>
      </w:tcPr>
    </w:tblStylePr>
    <w:tblStylePr w:type="band1Horz">
      <w:tblPr/>
      <w:tcPr>
        <w:tcBorders>
          <w:top w:val="single" w:sz="8" w:space="0" w:color="DB536A" w:themeColor="accent4"/>
          <w:left w:val="single" w:sz="8" w:space="0" w:color="DB536A" w:themeColor="accent4"/>
          <w:bottom w:val="single" w:sz="8" w:space="0" w:color="DB536A" w:themeColor="accent4"/>
          <w:right w:val="single" w:sz="8" w:space="0" w:color="DB536A" w:themeColor="accent4"/>
        </w:tcBorders>
      </w:tcPr>
    </w:tblStylePr>
  </w:style>
  <w:style w:type="table" w:styleId="LightList-Accent5">
    <w:name w:val="Light List Accent 5"/>
    <w:basedOn w:val="TableNormal"/>
    <w:uiPriority w:val="61"/>
    <w:rsid w:val="00D40C1E"/>
    <w:pPr>
      <w:spacing w:after="0" w:line="240" w:lineRule="auto"/>
    </w:pPr>
    <w:tblPr>
      <w:tblStyleRowBandSize w:val="1"/>
      <w:tblStyleColBandSize w:val="1"/>
      <w:tblInd w:w="0" w:type="dxa"/>
      <w:tblBorders>
        <w:top w:val="single" w:sz="8" w:space="0" w:color="A32020" w:themeColor="accent5"/>
        <w:left w:val="single" w:sz="8" w:space="0" w:color="A32020" w:themeColor="accent5"/>
        <w:bottom w:val="single" w:sz="8" w:space="0" w:color="A32020" w:themeColor="accent5"/>
        <w:right w:val="single" w:sz="8" w:space="0" w:color="A32020"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32020" w:themeFill="accent5"/>
      </w:tcPr>
    </w:tblStylePr>
    <w:tblStylePr w:type="lastRow">
      <w:pPr>
        <w:spacing w:before="0" w:after="0" w:line="240" w:lineRule="auto"/>
      </w:pPr>
      <w:rPr>
        <w:b/>
        <w:bCs/>
      </w:rPr>
      <w:tblPr/>
      <w:tcPr>
        <w:tcBorders>
          <w:top w:val="double" w:sz="6" w:space="0" w:color="A32020" w:themeColor="accent5"/>
          <w:left w:val="single" w:sz="8" w:space="0" w:color="A32020" w:themeColor="accent5"/>
          <w:bottom w:val="single" w:sz="8" w:space="0" w:color="A32020" w:themeColor="accent5"/>
          <w:right w:val="single" w:sz="8" w:space="0" w:color="A32020" w:themeColor="accent5"/>
        </w:tcBorders>
      </w:tcPr>
    </w:tblStylePr>
    <w:tblStylePr w:type="firstCol">
      <w:rPr>
        <w:b/>
        <w:bCs/>
      </w:rPr>
    </w:tblStylePr>
    <w:tblStylePr w:type="lastCol">
      <w:rPr>
        <w:b/>
        <w:bCs/>
      </w:rPr>
    </w:tblStylePr>
    <w:tblStylePr w:type="band1Vert">
      <w:tblPr/>
      <w:tcPr>
        <w:tcBorders>
          <w:top w:val="single" w:sz="8" w:space="0" w:color="A32020" w:themeColor="accent5"/>
          <w:left w:val="single" w:sz="8" w:space="0" w:color="A32020" w:themeColor="accent5"/>
          <w:bottom w:val="single" w:sz="8" w:space="0" w:color="A32020" w:themeColor="accent5"/>
          <w:right w:val="single" w:sz="8" w:space="0" w:color="A32020" w:themeColor="accent5"/>
        </w:tcBorders>
      </w:tcPr>
    </w:tblStylePr>
    <w:tblStylePr w:type="band1Horz">
      <w:tblPr/>
      <w:tcPr>
        <w:tcBorders>
          <w:top w:val="single" w:sz="8" w:space="0" w:color="A32020" w:themeColor="accent5"/>
          <w:left w:val="single" w:sz="8" w:space="0" w:color="A32020" w:themeColor="accent5"/>
          <w:bottom w:val="single" w:sz="8" w:space="0" w:color="A32020" w:themeColor="accent5"/>
          <w:right w:val="single" w:sz="8" w:space="0" w:color="A32020" w:themeColor="accent5"/>
        </w:tcBorders>
      </w:tcPr>
    </w:tblStylePr>
  </w:style>
  <w:style w:type="table" w:customStyle="1" w:styleId="PwCTable1">
    <w:name w:val="PwC Table 1"/>
    <w:basedOn w:val="TableNormal"/>
    <w:uiPriority w:val="99"/>
    <w:qFormat/>
    <w:rsid w:val="00A157D8"/>
    <w:pPr>
      <w:spacing w:after="0" w:line="240" w:lineRule="auto"/>
    </w:pPr>
    <w:rPr>
      <w:rFonts w:ascii="Arial" w:eastAsia="Arial" w:hAnsi="Arial" w:cs="Times New Roman"/>
      <w:sz w:val="18"/>
      <w:szCs w:val="22"/>
      <w:lang w:val="en-US"/>
    </w:rPr>
    <w:tblPr>
      <w:tblStyleRowBandSize w:val="1"/>
      <w:tblInd w:w="0" w:type="dxa"/>
      <w:tblBorders>
        <w:bottom w:val="dotted" w:sz="6" w:space="0" w:color="DC6900"/>
      </w:tblBorders>
      <w:tblCellMar>
        <w:top w:w="57" w:type="dxa"/>
        <w:left w:w="0" w:type="dxa"/>
        <w:bottom w:w="0" w:type="dxa"/>
        <w:right w:w="0" w:type="dxa"/>
      </w:tblCellMar>
    </w:tblPr>
    <w:tblStylePr w:type="firstRow">
      <w:pPr>
        <w:wordWrap/>
        <w:spacing w:beforeLines="0" w:beforeAutospacing="0" w:afterLines="0" w:afterAutospacing="0" w:line="210" w:lineRule="atLeast"/>
        <w:contextualSpacing w:val="0"/>
      </w:pPr>
      <w:rPr>
        <w:rFonts w:ascii="Marlett" w:hAnsi="Marlett"/>
        <w:b/>
        <w:color w:val="DC6900"/>
        <w:sz w:val="18"/>
      </w:rPr>
      <w:tblPr/>
      <w:tcPr>
        <w:tcBorders>
          <w:top w:val="single" w:sz="6" w:space="0" w:color="DC6900"/>
          <w:left w:val="nil"/>
          <w:bottom w:val="dotted" w:sz="6" w:space="0" w:color="DC6900"/>
          <w:right w:val="nil"/>
          <w:insideH w:val="nil"/>
          <w:insideV w:val="nil"/>
          <w:tl2br w:val="nil"/>
          <w:tr2bl w:val="nil"/>
        </w:tcBorders>
      </w:tcPr>
    </w:tblStylePr>
    <w:tblStylePr w:type="lastRow">
      <w:tblPr/>
      <w:tcPr>
        <w:shd w:val="clear" w:color="auto" w:fill="FFE0C5"/>
      </w:tcPr>
    </w:tblStylePr>
    <w:tblStylePr w:type="band1Horz">
      <w:pPr>
        <w:wordWrap/>
        <w:spacing w:beforeLines="0" w:beforeAutospacing="0" w:afterLines="0" w:afterAutospacing="0" w:line="210" w:lineRule="atLeast"/>
      </w:pPr>
    </w:tblStylePr>
    <w:tblStylePr w:type="band2Horz">
      <w:pPr>
        <w:wordWrap/>
        <w:spacing w:beforeLines="0" w:beforeAutospacing="0" w:afterLines="0" w:afterAutospacing="0" w:line="210" w:lineRule="atLeast"/>
      </w:pPr>
    </w:tblStylePr>
  </w:style>
  <w:style w:type="paragraph" w:customStyle="1" w:styleId="ISTableText">
    <w:name w:val="IS Table Text"/>
    <w:basedOn w:val="Normal"/>
    <w:next w:val="ListParagraph"/>
    <w:uiPriority w:val="99"/>
    <w:rsid w:val="00A157D8"/>
    <w:pPr>
      <w:tabs>
        <w:tab w:val="left" w:pos="4680"/>
      </w:tabs>
      <w:overflowPunct w:val="0"/>
      <w:autoSpaceDE w:val="0"/>
      <w:autoSpaceDN w:val="0"/>
      <w:adjustRightInd w:val="0"/>
      <w:spacing w:before="80" w:after="80" w:line="240" w:lineRule="auto"/>
      <w:textAlignment w:val="baseline"/>
    </w:pPr>
    <w:rPr>
      <w:rFonts w:ascii="Calibri" w:eastAsia="MS Mincho" w:hAnsi="Calibri" w:cs="Arial"/>
      <w:bCs/>
      <w:lang w:val="lv-LV"/>
    </w:rPr>
  </w:style>
  <w:style w:type="paragraph" w:styleId="ListParagraph">
    <w:name w:val="List Paragraph"/>
    <w:basedOn w:val="Normal"/>
    <w:link w:val="ListParagraphChar"/>
    <w:uiPriority w:val="34"/>
    <w:qFormat/>
    <w:rsid w:val="00A157D8"/>
    <w:pPr>
      <w:spacing w:after="0" w:line="240" w:lineRule="auto"/>
      <w:ind w:left="720"/>
      <w:contextualSpacing/>
    </w:pPr>
    <w:rPr>
      <w:rFonts w:ascii="Times New Roman" w:eastAsia="Times New Roman" w:hAnsi="Times New Roman" w:cs="Times New Roman"/>
      <w:sz w:val="24"/>
      <w:lang w:eastAsia="lv-LV"/>
    </w:rPr>
  </w:style>
  <w:style w:type="table" w:customStyle="1" w:styleId="LightList-Accent11">
    <w:name w:val="Light List - Accent 11"/>
    <w:basedOn w:val="TableNormal"/>
    <w:uiPriority w:val="61"/>
    <w:rsid w:val="00FA7CA2"/>
    <w:pPr>
      <w:spacing w:after="0" w:line="240" w:lineRule="auto"/>
    </w:pPr>
    <w:tblPr>
      <w:tblStyleRowBandSize w:val="1"/>
      <w:tblStyleColBandSize w:val="1"/>
      <w:tblInd w:w="0" w:type="dxa"/>
      <w:tblBorders>
        <w:top w:val="single" w:sz="8" w:space="0" w:color="DC6900" w:themeColor="accent1"/>
        <w:left w:val="single" w:sz="8" w:space="0" w:color="DC6900" w:themeColor="accent1"/>
        <w:bottom w:val="single" w:sz="8" w:space="0" w:color="DC6900" w:themeColor="accent1"/>
        <w:right w:val="single" w:sz="8" w:space="0" w:color="DC6900"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DC6900" w:themeFill="accent1"/>
      </w:tcPr>
    </w:tblStylePr>
    <w:tblStylePr w:type="lastRow">
      <w:pPr>
        <w:spacing w:before="0" w:after="0" w:line="240" w:lineRule="auto"/>
      </w:pPr>
      <w:rPr>
        <w:b/>
        <w:bCs/>
      </w:rPr>
      <w:tblPr/>
      <w:tcPr>
        <w:tcBorders>
          <w:top w:val="double" w:sz="6" w:space="0" w:color="DC6900" w:themeColor="accent1"/>
          <w:left w:val="single" w:sz="8" w:space="0" w:color="DC6900" w:themeColor="accent1"/>
          <w:bottom w:val="single" w:sz="8" w:space="0" w:color="DC6900" w:themeColor="accent1"/>
          <w:right w:val="single" w:sz="8" w:space="0" w:color="DC6900" w:themeColor="accent1"/>
        </w:tcBorders>
      </w:tcPr>
    </w:tblStylePr>
    <w:tblStylePr w:type="firstCol">
      <w:rPr>
        <w:b/>
        <w:bCs/>
      </w:rPr>
    </w:tblStylePr>
    <w:tblStylePr w:type="lastCol">
      <w:rPr>
        <w:b/>
        <w:bCs/>
      </w:rPr>
    </w:tblStylePr>
    <w:tblStylePr w:type="band1Vert">
      <w:tblPr/>
      <w:tcPr>
        <w:tcBorders>
          <w:top w:val="single" w:sz="8" w:space="0" w:color="DC6900" w:themeColor="accent1"/>
          <w:left w:val="single" w:sz="8" w:space="0" w:color="DC6900" w:themeColor="accent1"/>
          <w:bottom w:val="single" w:sz="8" w:space="0" w:color="DC6900" w:themeColor="accent1"/>
          <w:right w:val="single" w:sz="8" w:space="0" w:color="DC6900" w:themeColor="accent1"/>
        </w:tcBorders>
      </w:tcPr>
    </w:tblStylePr>
    <w:tblStylePr w:type="band1Horz">
      <w:tblPr/>
      <w:tcPr>
        <w:tcBorders>
          <w:top w:val="single" w:sz="8" w:space="0" w:color="DC6900" w:themeColor="accent1"/>
          <w:left w:val="single" w:sz="8" w:space="0" w:color="DC6900" w:themeColor="accent1"/>
          <w:bottom w:val="single" w:sz="8" w:space="0" w:color="DC6900" w:themeColor="accent1"/>
          <w:right w:val="single" w:sz="8" w:space="0" w:color="DC6900" w:themeColor="accent1"/>
        </w:tcBorders>
      </w:tcPr>
    </w:tblStylePr>
  </w:style>
  <w:style w:type="character" w:styleId="IntenseEmphasis">
    <w:name w:val="Intense Emphasis"/>
    <w:basedOn w:val="DefaultParagraphFont"/>
    <w:uiPriority w:val="21"/>
    <w:qFormat/>
    <w:rsid w:val="00F47BB3"/>
    <w:rPr>
      <w:b/>
      <w:bCs/>
      <w:i/>
      <w:iCs/>
      <w:color w:val="DC6900" w:themeColor="accent1"/>
    </w:rPr>
  </w:style>
  <w:style w:type="character" w:customStyle="1" w:styleId="st1">
    <w:name w:val="st1"/>
    <w:basedOn w:val="DefaultParagraphFont"/>
    <w:rsid w:val="00571DA5"/>
  </w:style>
  <w:style w:type="character" w:styleId="Strong">
    <w:name w:val="Strong"/>
    <w:basedOn w:val="DefaultParagraphFont"/>
    <w:uiPriority w:val="22"/>
    <w:qFormat/>
    <w:rsid w:val="00866122"/>
    <w:rPr>
      <w:b/>
      <w:bCs/>
    </w:rPr>
  </w:style>
  <w:style w:type="paragraph" w:customStyle="1" w:styleId="ISBulletText">
    <w:name w:val="IS Bullet Text"/>
    <w:basedOn w:val="Normal"/>
    <w:link w:val="ISBulletTextChar"/>
    <w:uiPriority w:val="99"/>
    <w:rsid w:val="006E1415"/>
    <w:pPr>
      <w:tabs>
        <w:tab w:val="num" w:pos="926"/>
      </w:tabs>
      <w:overflowPunct w:val="0"/>
      <w:autoSpaceDE w:val="0"/>
      <w:autoSpaceDN w:val="0"/>
      <w:adjustRightInd w:val="0"/>
      <w:spacing w:before="60" w:after="60" w:line="240" w:lineRule="auto"/>
      <w:ind w:left="926" w:right="28" w:hanging="360"/>
      <w:jc w:val="both"/>
      <w:textAlignment w:val="baseline"/>
    </w:pPr>
    <w:rPr>
      <w:rFonts w:ascii="Calibri" w:eastAsia="MS Mincho" w:hAnsi="Calibri" w:cs="Arial"/>
      <w:sz w:val="22"/>
      <w:szCs w:val="18"/>
      <w:lang w:val="lv-LV" w:eastAsia="lv-LV"/>
    </w:rPr>
  </w:style>
  <w:style w:type="character" w:customStyle="1" w:styleId="ISBulletTextChar">
    <w:name w:val="IS Bullet Text Char"/>
    <w:basedOn w:val="DefaultParagraphFont"/>
    <w:link w:val="ISBulletText"/>
    <w:uiPriority w:val="99"/>
    <w:locked/>
    <w:rsid w:val="006E1415"/>
    <w:rPr>
      <w:rFonts w:ascii="Calibri" w:eastAsia="MS Mincho" w:hAnsi="Calibri" w:cs="Arial"/>
      <w:sz w:val="22"/>
      <w:szCs w:val="18"/>
      <w:lang w:val="lv-LV" w:eastAsia="lv-LV"/>
    </w:rPr>
  </w:style>
  <w:style w:type="numbering" w:customStyle="1" w:styleId="ISBullets">
    <w:name w:val="IS Bullets"/>
    <w:rsid w:val="006E1415"/>
    <w:pPr>
      <w:numPr>
        <w:numId w:val="7"/>
      </w:numPr>
    </w:pPr>
  </w:style>
  <w:style w:type="paragraph" w:styleId="Caption">
    <w:name w:val="caption"/>
    <w:basedOn w:val="Normal"/>
    <w:next w:val="Normal"/>
    <w:link w:val="CaptionChar"/>
    <w:uiPriority w:val="99"/>
    <w:unhideWhenUsed/>
    <w:qFormat/>
    <w:rsid w:val="00E60FDA"/>
    <w:rPr>
      <w:rFonts w:eastAsia="Arial" w:cs="Times New Roman"/>
      <w:b/>
      <w:bCs/>
    </w:rPr>
  </w:style>
  <w:style w:type="character" w:styleId="BookTitle">
    <w:name w:val="Book Title"/>
    <w:uiPriority w:val="33"/>
    <w:qFormat/>
    <w:rsid w:val="00E60FDA"/>
    <w:rPr>
      <w:b/>
      <w:bCs/>
      <w:smallCaps/>
      <w:color w:val="000000"/>
      <w:spacing w:val="5"/>
    </w:rPr>
  </w:style>
  <w:style w:type="paragraph" w:styleId="TableofFigures">
    <w:name w:val="table of figures"/>
    <w:basedOn w:val="Normal"/>
    <w:next w:val="Normal"/>
    <w:uiPriority w:val="99"/>
    <w:unhideWhenUsed/>
    <w:rsid w:val="00EE3744"/>
    <w:pPr>
      <w:spacing w:after="0"/>
    </w:pPr>
  </w:style>
  <w:style w:type="paragraph" w:customStyle="1" w:styleId="Address">
    <w:name w:val="Address"/>
    <w:basedOn w:val="Normal"/>
    <w:qFormat/>
    <w:rsid w:val="00DF267A"/>
    <w:pPr>
      <w:spacing w:after="0" w:line="200" w:lineRule="atLeast"/>
    </w:pPr>
    <w:rPr>
      <w:i/>
      <w:noProof/>
      <w:sz w:val="18"/>
      <w:szCs w:val="18"/>
    </w:rPr>
  </w:style>
  <w:style w:type="paragraph" w:styleId="FootnoteText">
    <w:name w:val="footnote text"/>
    <w:basedOn w:val="Normal"/>
    <w:link w:val="FootnoteTextChar"/>
    <w:uiPriority w:val="99"/>
    <w:semiHidden/>
    <w:unhideWhenUsed/>
    <w:rsid w:val="00CC2177"/>
    <w:rPr>
      <w:rFonts w:eastAsia="Arial" w:cs="Times New Roman"/>
    </w:rPr>
  </w:style>
  <w:style w:type="character" w:customStyle="1" w:styleId="FootnoteTextChar">
    <w:name w:val="Footnote Text Char"/>
    <w:basedOn w:val="DefaultParagraphFont"/>
    <w:link w:val="FootnoteText"/>
    <w:uiPriority w:val="99"/>
    <w:semiHidden/>
    <w:rsid w:val="00CC2177"/>
    <w:rPr>
      <w:rFonts w:eastAsia="Arial" w:cs="Times New Roman"/>
    </w:rPr>
  </w:style>
  <w:style w:type="character" w:styleId="FootnoteReference">
    <w:name w:val="footnote reference"/>
    <w:basedOn w:val="DefaultParagraphFont"/>
    <w:uiPriority w:val="99"/>
    <w:semiHidden/>
    <w:unhideWhenUsed/>
    <w:rsid w:val="00CC2177"/>
    <w:rPr>
      <w:vertAlign w:val="superscript"/>
    </w:rPr>
  </w:style>
  <w:style w:type="table" w:styleId="LightList-Accent6">
    <w:name w:val="Light List Accent 6"/>
    <w:basedOn w:val="TableNormal"/>
    <w:uiPriority w:val="61"/>
    <w:rsid w:val="00B27BB7"/>
    <w:pPr>
      <w:spacing w:after="0" w:line="240" w:lineRule="auto"/>
    </w:pPr>
    <w:rPr>
      <w:rFonts w:asciiTheme="minorHAnsi" w:hAnsiTheme="minorHAnsi"/>
      <w:sz w:val="22"/>
      <w:szCs w:val="22"/>
      <w:lang w:val="lv-LV"/>
    </w:rPr>
    <w:tblPr>
      <w:tblStyleRowBandSize w:val="1"/>
      <w:tblStyleColBandSize w:val="1"/>
      <w:tblInd w:w="0" w:type="dxa"/>
      <w:tblBorders>
        <w:top w:val="single" w:sz="8" w:space="0" w:color="E0301E" w:themeColor="accent6"/>
        <w:left w:val="single" w:sz="8" w:space="0" w:color="E0301E" w:themeColor="accent6"/>
        <w:bottom w:val="single" w:sz="8" w:space="0" w:color="E0301E" w:themeColor="accent6"/>
        <w:right w:val="single" w:sz="8" w:space="0" w:color="E0301E"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0301E" w:themeFill="accent6"/>
      </w:tcPr>
    </w:tblStylePr>
    <w:tblStylePr w:type="lastRow">
      <w:pPr>
        <w:spacing w:before="0" w:after="0" w:line="240" w:lineRule="auto"/>
      </w:pPr>
      <w:rPr>
        <w:b/>
        <w:bCs/>
      </w:rPr>
      <w:tblPr/>
      <w:tcPr>
        <w:tcBorders>
          <w:top w:val="double" w:sz="6" w:space="0" w:color="E0301E" w:themeColor="accent6"/>
          <w:left w:val="single" w:sz="8" w:space="0" w:color="E0301E" w:themeColor="accent6"/>
          <w:bottom w:val="single" w:sz="8" w:space="0" w:color="E0301E" w:themeColor="accent6"/>
          <w:right w:val="single" w:sz="8" w:space="0" w:color="E0301E" w:themeColor="accent6"/>
        </w:tcBorders>
      </w:tcPr>
    </w:tblStylePr>
    <w:tblStylePr w:type="firstCol">
      <w:rPr>
        <w:b/>
        <w:bCs/>
      </w:rPr>
    </w:tblStylePr>
    <w:tblStylePr w:type="lastCol">
      <w:rPr>
        <w:b/>
        <w:bCs/>
      </w:rPr>
    </w:tblStylePr>
    <w:tblStylePr w:type="band1Vert">
      <w:tblPr/>
      <w:tcPr>
        <w:tcBorders>
          <w:top w:val="single" w:sz="8" w:space="0" w:color="E0301E" w:themeColor="accent6"/>
          <w:left w:val="single" w:sz="8" w:space="0" w:color="E0301E" w:themeColor="accent6"/>
          <w:bottom w:val="single" w:sz="8" w:space="0" w:color="E0301E" w:themeColor="accent6"/>
          <w:right w:val="single" w:sz="8" w:space="0" w:color="E0301E" w:themeColor="accent6"/>
        </w:tcBorders>
      </w:tcPr>
    </w:tblStylePr>
    <w:tblStylePr w:type="band1Horz">
      <w:tblPr/>
      <w:tcPr>
        <w:tcBorders>
          <w:top w:val="single" w:sz="8" w:space="0" w:color="E0301E" w:themeColor="accent6"/>
          <w:left w:val="single" w:sz="8" w:space="0" w:color="E0301E" w:themeColor="accent6"/>
          <w:bottom w:val="single" w:sz="8" w:space="0" w:color="E0301E" w:themeColor="accent6"/>
          <w:right w:val="single" w:sz="8" w:space="0" w:color="E0301E" w:themeColor="accent6"/>
        </w:tcBorders>
      </w:tcPr>
    </w:tblStylePr>
  </w:style>
  <w:style w:type="character" w:styleId="CommentReference">
    <w:name w:val="annotation reference"/>
    <w:basedOn w:val="DefaultParagraphFont"/>
    <w:uiPriority w:val="99"/>
    <w:semiHidden/>
    <w:unhideWhenUsed/>
    <w:rsid w:val="001E4BA5"/>
    <w:rPr>
      <w:sz w:val="16"/>
      <w:szCs w:val="16"/>
    </w:rPr>
  </w:style>
  <w:style w:type="paragraph" w:styleId="CommentText">
    <w:name w:val="annotation text"/>
    <w:aliases w:val=" Char3,Char3"/>
    <w:basedOn w:val="Normal"/>
    <w:link w:val="CommentTextChar"/>
    <w:unhideWhenUsed/>
    <w:rsid w:val="001E4BA5"/>
    <w:pPr>
      <w:spacing w:after="200" w:line="240" w:lineRule="auto"/>
    </w:pPr>
    <w:rPr>
      <w:rFonts w:ascii="Arial" w:hAnsi="Arial" w:cs="Arial"/>
      <w:lang w:val="pl-PL"/>
    </w:rPr>
  </w:style>
  <w:style w:type="character" w:customStyle="1" w:styleId="CommentTextChar">
    <w:name w:val="Comment Text Char"/>
    <w:aliases w:val=" Char3 Char,Char3 Char"/>
    <w:basedOn w:val="DefaultParagraphFont"/>
    <w:link w:val="CommentText"/>
    <w:rsid w:val="001E4BA5"/>
    <w:rPr>
      <w:rFonts w:ascii="Arial" w:hAnsi="Arial" w:cs="Arial"/>
      <w:lang w:val="pl-PL"/>
    </w:rPr>
  </w:style>
  <w:style w:type="paragraph" w:customStyle="1" w:styleId="naisf">
    <w:name w:val="naisf"/>
    <w:basedOn w:val="Normal"/>
    <w:rsid w:val="001E4BA5"/>
    <w:pPr>
      <w:spacing w:before="100" w:beforeAutospacing="1" w:after="100" w:afterAutospacing="1" w:line="240" w:lineRule="auto"/>
    </w:pPr>
    <w:rPr>
      <w:rFonts w:ascii="Times New Roman" w:eastAsia="Times New Roman" w:hAnsi="Times New Roman" w:cs="Times New Roman"/>
      <w:sz w:val="24"/>
      <w:szCs w:val="24"/>
      <w:lang w:val="lv-LV" w:eastAsia="lv-LV"/>
    </w:rPr>
  </w:style>
  <w:style w:type="paragraph" w:customStyle="1" w:styleId="ListAlpha">
    <w:name w:val="List Alpha"/>
    <w:basedOn w:val="Normal"/>
    <w:qFormat/>
    <w:rsid w:val="004C0374"/>
    <w:pPr>
      <w:numPr>
        <w:numId w:val="5"/>
      </w:numPr>
      <w:spacing w:before="60" w:after="60"/>
      <w:contextualSpacing/>
    </w:pPr>
    <w:rPr>
      <w:rFonts w:asciiTheme="minorHAnsi" w:eastAsiaTheme="minorEastAsia" w:hAnsiTheme="minorHAnsi"/>
      <w:szCs w:val="22"/>
      <w:lang w:val="en-US"/>
    </w:rPr>
  </w:style>
  <w:style w:type="paragraph" w:customStyle="1" w:styleId="ListAlpha2">
    <w:name w:val="List Alpha 2"/>
    <w:basedOn w:val="ListAlpha"/>
    <w:qFormat/>
    <w:rsid w:val="004C0374"/>
    <w:pPr>
      <w:numPr>
        <w:ilvl w:val="1"/>
      </w:numPr>
    </w:pPr>
  </w:style>
  <w:style w:type="paragraph" w:customStyle="1" w:styleId="ListAlpha3">
    <w:name w:val="List Alpha 3"/>
    <w:basedOn w:val="ListAlpha2"/>
    <w:qFormat/>
    <w:rsid w:val="004C0374"/>
    <w:pPr>
      <w:numPr>
        <w:ilvl w:val="2"/>
      </w:numPr>
    </w:pPr>
  </w:style>
  <w:style w:type="paragraph" w:customStyle="1" w:styleId="ListAlpha4">
    <w:name w:val="List Alpha 4"/>
    <w:basedOn w:val="ListAlpha3"/>
    <w:qFormat/>
    <w:rsid w:val="004C0374"/>
    <w:pPr>
      <w:numPr>
        <w:ilvl w:val="3"/>
      </w:numPr>
    </w:pPr>
  </w:style>
  <w:style w:type="paragraph" w:customStyle="1" w:styleId="ListAlpha5">
    <w:name w:val="List Alpha 5"/>
    <w:basedOn w:val="ListAlpha4"/>
    <w:qFormat/>
    <w:rsid w:val="004C0374"/>
    <w:pPr>
      <w:numPr>
        <w:ilvl w:val="4"/>
      </w:numPr>
    </w:pPr>
  </w:style>
  <w:style w:type="paragraph" w:customStyle="1" w:styleId="ListAlpha6">
    <w:name w:val="List Alpha 6"/>
    <w:basedOn w:val="ListAlpha5"/>
    <w:qFormat/>
    <w:rsid w:val="004C0374"/>
    <w:pPr>
      <w:numPr>
        <w:ilvl w:val="5"/>
      </w:numPr>
    </w:pPr>
  </w:style>
  <w:style w:type="paragraph" w:customStyle="1" w:styleId="ListAlpha7">
    <w:name w:val="List Alpha 7"/>
    <w:basedOn w:val="ListAlpha6"/>
    <w:qFormat/>
    <w:rsid w:val="004C0374"/>
    <w:pPr>
      <w:numPr>
        <w:ilvl w:val="6"/>
      </w:numPr>
    </w:pPr>
  </w:style>
  <w:style w:type="paragraph" w:customStyle="1" w:styleId="ListAlpha8">
    <w:name w:val="List Alpha 8"/>
    <w:basedOn w:val="ListAlpha7"/>
    <w:qFormat/>
    <w:rsid w:val="004C0374"/>
    <w:pPr>
      <w:numPr>
        <w:ilvl w:val="7"/>
      </w:numPr>
    </w:pPr>
  </w:style>
  <w:style w:type="paragraph" w:customStyle="1" w:styleId="ListAlpha9">
    <w:name w:val="List Alpha 9"/>
    <w:basedOn w:val="ListAlpha8"/>
    <w:qFormat/>
    <w:rsid w:val="004C0374"/>
    <w:pPr>
      <w:numPr>
        <w:ilvl w:val="8"/>
      </w:numPr>
    </w:pPr>
  </w:style>
  <w:style w:type="paragraph" w:styleId="NoSpacing">
    <w:name w:val="No Spacing"/>
    <w:uiPriority w:val="1"/>
    <w:qFormat/>
    <w:rsid w:val="004C0374"/>
    <w:pPr>
      <w:spacing w:after="0" w:line="240" w:lineRule="auto"/>
    </w:pPr>
    <w:rPr>
      <w:rFonts w:asciiTheme="majorHAnsi" w:eastAsiaTheme="minorEastAsia" w:hAnsiTheme="majorHAnsi"/>
      <w:color w:val="000000" w:themeColor="text1"/>
      <w:szCs w:val="22"/>
      <w:lang w:val="en-US"/>
    </w:rPr>
  </w:style>
  <w:style w:type="paragraph" w:customStyle="1" w:styleId="PageTitle">
    <w:name w:val="Page Title"/>
    <w:basedOn w:val="Heading1"/>
    <w:qFormat/>
    <w:rsid w:val="004C0374"/>
    <w:pPr>
      <w:keepLines w:val="0"/>
      <w:pageBreakBefore/>
      <w:numPr>
        <w:numId w:val="0"/>
      </w:numPr>
      <w:spacing w:line="0" w:lineRule="atLeast"/>
    </w:pPr>
    <w:rPr>
      <w:rFonts w:asciiTheme="minorHAnsi" w:hAnsiTheme="minorHAnsi"/>
      <w:sz w:val="48"/>
      <w:szCs w:val="48"/>
      <w:lang w:val="en-US"/>
    </w:rPr>
  </w:style>
  <w:style w:type="paragraph" w:customStyle="1" w:styleId="tv2131">
    <w:name w:val="tv2131"/>
    <w:basedOn w:val="Normal"/>
    <w:rsid w:val="00D34386"/>
    <w:pPr>
      <w:spacing w:before="240" w:after="0" w:line="360" w:lineRule="auto"/>
      <w:ind w:firstLine="316"/>
      <w:jc w:val="both"/>
    </w:pPr>
    <w:rPr>
      <w:rFonts w:ascii="Verdana" w:eastAsia="Times New Roman" w:hAnsi="Verdana" w:cs="Times New Roman"/>
      <w:sz w:val="19"/>
      <w:szCs w:val="19"/>
      <w:lang w:val="en-US"/>
    </w:rPr>
  </w:style>
  <w:style w:type="paragraph" w:customStyle="1" w:styleId="ISBodySubhead">
    <w:name w:val="IS Body Subhead"/>
    <w:basedOn w:val="ISBodyText"/>
    <w:next w:val="ISBodyText"/>
    <w:rsid w:val="00A26780"/>
    <w:pPr>
      <w:keepNext/>
      <w:spacing w:before="240"/>
    </w:pPr>
    <w:rPr>
      <w:b/>
      <w:bCs w:val="0"/>
      <w:i/>
      <w:iCs/>
      <w:sz w:val="24"/>
    </w:rPr>
  </w:style>
  <w:style w:type="paragraph" w:customStyle="1" w:styleId="ISBodyText">
    <w:name w:val="IS Body Text"/>
    <w:basedOn w:val="Normal"/>
    <w:link w:val="ISBodyTextChar"/>
    <w:uiPriority w:val="99"/>
    <w:rsid w:val="00A26780"/>
    <w:pPr>
      <w:overflowPunct w:val="0"/>
      <w:autoSpaceDE w:val="0"/>
      <w:autoSpaceDN w:val="0"/>
      <w:adjustRightInd w:val="0"/>
      <w:spacing w:before="60" w:after="60" w:line="240" w:lineRule="auto"/>
      <w:jc w:val="both"/>
      <w:textAlignment w:val="baseline"/>
    </w:pPr>
    <w:rPr>
      <w:rFonts w:ascii="Calibri" w:eastAsia="MS Mincho" w:hAnsi="Calibri" w:cs="Arial"/>
      <w:bCs/>
      <w:sz w:val="22"/>
      <w:szCs w:val="24"/>
      <w:lang w:val="lv-LV"/>
    </w:rPr>
  </w:style>
  <w:style w:type="table" w:customStyle="1" w:styleId="TableGridComplex">
    <w:name w:val="Table Grid Complex"/>
    <w:basedOn w:val="TableGrid"/>
    <w:rsid w:val="00A26780"/>
    <w:pPr>
      <w:spacing w:before="60" w:after="60"/>
    </w:pPr>
    <w:rPr>
      <w:rFonts w:ascii="Calibri" w:eastAsia="Arial Narrow" w:hAnsi="Calibri" w:cs="Arial Narrow"/>
      <w:sz w:val="24"/>
      <w:szCs w:val="24"/>
      <w:lang w:val="lv-LV" w:eastAsia="lv-LV"/>
    </w:rPr>
    <w:tblPr>
      <w:tblStyleRowBandSize w:val="1"/>
      <w:tblInd w:w="227" w:type="dxa"/>
      <w:tblBorders>
        <w:top w:val="single" w:sz="8" w:space="0" w:color="999999"/>
        <w:bottom w:val="single" w:sz="8" w:space="0" w:color="999999"/>
      </w:tblBorders>
      <w:tblCellMar>
        <w:top w:w="0" w:type="dxa"/>
        <w:left w:w="57" w:type="dxa"/>
        <w:bottom w:w="0" w:type="dxa"/>
        <w:right w:w="57" w:type="dxa"/>
      </w:tblCellMar>
    </w:tblPr>
    <w:tblStylePr w:type="firstRow">
      <w:rPr>
        <w:rFonts w:ascii="Tahoma" w:eastAsia="BatangChe" w:hAnsi="Tahoma" w:cs="BatangChe"/>
        <w:b/>
        <w:bCs/>
        <w:sz w:val="18"/>
      </w:rPr>
      <w:tblPr/>
      <w:tcPr>
        <w:tcBorders>
          <w:top w:val="single" w:sz="12" w:space="0" w:color="999999"/>
          <w:bottom w:val="single" w:sz="12" w:space="0" w:color="999999"/>
        </w:tcBorders>
        <w:shd w:val="clear" w:color="auto" w:fill="E6E6E6"/>
      </w:tcPr>
    </w:tblStylePr>
    <w:tblStylePr w:type="lastRow">
      <w:rPr>
        <w:rFonts w:ascii="Tahoma" w:eastAsia="Tahoma" w:hAnsi="Tahoma" w:cs="Tahoma"/>
        <w:sz w:val="18"/>
        <w:szCs w:val="18"/>
      </w:rPr>
      <w:tblPr/>
      <w:tcPr>
        <w:shd w:val="clear" w:color="auto" w:fill="E6E6E6"/>
      </w:tcPr>
    </w:tblStylePr>
    <w:tblStylePr w:type="firstCol">
      <w:rPr>
        <w:rFonts w:ascii="Tahoma" w:eastAsia="Tahoma" w:hAnsi="Tahoma" w:cs="Tahoma"/>
        <w:sz w:val="18"/>
        <w:szCs w:val="18"/>
      </w:rPr>
    </w:tblStylePr>
    <w:tblStylePr w:type="lastCol">
      <w:rPr>
        <w:rFonts w:ascii="Tahoma" w:eastAsia="Tahoma" w:hAnsi="Tahoma" w:cs="Tahoma"/>
        <w:sz w:val="18"/>
        <w:szCs w:val="18"/>
      </w:rPr>
      <w:tblPr/>
      <w:tcPr>
        <w:shd w:val="clear" w:color="auto" w:fill="E6E6E6"/>
      </w:tcPr>
    </w:tblStylePr>
    <w:tblStylePr w:type="band1Horz">
      <w:rPr>
        <w:rFonts w:ascii="Tahoma" w:hAnsi="Tahoma" w:cs="Tahoma"/>
        <w:sz w:val="18"/>
        <w:szCs w:val="18"/>
      </w:rPr>
      <w:tblPr/>
      <w:tcPr>
        <w:tcBorders>
          <w:top w:val="single" w:sz="8" w:space="0" w:color="999999"/>
          <w:bottom w:val="single" w:sz="8" w:space="0" w:color="999999"/>
          <w:insideH w:val="single" w:sz="8" w:space="0" w:color="999999"/>
        </w:tcBorders>
      </w:tcPr>
    </w:tblStylePr>
    <w:tblStylePr w:type="band2Horz">
      <w:rPr>
        <w:rFonts w:ascii="Tahoma" w:eastAsia="Tahoma" w:hAnsi="Tahoma" w:cs="Tahoma"/>
        <w:sz w:val="18"/>
        <w:szCs w:val="18"/>
      </w:rPr>
    </w:tblStylePr>
  </w:style>
  <w:style w:type="character" w:customStyle="1" w:styleId="ISBodyTextChar">
    <w:name w:val="IS Body Text Char"/>
    <w:basedOn w:val="DefaultParagraphFont"/>
    <w:link w:val="ISBodyText"/>
    <w:uiPriority w:val="99"/>
    <w:rsid w:val="00A26780"/>
    <w:rPr>
      <w:rFonts w:ascii="Calibri" w:eastAsia="MS Mincho" w:hAnsi="Calibri" w:cs="Arial"/>
      <w:bCs/>
      <w:sz w:val="22"/>
      <w:szCs w:val="24"/>
      <w:lang w:val="lv-LV"/>
    </w:rPr>
  </w:style>
  <w:style w:type="paragraph" w:customStyle="1" w:styleId="ISHeading3">
    <w:name w:val="IS Heading 3"/>
    <w:basedOn w:val="Normal"/>
    <w:next w:val="ISBodyText"/>
    <w:link w:val="ISHeading3Char"/>
    <w:uiPriority w:val="99"/>
    <w:rsid w:val="00A05250"/>
    <w:pPr>
      <w:keepNext/>
      <w:tabs>
        <w:tab w:val="num" w:pos="680"/>
        <w:tab w:val="num" w:pos="851"/>
        <w:tab w:val="num" w:pos="1701"/>
        <w:tab w:val="num" w:pos="1800"/>
        <w:tab w:val="num" w:pos="2520"/>
      </w:tabs>
      <w:spacing w:before="360" w:after="120" w:line="240" w:lineRule="auto"/>
      <w:ind w:left="680" w:hanging="226"/>
      <w:outlineLvl w:val="2"/>
    </w:pPr>
    <w:rPr>
      <w:rFonts w:ascii="Calibri" w:eastAsia="Times New Roman" w:hAnsi="Calibri" w:cs="Arial"/>
      <w:b/>
      <w:color w:val="C00000"/>
      <w:sz w:val="24"/>
      <w:szCs w:val="24"/>
      <w:lang w:val="lv-LV" w:eastAsia="lv-LV"/>
    </w:rPr>
  </w:style>
  <w:style w:type="paragraph" w:styleId="NormalWeb">
    <w:name w:val="Normal (Web)"/>
    <w:aliases w:val="sākums"/>
    <w:basedOn w:val="Normal"/>
    <w:uiPriority w:val="99"/>
    <w:qFormat/>
    <w:rsid w:val="00A05250"/>
    <w:pPr>
      <w:spacing w:before="120" w:line="360" w:lineRule="atLeast"/>
    </w:pPr>
    <w:rPr>
      <w:rFonts w:ascii="Arial Unicode MS" w:eastAsia="Times New Roman" w:hAnsi="Arial Unicode MS" w:cs="Arial Unicode MS"/>
      <w:color w:val="000000"/>
      <w:sz w:val="24"/>
      <w:szCs w:val="24"/>
      <w:lang w:val="lv-LV"/>
    </w:rPr>
  </w:style>
  <w:style w:type="character" w:customStyle="1" w:styleId="CaptionChar">
    <w:name w:val="Caption Char"/>
    <w:basedOn w:val="DefaultParagraphFont"/>
    <w:link w:val="Caption"/>
    <w:uiPriority w:val="99"/>
    <w:locked/>
    <w:rsid w:val="00A05250"/>
    <w:rPr>
      <w:rFonts w:eastAsia="Arial" w:cs="Times New Roman"/>
      <w:b/>
      <w:bCs/>
    </w:rPr>
  </w:style>
  <w:style w:type="character" w:customStyle="1" w:styleId="ISHeading3Char">
    <w:name w:val="IS Heading 3 Char"/>
    <w:basedOn w:val="DefaultParagraphFont"/>
    <w:link w:val="ISHeading3"/>
    <w:uiPriority w:val="99"/>
    <w:locked/>
    <w:rsid w:val="00A05250"/>
    <w:rPr>
      <w:rFonts w:ascii="Calibri" w:eastAsia="Times New Roman" w:hAnsi="Calibri" w:cs="Arial"/>
      <w:b/>
      <w:color w:val="C00000"/>
      <w:sz w:val="24"/>
      <w:szCs w:val="24"/>
      <w:lang w:val="lv-LV" w:eastAsia="lv-LV"/>
    </w:rPr>
  </w:style>
  <w:style w:type="paragraph" w:customStyle="1" w:styleId="ISHeading4">
    <w:name w:val="IS Heading 4"/>
    <w:basedOn w:val="ISHeading3"/>
    <w:uiPriority w:val="99"/>
    <w:rsid w:val="00A05250"/>
    <w:pPr>
      <w:numPr>
        <w:numId w:val="6"/>
      </w:numPr>
      <w:tabs>
        <w:tab w:val="clear" w:pos="926"/>
        <w:tab w:val="clear" w:pos="1800"/>
        <w:tab w:val="num" w:pos="907"/>
        <w:tab w:val="num" w:pos="1276"/>
        <w:tab w:val="num" w:pos="1430"/>
        <w:tab w:val="num" w:pos="2268"/>
        <w:tab w:val="num" w:pos="3600"/>
      </w:tabs>
      <w:ind w:left="1276" w:hanging="709"/>
      <w:outlineLvl w:val="3"/>
    </w:pPr>
    <w:rPr>
      <w:i/>
    </w:rPr>
  </w:style>
  <w:style w:type="paragraph" w:styleId="CommentSubject">
    <w:name w:val="annotation subject"/>
    <w:basedOn w:val="CommentText"/>
    <w:next w:val="CommentText"/>
    <w:link w:val="CommentSubjectChar"/>
    <w:unhideWhenUsed/>
    <w:rsid w:val="00AC3A93"/>
    <w:pPr>
      <w:spacing w:after="240"/>
    </w:pPr>
    <w:rPr>
      <w:rFonts w:ascii="Georgia" w:hAnsi="Georgia" w:cstheme="minorBidi"/>
      <w:b/>
      <w:bCs/>
      <w:lang w:val="en-GB"/>
    </w:rPr>
  </w:style>
  <w:style w:type="character" w:customStyle="1" w:styleId="CommentSubjectChar">
    <w:name w:val="Comment Subject Char"/>
    <w:basedOn w:val="CommentTextChar"/>
    <w:link w:val="CommentSubject"/>
    <w:rsid w:val="00AC3A93"/>
    <w:rPr>
      <w:rFonts w:ascii="Arial" w:hAnsi="Arial" w:cs="Arial"/>
      <w:b/>
      <w:bCs/>
      <w:lang w:val="pl-PL"/>
    </w:rPr>
  </w:style>
  <w:style w:type="paragraph" w:customStyle="1" w:styleId="ISCoverSubtitle">
    <w:name w:val="IS Cover Subtitle"/>
    <w:basedOn w:val="Heading2"/>
    <w:link w:val="ISCoverSubtitleChar"/>
    <w:uiPriority w:val="99"/>
    <w:rsid w:val="00E16E11"/>
    <w:pPr>
      <w:keepLines w:val="0"/>
      <w:widowControl w:val="0"/>
      <w:numPr>
        <w:ilvl w:val="0"/>
        <w:numId w:val="0"/>
      </w:numPr>
      <w:overflowPunct w:val="0"/>
      <w:autoSpaceDE w:val="0"/>
      <w:autoSpaceDN w:val="0"/>
      <w:adjustRightInd w:val="0"/>
      <w:spacing w:after="120"/>
      <w:ind w:left="142"/>
      <w:jc w:val="center"/>
      <w:textAlignment w:val="baseline"/>
    </w:pPr>
    <w:rPr>
      <w:rFonts w:ascii="Calibri" w:eastAsia="Times New Roman" w:hAnsi="Calibri" w:cs="Arial"/>
      <w:b w:val="0"/>
      <w:i w:val="0"/>
      <w:color w:val="auto"/>
      <w:sz w:val="36"/>
      <w:szCs w:val="36"/>
      <w:lang w:val="lv-LV"/>
    </w:rPr>
  </w:style>
  <w:style w:type="character" w:customStyle="1" w:styleId="ISCoverSubtitleChar">
    <w:name w:val="IS Cover Subtitle Char"/>
    <w:link w:val="ISCoverSubtitle"/>
    <w:uiPriority w:val="99"/>
    <w:locked/>
    <w:rsid w:val="00E16E11"/>
    <w:rPr>
      <w:rFonts w:ascii="Calibri" w:eastAsia="Times New Roman" w:hAnsi="Calibri" w:cs="Arial"/>
      <w:bCs/>
      <w:sz w:val="36"/>
      <w:szCs w:val="36"/>
      <w:lang w:val="lv-LV"/>
    </w:rPr>
  </w:style>
  <w:style w:type="character" w:customStyle="1" w:styleId="f3">
    <w:name w:val="f3"/>
    <w:basedOn w:val="DefaultParagraphFont"/>
    <w:rsid w:val="00BE7BA7"/>
    <w:rPr>
      <w:color w:val="666666"/>
    </w:rPr>
  </w:style>
  <w:style w:type="paragraph" w:styleId="BodyTextIndent">
    <w:name w:val="Body Text Indent"/>
    <w:basedOn w:val="Normal"/>
    <w:link w:val="BodyTextIndentChar"/>
    <w:unhideWhenUsed/>
    <w:rsid w:val="007A4F4F"/>
    <w:pPr>
      <w:spacing w:after="120"/>
      <w:ind w:left="283"/>
    </w:pPr>
  </w:style>
  <w:style w:type="character" w:customStyle="1" w:styleId="BodyTextIndentChar">
    <w:name w:val="Body Text Indent Char"/>
    <w:basedOn w:val="DefaultParagraphFont"/>
    <w:link w:val="BodyTextIndent"/>
    <w:rsid w:val="007A4F4F"/>
  </w:style>
  <w:style w:type="paragraph" w:customStyle="1" w:styleId="PPStils">
    <w:name w:val="PP Stils"/>
    <w:basedOn w:val="Normal"/>
    <w:rsid w:val="007A4F4F"/>
    <w:pPr>
      <w:spacing w:after="0" w:line="240" w:lineRule="auto"/>
    </w:pPr>
    <w:rPr>
      <w:rFonts w:ascii="Times New Roman" w:eastAsia="Times New Roman" w:hAnsi="Times New Roman" w:cs="Times New Roman"/>
      <w:b/>
      <w:sz w:val="24"/>
      <w:szCs w:val="28"/>
      <w:lang w:val="lv-LV" w:eastAsia="lv-LV"/>
    </w:rPr>
  </w:style>
  <w:style w:type="character" w:styleId="FollowedHyperlink">
    <w:name w:val="FollowedHyperlink"/>
    <w:uiPriority w:val="99"/>
    <w:semiHidden/>
    <w:unhideWhenUsed/>
    <w:rsid w:val="007A4F4F"/>
    <w:rPr>
      <w:color w:val="800080"/>
      <w:u w:val="single"/>
    </w:rPr>
  </w:style>
  <w:style w:type="character" w:customStyle="1" w:styleId="hps">
    <w:name w:val="hps"/>
    <w:basedOn w:val="DefaultParagraphFont"/>
    <w:rsid w:val="007A4F4F"/>
  </w:style>
  <w:style w:type="paragraph" w:styleId="EndnoteText">
    <w:name w:val="endnote text"/>
    <w:basedOn w:val="Normal"/>
    <w:link w:val="EndnoteTextChar"/>
    <w:semiHidden/>
    <w:rsid w:val="007A4F4F"/>
    <w:pPr>
      <w:spacing w:after="0" w:line="240" w:lineRule="auto"/>
    </w:pPr>
    <w:rPr>
      <w:rFonts w:ascii="Times New Roman" w:eastAsia="Times New Roman" w:hAnsi="Times New Roman" w:cs="Times New Roman"/>
      <w:lang w:val="lv-LV"/>
    </w:rPr>
  </w:style>
  <w:style w:type="character" w:customStyle="1" w:styleId="EndnoteTextChar">
    <w:name w:val="Endnote Text Char"/>
    <w:basedOn w:val="DefaultParagraphFont"/>
    <w:link w:val="EndnoteText"/>
    <w:semiHidden/>
    <w:rsid w:val="007A4F4F"/>
    <w:rPr>
      <w:rFonts w:ascii="Times New Roman" w:eastAsia="Times New Roman" w:hAnsi="Times New Roman" w:cs="Times New Roman"/>
      <w:lang w:val="lv-LV"/>
    </w:rPr>
  </w:style>
  <w:style w:type="character" w:customStyle="1" w:styleId="sadalasnosaukums1">
    <w:name w:val="sadalasnosaukums1"/>
    <w:rsid w:val="007A4F4F"/>
    <w:rPr>
      <w:color w:val="840017"/>
      <w:sz w:val="30"/>
      <w:szCs w:val="30"/>
    </w:rPr>
  </w:style>
  <w:style w:type="table" w:styleId="ColorfulList-Accent1">
    <w:name w:val="Colorful List Accent 1"/>
    <w:basedOn w:val="TableNormal"/>
    <w:uiPriority w:val="72"/>
    <w:rsid w:val="007A4F4F"/>
    <w:pPr>
      <w:spacing w:after="0" w:line="240" w:lineRule="auto"/>
    </w:pPr>
    <w:rPr>
      <w:rFonts w:ascii="Calibri" w:eastAsia="Calibri" w:hAnsi="Calibri" w:cs="Times New Roman"/>
      <w:color w:val="000000"/>
      <w:lang w:eastAsia="en-GB"/>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1">
    <w:name w:val="Colorful List1"/>
    <w:basedOn w:val="TableNormal"/>
    <w:uiPriority w:val="72"/>
    <w:rsid w:val="007A4F4F"/>
    <w:pPr>
      <w:spacing w:after="0" w:line="240" w:lineRule="auto"/>
    </w:pPr>
    <w:rPr>
      <w:rFonts w:ascii="Calibri" w:eastAsia="Calibri" w:hAnsi="Calibri" w:cs="Times New Roman"/>
      <w:color w:val="000000"/>
      <w:lang w:eastAsia="en-GB"/>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paragraph" w:customStyle="1" w:styleId="ColorfulList-Accent11">
    <w:name w:val="Colorful List - Accent 11"/>
    <w:basedOn w:val="Normal"/>
    <w:uiPriority w:val="34"/>
    <w:qFormat/>
    <w:rsid w:val="007A4F4F"/>
    <w:pPr>
      <w:spacing w:after="200" w:line="240" w:lineRule="auto"/>
      <w:ind w:left="-360" w:firstLine="360"/>
      <w:contextualSpacing/>
      <w:jc w:val="both"/>
    </w:pPr>
    <w:rPr>
      <w:rFonts w:ascii="Cambria" w:eastAsia="Calibri" w:hAnsi="Cambria" w:cs="Times New Roman"/>
      <w:bCs/>
      <w:sz w:val="24"/>
      <w:szCs w:val="24"/>
      <w:lang w:val="lv-LV"/>
    </w:rPr>
  </w:style>
  <w:style w:type="paragraph" w:styleId="Revision">
    <w:name w:val="Revision"/>
    <w:hidden/>
    <w:uiPriority w:val="99"/>
    <w:semiHidden/>
    <w:rsid w:val="007A4F4F"/>
    <w:pPr>
      <w:spacing w:after="0" w:line="240" w:lineRule="auto"/>
    </w:pPr>
    <w:rPr>
      <w:rFonts w:ascii="Calibri" w:eastAsia="Calibri" w:hAnsi="Calibri" w:cs="Times New Roman"/>
      <w:sz w:val="22"/>
      <w:szCs w:val="22"/>
      <w:lang w:val="lv-LV"/>
    </w:rPr>
  </w:style>
  <w:style w:type="character" w:customStyle="1" w:styleId="normal0020tablechar">
    <w:name w:val="normal_0020table__char"/>
    <w:basedOn w:val="DefaultParagraphFont"/>
    <w:rsid w:val="007A4F4F"/>
  </w:style>
  <w:style w:type="paragraph" w:customStyle="1" w:styleId="normal0020table">
    <w:name w:val="normal_0020table"/>
    <w:basedOn w:val="Normal"/>
    <w:rsid w:val="007A4F4F"/>
    <w:pPr>
      <w:spacing w:before="100" w:beforeAutospacing="1" w:after="100" w:afterAutospacing="1" w:line="240" w:lineRule="auto"/>
    </w:pPr>
    <w:rPr>
      <w:rFonts w:ascii="Times New Roman" w:eastAsia="Times New Roman" w:hAnsi="Times New Roman" w:cs="Times New Roman"/>
      <w:sz w:val="24"/>
      <w:szCs w:val="24"/>
      <w:lang w:val="lv-LV" w:eastAsia="lv-LV"/>
    </w:rPr>
  </w:style>
  <w:style w:type="character" w:customStyle="1" w:styleId="apple-converted-space">
    <w:name w:val="apple-converted-space"/>
    <w:basedOn w:val="DefaultParagraphFont"/>
    <w:rsid w:val="007A4F4F"/>
  </w:style>
  <w:style w:type="character" w:customStyle="1" w:styleId="ListParagraphChar">
    <w:name w:val="List Paragraph Char"/>
    <w:link w:val="ListParagraph"/>
    <w:uiPriority w:val="34"/>
    <w:locked/>
    <w:rsid w:val="007A4F4F"/>
    <w:rPr>
      <w:rFonts w:ascii="Times New Roman" w:eastAsia="Times New Roman" w:hAnsi="Times New Roman" w:cs="Times New Roman"/>
      <w:sz w:val="24"/>
      <w:lang w:eastAsia="lv-LV"/>
    </w:rPr>
  </w:style>
  <w:style w:type="table" w:styleId="LightShading-Accent1">
    <w:name w:val="Light Shading Accent 1"/>
    <w:basedOn w:val="TableNormal"/>
    <w:uiPriority w:val="60"/>
    <w:rsid w:val="007A4F4F"/>
    <w:pPr>
      <w:spacing w:after="0" w:line="240" w:lineRule="auto"/>
    </w:pPr>
    <w:rPr>
      <w:rFonts w:ascii="Calibri" w:eastAsia="Calibri" w:hAnsi="Calibri" w:cs="Times New Roman"/>
      <w:color w:val="365F91"/>
      <w:lang w:eastAsia="en-GB"/>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Shading2-Accent1">
    <w:name w:val="Medium Shading 2 Accent 1"/>
    <w:basedOn w:val="TableNormal"/>
    <w:uiPriority w:val="64"/>
    <w:rsid w:val="007A4F4F"/>
    <w:pPr>
      <w:spacing w:after="0" w:line="240" w:lineRule="auto"/>
    </w:pPr>
    <w:rPr>
      <w:rFonts w:ascii="Calibri" w:eastAsia="Calibri" w:hAnsi="Calibri" w:cs="Times New Roman"/>
      <w:lang w:eastAsia="en-GB"/>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1">
    <w:name w:val="Light List Accent 1"/>
    <w:basedOn w:val="TableNormal"/>
    <w:uiPriority w:val="61"/>
    <w:rsid w:val="007A4F4F"/>
    <w:pPr>
      <w:spacing w:after="0" w:line="240" w:lineRule="auto"/>
    </w:pPr>
    <w:rPr>
      <w:rFonts w:ascii="Calibri" w:eastAsia="Calibri" w:hAnsi="Calibri" w:cs="Times New Roman"/>
      <w:lang w:eastAsia="en-GB"/>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naislab">
    <w:name w:val="naislab"/>
    <w:basedOn w:val="Normal"/>
    <w:rsid w:val="007A4F4F"/>
    <w:pPr>
      <w:spacing w:before="75" w:after="75" w:line="240" w:lineRule="auto"/>
      <w:jc w:val="right"/>
    </w:pPr>
    <w:rPr>
      <w:rFonts w:ascii="Times New Roman" w:eastAsia="Times New Roman" w:hAnsi="Times New Roman" w:cs="Times New Roman"/>
      <w:sz w:val="24"/>
      <w:szCs w:val="24"/>
      <w:lang w:val="lv-LV" w:eastAsia="lv-LV"/>
    </w:rPr>
  </w:style>
  <w:style w:type="paragraph" w:customStyle="1" w:styleId="SLONormal">
    <w:name w:val="SLO Normal"/>
    <w:link w:val="SLONormalChar"/>
    <w:qFormat/>
    <w:rsid w:val="007A4F4F"/>
    <w:pPr>
      <w:spacing w:before="120" w:after="120" w:line="240" w:lineRule="auto"/>
      <w:jc w:val="both"/>
    </w:pPr>
    <w:rPr>
      <w:rFonts w:ascii="Times New Roman" w:eastAsia="Times New Roman" w:hAnsi="Times New Roman" w:cs="Times New Roman"/>
      <w:kern w:val="24"/>
      <w:sz w:val="22"/>
      <w:szCs w:val="24"/>
    </w:rPr>
  </w:style>
  <w:style w:type="character" w:customStyle="1" w:styleId="SLONormalChar">
    <w:name w:val="SLO Normal Char"/>
    <w:link w:val="SLONormal"/>
    <w:locked/>
    <w:rsid w:val="007A4F4F"/>
    <w:rPr>
      <w:rFonts w:ascii="Times New Roman" w:eastAsia="Times New Roman" w:hAnsi="Times New Roman" w:cs="Times New Roman"/>
      <w:kern w:val="24"/>
      <w:sz w:val="22"/>
      <w:szCs w:val="24"/>
    </w:rPr>
  </w:style>
  <w:style w:type="character" w:customStyle="1" w:styleId="iubsearch-contractname">
    <w:name w:val="iubsearch-contractname"/>
    <w:rsid w:val="007A4F4F"/>
  </w:style>
  <w:style w:type="character" w:customStyle="1" w:styleId="spelle">
    <w:name w:val="spelle"/>
    <w:rsid w:val="007A4F4F"/>
    <w:rPr>
      <w:rFonts w:cs="Times New Roman"/>
    </w:rPr>
  </w:style>
  <w:style w:type="table" w:styleId="LightShading-Accent2">
    <w:name w:val="Light Shading Accent 2"/>
    <w:basedOn w:val="TableNormal"/>
    <w:uiPriority w:val="60"/>
    <w:rsid w:val="007A4F4F"/>
    <w:pPr>
      <w:spacing w:after="0" w:line="240" w:lineRule="auto"/>
    </w:pPr>
    <w:rPr>
      <w:rFonts w:ascii="Calibri" w:eastAsia="Calibri" w:hAnsi="Calibri" w:cs="Times New Roman"/>
      <w:color w:val="943634"/>
      <w:lang w:eastAsia="en-GB"/>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character" w:customStyle="1" w:styleId="c20">
    <w:name w:val="c20"/>
    <w:rsid w:val="007A4F4F"/>
  </w:style>
  <w:style w:type="paragraph" w:customStyle="1" w:styleId="tv2068792">
    <w:name w:val="tv206_87_92"/>
    <w:basedOn w:val="Normal"/>
    <w:rsid w:val="007A4F4F"/>
    <w:pPr>
      <w:spacing w:before="100" w:beforeAutospacing="1" w:after="100" w:afterAutospacing="1" w:line="240" w:lineRule="auto"/>
    </w:pPr>
    <w:rPr>
      <w:rFonts w:ascii="Times New Roman" w:eastAsia="Times New Roman" w:hAnsi="Times New Roman" w:cs="Times New Roman"/>
      <w:sz w:val="24"/>
      <w:szCs w:val="24"/>
      <w:lang w:val="lv-LV" w:eastAsia="zh-CN"/>
    </w:rPr>
  </w:style>
  <w:style w:type="paragraph" w:customStyle="1" w:styleId="tv2078792">
    <w:name w:val="tv207_87_92"/>
    <w:basedOn w:val="Normal"/>
    <w:rsid w:val="007A4F4F"/>
    <w:pPr>
      <w:spacing w:before="100" w:beforeAutospacing="1" w:after="100" w:afterAutospacing="1" w:line="240" w:lineRule="auto"/>
    </w:pPr>
    <w:rPr>
      <w:rFonts w:ascii="Times New Roman" w:eastAsia="Times New Roman" w:hAnsi="Times New Roman" w:cs="Times New Roman"/>
      <w:sz w:val="24"/>
      <w:szCs w:val="24"/>
      <w:lang w:val="lv-LV" w:eastAsia="zh-CN"/>
    </w:rPr>
  </w:style>
  <w:style w:type="paragraph" w:customStyle="1" w:styleId="tv9008792">
    <w:name w:val="tv900_87_92"/>
    <w:basedOn w:val="Normal"/>
    <w:rsid w:val="007A4F4F"/>
    <w:pPr>
      <w:spacing w:before="100" w:beforeAutospacing="1" w:after="100" w:afterAutospacing="1" w:line="240" w:lineRule="auto"/>
    </w:pPr>
    <w:rPr>
      <w:rFonts w:ascii="Times New Roman" w:eastAsia="Times New Roman" w:hAnsi="Times New Roman" w:cs="Times New Roman"/>
      <w:sz w:val="24"/>
      <w:szCs w:val="24"/>
      <w:lang w:val="lv-LV" w:eastAsia="zh-CN"/>
    </w:rPr>
  </w:style>
  <w:style w:type="paragraph" w:customStyle="1" w:styleId="tv212">
    <w:name w:val="tv212"/>
    <w:basedOn w:val="Normal"/>
    <w:rsid w:val="007A4F4F"/>
    <w:pPr>
      <w:spacing w:before="100" w:beforeAutospacing="1" w:after="100" w:afterAutospacing="1" w:line="240" w:lineRule="auto"/>
    </w:pPr>
    <w:rPr>
      <w:rFonts w:ascii="Times New Roman" w:eastAsia="Times New Roman" w:hAnsi="Times New Roman" w:cs="Times New Roman"/>
      <w:sz w:val="24"/>
      <w:szCs w:val="24"/>
      <w:lang w:val="lv-LV" w:eastAsia="zh-CN"/>
    </w:rPr>
  </w:style>
  <w:style w:type="paragraph" w:customStyle="1" w:styleId="tv213">
    <w:name w:val="tv213"/>
    <w:basedOn w:val="Normal"/>
    <w:rsid w:val="007A4F4F"/>
    <w:pPr>
      <w:spacing w:before="100" w:beforeAutospacing="1" w:after="100" w:afterAutospacing="1" w:line="240" w:lineRule="auto"/>
    </w:pPr>
    <w:rPr>
      <w:rFonts w:ascii="Times New Roman" w:eastAsia="Times New Roman" w:hAnsi="Times New Roman" w:cs="Times New Roman"/>
      <w:sz w:val="24"/>
      <w:szCs w:val="24"/>
      <w:lang w:val="lv-LV" w:eastAsia="zh-CN"/>
    </w:rPr>
  </w:style>
  <w:style w:type="paragraph" w:customStyle="1" w:styleId="headcol">
    <w:name w:val="headcol"/>
    <w:basedOn w:val="Normal"/>
    <w:uiPriority w:val="99"/>
    <w:rsid w:val="007A4F4F"/>
    <w:pPr>
      <w:spacing w:before="100" w:beforeAutospacing="1" w:after="100" w:afterAutospacing="1" w:line="240" w:lineRule="auto"/>
    </w:pPr>
    <w:rPr>
      <w:rFonts w:ascii="Times New Roman" w:eastAsia="Times New Roman" w:hAnsi="Times New Roman" w:cs="Times New Roman"/>
      <w:color w:val="F0F8F8"/>
      <w:sz w:val="24"/>
      <w:szCs w:val="24"/>
      <w:lang w:val="lv-LV" w:eastAsia="lv-LV"/>
    </w:rPr>
  </w:style>
  <w:style w:type="paragraph" w:customStyle="1" w:styleId="Default">
    <w:name w:val="Default"/>
    <w:rsid w:val="007A4F4F"/>
    <w:pPr>
      <w:autoSpaceDE w:val="0"/>
      <w:autoSpaceDN w:val="0"/>
      <w:adjustRightInd w:val="0"/>
      <w:spacing w:after="0" w:line="240" w:lineRule="auto"/>
    </w:pPr>
    <w:rPr>
      <w:rFonts w:ascii="Arial" w:eastAsia="Calibri" w:hAnsi="Arial" w:cs="Arial"/>
      <w:color w:val="000000"/>
      <w:sz w:val="24"/>
      <w:szCs w:val="24"/>
      <w:lang w:val="lv-LV" w:eastAsia="lv-LV"/>
    </w:rPr>
  </w:style>
  <w:style w:type="paragraph" w:customStyle="1" w:styleId="Heading30">
    <w:name w:val="Heading3"/>
    <w:basedOn w:val="Normal"/>
    <w:next w:val="Normal"/>
    <w:qFormat/>
    <w:rsid w:val="004C51AE"/>
    <w:pPr>
      <w:spacing w:after="120" w:line="276" w:lineRule="auto"/>
    </w:pPr>
    <w:rPr>
      <w:rFonts w:ascii="Arial Narrow" w:eastAsia="Times New Roman" w:hAnsi="Arial Narrow" w:cs="Times New Roman"/>
      <w:b/>
      <w:sz w:val="22"/>
      <w:szCs w:val="22"/>
      <w:lang w:val="lv-LV"/>
    </w:rPr>
  </w:style>
  <w:style w:type="paragraph" w:customStyle="1" w:styleId="1Otraspakapesvirsraksti">
    <w:name w:val="1 Otras pakapes virsraksti"/>
    <w:basedOn w:val="Heading2"/>
    <w:qFormat/>
    <w:rsid w:val="004C51AE"/>
    <w:pPr>
      <w:keepLines w:val="0"/>
      <w:numPr>
        <w:ilvl w:val="0"/>
        <w:numId w:val="0"/>
      </w:numPr>
      <w:overflowPunct w:val="0"/>
      <w:autoSpaceDE w:val="0"/>
      <w:autoSpaceDN w:val="0"/>
      <w:adjustRightInd w:val="0"/>
      <w:spacing w:before="120" w:after="0" w:line="360" w:lineRule="auto"/>
      <w:textAlignment w:val="baseline"/>
    </w:pPr>
    <w:rPr>
      <w:rFonts w:ascii="Arial Narrow" w:eastAsia="Times New Roman" w:hAnsi="Arial Narrow" w:cs="Times New Roman"/>
      <w:bCs w:val="0"/>
      <w:i w:val="0"/>
      <w:color w:val="auto"/>
      <w:sz w:val="24"/>
      <w:szCs w:val="24"/>
      <w:lang w:val="lv-LV"/>
    </w:rPr>
  </w:style>
  <w:style w:type="paragraph" w:customStyle="1" w:styleId="1Pamatateksts">
    <w:name w:val="1 Pamata teksts"/>
    <w:basedOn w:val="BodyText"/>
    <w:qFormat/>
    <w:rsid w:val="004C51AE"/>
    <w:pPr>
      <w:overflowPunct w:val="0"/>
      <w:autoSpaceDE w:val="0"/>
      <w:autoSpaceDN w:val="0"/>
      <w:adjustRightInd w:val="0"/>
      <w:spacing w:before="120" w:after="0" w:line="360" w:lineRule="auto"/>
      <w:jc w:val="both"/>
      <w:textAlignment w:val="baseline"/>
    </w:pPr>
    <w:rPr>
      <w:rFonts w:ascii="Arial Narrow" w:eastAsia="Times New Roman" w:hAnsi="Arial Narrow" w:cs="Times New Roman"/>
      <w:sz w:val="22"/>
      <w:szCs w:val="22"/>
      <w:lang w:val="lv-LV"/>
    </w:rPr>
  </w:style>
  <w:style w:type="paragraph" w:styleId="HTMLPreformatted">
    <w:name w:val="HTML Preformatted"/>
    <w:basedOn w:val="Normal"/>
    <w:link w:val="HTMLPreformattedChar"/>
    <w:uiPriority w:val="99"/>
    <w:semiHidden/>
    <w:unhideWhenUsed/>
    <w:rsid w:val="004C5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val="lv-LV" w:eastAsia="lv-LV"/>
    </w:rPr>
  </w:style>
  <w:style w:type="character" w:customStyle="1" w:styleId="HTMLPreformattedChar">
    <w:name w:val="HTML Preformatted Char"/>
    <w:basedOn w:val="DefaultParagraphFont"/>
    <w:link w:val="HTMLPreformatted"/>
    <w:uiPriority w:val="99"/>
    <w:semiHidden/>
    <w:rsid w:val="004C51AE"/>
    <w:rPr>
      <w:rFonts w:ascii="Courier New" w:eastAsia="Times New Roman" w:hAnsi="Courier New" w:cs="Courier New"/>
      <w:lang w:val="lv-LV" w:eastAsia="lv-LV"/>
    </w:rPr>
  </w:style>
  <w:style w:type="paragraph" w:customStyle="1" w:styleId="Teksts">
    <w:name w:val="Teksts"/>
    <w:basedOn w:val="Normal"/>
    <w:rsid w:val="004C51AE"/>
    <w:pPr>
      <w:spacing w:after="0" w:line="240" w:lineRule="auto"/>
      <w:jc w:val="both"/>
    </w:pPr>
    <w:rPr>
      <w:rFonts w:ascii="Times New Roman" w:eastAsia="Times New Roman" w:hAnsi="Times New Roman" w:cs="Times New Roman"/>
      <w:sz w:val="24"/>
      <w:szCs w:val="24"/>
      <w:lang w:val="lv-LV"/>
    </w:rPr>
  </w:style>
  <w:style w:type="paragraph" w:styleId="BodyText2">
    <w:name w:val="Body Text 2"/>
    <w:basedOn w:val="Normal"/>
    <w:link w:val="BodyText2Char"/>
    <w:uiPriority w:val="99"/>
    <w:semiHidden/>
    <w:unhideWhenUsed/>
    <w:rsid w:val="004C51AE"/>
    <w:pPr>
      <w:spacing w:after="120" w:line="480" w:lineRule="auto"/>
    </w:pPr>
    <w:rPr>
      <w:rFonts w:asciiTheme="minorHAnsi" w:hAnsiTheme="minorHAnsi"/>
      <w:sz w:val="22"/>
      <w:szCs w:val="22"/>
      <w:lang w:val="lv-LV"/>
    </w:rPr>
  </w:style>
  <w:style w:type="character" w:customStyle="1" w:styleId="BodyText2Char">
    <w:name w:val="Body Text 2 Char"/>
    <w:basedOn w:val="DefaultParagraphFont"/>
    <w:link w:val="BodyText2"/>
    <w:uiPriority w:val="99"/>
    <w:semiHidden/>
    <w:rsid w:val="004C51AE"/>
    <w:rPr>
      <w:rFonts w:asciiTheme="minorHAnsi" w:hAnsiTheme="minorHAnsi"/>
      <w:sz w:val="22"/>
      <w:szCs w:val="22"/>
      <w:lang w:val="lv-LV"/>
    </w:rPr>
  </w:style>
  <w:style w:type="paragraph" w:styleId="BodyTextIndent3">
    <w:name w:val="Body Text Indent 3"/>
    <w:basedOn w:val="Normal"/>
    <w:link w:val="BodyTextIndent3Char"/>
    <w:uiPriority w:val="99"/>
    <w:semiHidden/>
    <w:unhideWhenUsed/>
    <w:rsid w:val="004C51AE"/>
    <w:pPr>
      <w:spacing w:after="120" w:line="259" w:lineRule="auto"/>
      <w:ind w:left="283"/>
    </w:pPr>
    <w:rPr>
      <w:rFonts w:asciiTheme="minorHAnsi" w:hAnsiTheme="minorHAnsi"/>
      <w:sz w:val="16"/>
      <w:szCs w:val="16"/>
      <w:lang w:val="lv-LV"/>
    </w:rPr>
  </w:style>
  <w:style w:type="character" w:customStyle="1" w:styleId="BodyTextIndent3Char">
    <w:name w:val="Body Text Indent 3 Char"/>
    <w:basedOn w:val="DefaultParagraphFont"/>
    <w:link w:val="BodyTextIndent3"/>
    <w:uiPriority w:val="99"/>
    <w:semiHidden/>
    <w:rsid w:val="004C51AE"/>
    <w:rPr>
      <w:rFonts w:asciiTheme="minorHAnsi" w:hAnsiTheme="minorHAnsi"/>
      <w:sz w:val="16"/>
      <w:szCs w:val="16"/>
      <w:lang w:val="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odyText">
    <w:name w:val="ISBullets"/>
    <w:pPr>
      <w:numPr>
        <w:numId w:val="7"/>
      </w:numPr>
    </w:pPr>
  </w:style>
  <w:style w:type="numbering" w:customStyle="1" w:styleId="BodyTextChar">
    <w:name w:val="PwCListNumbers1"/>
    <w:pPr>
      <w:numPr>
        <w:numId w:val="2"/>
      </w:numPr>
    </w:pPr>
  </w:style>
  <w:style w:type="numbering" w:customStyle="1" w:styleId="BodySingle">
    <w:name w:val="PwCListBullets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1284">
      <w:bodyDiv w:val="1"/>
      <w:marLeft w:val="0"/>
      <w:marRight w:val="0"/>
      <w:marTop w:val="0"/>
      <w:marBottom w:val="0"/>
      <w:divBdr>
        <w:top w:val="none" w:sz="0" w:space="0" w:color="auto"/>
        <w:left w:val="none" w:sz="0" w:space="0" w:color="auto"/>
        <w:bottom w:val="none" w:sz="0" w:space="0" w:color="auto"/>
        <w:right w:val="none" w:sz="0" w:space="0" w:color="auto"/>
      </w:divBdr>
    </w:div>
    <w:div w:id="16201877">
      <w:bodyDiv w:val="1"/>
      <w:marLeft w:val="0"/>
      <w:marRight w:val="0"/>
      <w:marTop w:val="0"/>
      <w:marBottom w:val="0"/>
      <w:divBdr>
        <w:top w:val="none" w:sz="0" w:space="0" w:color="auto"/>
        <w:left w:val="none" w:sz="0" w:space="0" w:color="auto"/>
        <w:bottom w:val="none" w:sz="0" w:space="0" w:color="auto"/>
        <w:right w:val="none" w:sz="0" w:space="0" w:color="auto"/>
      </w:divBdr>
    </w:div>
    <w:div w:id="21708224">
      <w:bodyDiv w:val="1"/>
      <w:marLeft w:val="0"/>
      <w:marRight w:val="0"/>
      <w:marTop w:val="0"/>
      <w:marBottom w:val="0"/>
      <w:divBdr>
        <w:top w:val="none" w:sz="0" w:space="0" w:color="auto"/>
        <w:left w:val="none" w:sz="0" w:space="0" w:color="auto"/>
        <w:bottom w:val="none" w:sz="0" w:space="0" w:color="auto"/>
        <w:right w:val="none" w:sz="0" w:space="0" w:color="auto"/>
      </w:divBdr>
      <w:divsChild>
        <w:div w:id="1366634853">
          <w:marLeft w:val="864"/>
          <w:marRight w:val="0"/>
          <w:marTop w:val="0"/>
          <w:marBottom w:val="180"/>
          <w:divBdr>
            <w:top w:val="none" w:sz="0" w:space="0" w:color="auto"/>
            <w:left w:val="none" w:sz="0" w:space="0" w:color="auto"/>
            <w:bottom w:val="none" w:sz="0" w:space="0" w:color="auto"/>
            <w:right w:val="none" w:sz="0" w:space="0" w:color="auto"/>
          </w:divBdr>
        </w:div>
        <w:div w:id="1862475141">
          <w:marLeft w:val="864"/>
          <w:marRight w:val="0"/>
          <w:marTop w:val="0"/>
          <w:marBottom w:val="180"/>
          <w:divBdr>
            <w:top w:val="none" w:sz="0" w:space="0" w:color="auto"/>
            <w:left w:val="none" w:sz="0" w:space="0" w:color="auto"/>
            <w:bottom w:val="none" w:sz="0" w:space="0" w:color="auto"/>
            <w:right w:val="none" w:sz="0" w:space="0" w:color="auto"/>
          </w:divBdr>
        </w:div>
        <w:div w:id="1962346959">
          <w:marLeft w:val="864"/>
          <w:marRight w:val="0"/>
          <w:marTop w:val="0"/>
          <w:marBottom w:val="180"/>
          <w:divBdr>
            <w:top w:val="none" w:sz="0" w:space="0" w:color="auto"/>
            <w:left w:val="none" w:sz="0" w:space="0" w:color="auto"/>
            <w:bottom w:val="none" w:sz="0" w:space="0" w:color="auto"/>
            <w:right w:val="none" w:sz="0" w:space="0" w:color="auto"/>
          </w:divBdr>
        </w:div>
      </w:divsChild>
    </w:div>
    <w:div w:id="205484248">
      <w:bodyDiv w:val="1"/>
      <w:marLeft w:val="0"/>
      <w:marRight w:val="0"/>
      <w:marTop w:val="0"/>
      <w:marBottom w:val="0"/>
      <w:divBdr>
        <w:top w:val="none" w:sz="0" w:space="0" w:color="auto"/>
        <w:left w:val="none" w:sz="0" w:space="0" w:color="auto"/>
        <w:bottom w:val="none" w:sz="0" w:space="0" w:color="auto"/>
        <w:right w:val="none" w:sz="0" w:space="0" w:color="auto"/>
      </w:divBdr>
    </w:div>
    <w:div w:id="282881584">
      <w:bodyDiv w:val="1"/>
      <w:marLeft w:val="0"/>
      <w:marRight w:val="0"/>
      <w:marTop w:val="0"/>
      <w:marBottom w:val="0"/>
      <w:divBdr>
        <w:top w:val="none" w:sz="0" w:space="0" w:color="auto"/>
        <w:left w:val="none" w:sz="0" w:space="0" w:color="auto"/>
        <w:bottom w:val="none" w:sz="0" w:space="0" w:color="auto"/>
        <w:right w:val="none" w:sz="0" w:space="0" w:color="auto"/>
      </w:divBdr>
    </w:div>
    <w:div w:id="442073051">
      <w:bodyDiv w:val="1"/>
      <w:marLeft w:val="0"/>
      <w:marRight w:val="0"/>
      <w:marTop w:val="0"/>
      <w:marBottom w:val="0"/>
      <w:divBdr>
        <w:top w:val="none" w:sz="0" w:space="0" w:color="auto"/>
        <w:left w:val="none" w:sz="0" w:space="0" w:color="auto"/>
        <w:bottom w:val="none" w:sz="0" w:space="0" w:color="auto"/>
        <w:right w:val="none" w:sz="0" w:space="0" w:color="auto"/>
      </w:divBdr>
    </w:div>
    <w:div w:id="569272857">
      <w:bodyDiv w:val="1"/>
      <w:marLeft w:val="0"/>
      <w:marRight w:val="0"/>
      <w:marTop w:val="0"/>
      <w:marBottom w:val="0"/>
      <w:divBdr>
        <w:top w:val="none" w:sz="0" w:space="0" w:color="auto"/>
        <w:left w:val="none" w:sz="0" w:space="0" w:color="auto"/>
        <w:bottom w:val="none" w:sz="0" w:space="0" w:color="auto"/>
        <w:right w:val="none" w:sz="0" w:space="0" w:color="auto"/>
      </w:divBdr>
    </w:div>
    <w:div w:id="601188288">
      <w:bodyDiv w:val="1"/>
      <w:marLeft w:val="0"/>
      <w:marRight w:val="0"/>
      <w:marTop w:val="0"/>
      <w:marBottom w:val="0"/>
      <w:divBdr>
        <w:top w:val="none" w:sz="0" w:space="0" w:color="auto"/>
        <w:left w:val="none" w:sz="0" w:space="0" w:color="auto"/>
        <w:bottom w:val="none" w:sz="0" w:space="0" w:color="auto"/>
        <w:right w:val="none" w:sz="0" w:space="0" w:color="auto"/>
      </w:divBdr>
    </w:div>
    <w:div w:id="685600946">
      <w:bodyDiv w:val="1"/>
      <w:marLeft w:val="0"/>
      <w:marRight w:val="0"/>
      <w:marTop w:val="0"/>
      <w:marBottom w:val="0"/>
      <w:divBdr>
        <w:top w:val="none" w:sz="0" w:space="0" w:color="auto"/>
        <w:left w:val="none" w:sz="0" w:space="0" w:color="auto"/>
        <w:bottom w:val="none" w:sz="0" w:space="0" w:color="auto"/>
        <w:right w:val="none" w:sz="0" w:space="0" w:color="auto"/>
      </w:divBdr>
    </w:div>
    <w:div w:id="716273248">
      <w:bodyDiv w:val="1"/>
      <w:marLeft w:val="0"/>
      <w:marRight w:val="0"/>
      <w:marTop w:val="0"/>
      <w:marBottom w:val="0"/>
      <w:divBdr>
        <w:top w:val="none" w:sz="0" w:space="0" w:color="auto"/>
        <w:left w:val="none" w:sz="0" w:space="0" w:color="auto"/>
        <w:bottom w:val="none" w:sz="0" w:space="0" w:color="auto"/>
        <w:right w:val="none" w:sz="0" w:space="0" w:color="auto"/>
      </w:divBdr>
    </w:div>
    <w:div w:id="783229021">
      <w:bodyDiv w:val="1"/>
      <w:marLeft w:val="0"/>
      <w:marRight w:val="0"/>
      <w:marTop w:val="0"/>
      <w:marBottom w:val="0"/>
      <w:divBdr>
        <w:top w:val="none" w:sz="0" w:space="0" w:color="auto"/>
        <w:left w:val="none" w:sz="0" w:space="0" w:color="auto"/>
        <w:bottom w:val="none" w:sz="0" w:space="0" w:color="auto"/>
        <w:right w:val="none" w:sz="0" w:space="0" w:color="auto"/>
      </w:divBdr>
    </w:div>
    <w:div w:id="786658693">
      <w:bodyDiv w:val="1"/>
      <w:marLeft w:val="0"/>
      <w:marRight w:val="0"/>
      <w:marTop w:val="0"/>
      <w:marBottom w:val="0"/>
      <w:divBdr>
        <w:top w:val="none" w:sz="0" w:space="0" w:color="auto"/>
        <w:left w:val="none" w:sz="0" w:space="0" w:color="auto"/>
        <w:bottom w:val="none" w:sz="0" w:space="0" w:color="auto"/>
        <w:right w:val="none" w:sz="0" w:space="0" w:color="auto"/>
      </w:divBdr>
    </w:div>
    <w:div w:id="857964455">
      <w:bodyDiv w:val="1"/>
      <w:marLeft w:val="0"/>
      <w:marRight w:val="0"/>
      <w:marTop w:val="0"/>
      <w:marBottom w:val="0"/>
      <w:divBdr>
        <w:top w:val="none" w:sz="0" w:space="0" w:color="auto"/>
        <w:left w:val="none" w:sz="0" w:space="0" w:color="auto"/>
        <w:bottom w:val="none" w:sz="0" w:space="0" w:color="auto"/>
        <w:right w:val="none" w:sz="0" w:space="0" w:color="auto"/>
      </w:divBdr>
    </w:div>
    <w:div w:id="937061510">
      <w:bodyDiv w:val="1"/>
      <w:marLeft w:val="0"/>
      <w:marRight w:val="0"/>
      <w:marTop w:val="0"/>
      <w:marBottom w:val="0"/>
      <w:divBdr>
        <w:top w:val="none" w:sz="0" w:space="0" w:color="auto"/>
        <w:left w:val="none" w:sz="0" w:space="0" w:color="auto"/>
        <w:bottom w:val="none" w:sz="0" w:space="0" w:color="auto"/>
        <w:right w:val="none" w:sz="0" w:space="0" w:color="auto"/>
      </w:divBdr>
    </w:div>
    <w:div w:id="1045718927">
      <w:bodyDiv w:val="1"/>
      <w:marLeft w:val="0"/>
      <w:marRight w:val="0"/>
      <w:marTop w:val="0"/>
      <w:marBottom w:val="0"/>
      <w:divBdr>
        <w:top w:val="none" w:sz="0" w:space="0" w:color="auto"/>
        <w:left w:val="none" w:sz="0" w:space="0" w:color="auto"/>
        <w:bottom w:val="none" w:sz="0" w:space="0" w:color="auto"/>
        <w:right w:val="none" w:sz="0" w:space="0" w:color="auto"/>
      </w:divBdr>
    </w:div>
    <w:div w:id="1059787048">
      <w:bodyDiv w:val="1"/>
      <w:marLeft w:val="0"/>
      <w:marRight w:val="0"/>
      <w:marTop w:val="0"/>
      <w:marBottom w:val="0"/>
      <w:divBdr>
        <w:top w:val="none" w:sz="0" w:space="0" w:color="auto"/>
        <w:left w:val="none" w:sz="0" w:space="0" w:color="auto"/>
        <w:bottom w:val="none" w:sz="0" w:space="0" w:color="auto"/>
        <w:right w:val="none" w:sz="0" w:space="0" w:color="auto"/>
      </w:divBdr>
    </w:div>
    <w:div w:id="1091272018">
      <w:bodyDiv w:val="1"/>
      <w:marLeft w:val="0"/>
      <w:marRight w:val="0"/>
      <w:marTop w:val="0"/>
      <w:marBottom w:val="0"/>
      <w:divBdr>
        <w:top w:val="none" w:sz="0" w:space="0" w:color="auto"/>
        <w:left w:val="none" w:sz="0" w:space="0" w:color="auto"/>
        <w:bottom w:val="none" w:sz="0" w:space="0" w:color="auto"/>
        <w:right w:val="none" w:sz="0" w:space="0" w:color="auto"/>
      </w:divBdr>
    </w:div>
    <w:div w:id="1096291092">
      <w:bodyDiv w:val="1"/>
      <w:marLeft w:val="0"/>
      <w:marRight w:val="0"/>
      <w:marTop w:val="0"/>
      <w:marBottom w:val="0"/>
      <w:divBdr>
        <w:top w:val="none" w:sz="0" w:space="0" w:color="auto"/>
        <w:left w:val="none" w:sz="0" w:space="0" w:color="auto"/>
        <w:bottom w:val="none" w:sz="0" w:space="0" w:color="auto"/>
        <w:right w:val="none" w:sz="0" w:space="0" w:color="auto"/>
      </w:divBdr>
    </w:div>
    <w:div w:id="1137264523">
      <w:bodyDiv w:val="1"/>
      <w:marLeft w:val="0"/>
      <w:marRight w:val="0"/>
      <w:marTop w:val="0"/>
      <w:marBottom w:val="0"/>
      <w:divBdr>
        <w:top w:val="none" w:sz="0" w:space="0" w:color="auto"/>
        <w:left w:val="none" w:sz="0" w:space="0" w:color="auto"/>
        <w:bottom w:val="none" w:sz="0" w:space="0" w:color="auto"/>
        <w:right w:val="none" w:sz="0" w:space="0" w:color="auto"/>
      </w:divBdr>
    </w:div>
    <w:div w:id="1235431604">
      <w:bodyDiv w:val="1"/>
      <w:marLeft w:val="0"/>
      <w:marRight w:val="0"/>
      <w:marTop w:val="0"/>
      <w:marBottom w:val="0"/>
      <w:divBdr>
        <w:top w:val="none" w:sz="0" w:space="0" w:color="auto"/>
        <w:left w:val="none" w:sz="0" w:space="0" w:color="auto"/>
        <w:bottom w:val="none" w:sz="0" w:space="0" w:color="auto"/>
        <w:right w:val="none" w:sz="0" w:space="0" w:color="auto"/>
      </w:divBdr>
    </w:div>
    <w:div w:id="1256284906">
      <w:bodyDiv w:val="1"/>
      <w:marLeft w:val="0"/>
      <w:marRight w:val="0"/>
      <w:marTop w:val="0"/>
      <w:marBottom w:val="0"/>
      <w:divBdr>
        <w:top w:val="none" w:sz="0" w:space="0" w:color="auto"/>
        <w:left w:val="none" w:sz="0" w:space="0" w:color="auto"/>
        <w:bottom w:val="none" w:sz="0" w:space="0" w:color="auto"/>
        <w:right w:val="none" w:sz="0" w:space="0" w:color="auto"/>
      </w:divBdr>
      <w:divsChild>
        <w:div w:id="315375861">
          <w:marLeft w:val="864"/>
          <w:marRight w:val="0"/>
          <w:marTop w:val="0"/>
          <w:marBottom w:val="180"/>
          <w:divBdr>
            <w:top w:val="none" w:sz="0" w:space="0" w:color="auto"/>
            <w:left w:val="none" w:sz="0" w:space="0" w:color="auto"/>
            <w:bottom w:val="none" w:sz="0" w:space="0" w:color="auto"/>
            <w:right w:val="none" w:sz="0" w:space="0" w:color="auto"/>
          </w:divBdr>
        </w:div>
        <w:div w:id="563027391">
          <w:marLeft w:val="864"/>
          <w:marRight w:val="0"/>
          <w:marTop w:val="0"/>
          <w:marBottom w:val="180"/>
          <w:divBdr>
            <w:top w:val="none" w:sz="0" w:space="0" w:color="auto"/>
            <w:left w:val="none" w:sz="0" w:space="0" w:color="auto"/>
            <w:bottom w:val="none" w:sz="0" w:space="0" w:color="auto"/>
            <w:right w:val="none" w:sz="0" w:space="0" w:color="auto"/>
          </w:divBdr>
        </w:div>
        <w:div w:id="1813936290">
          <w:marLeft w:val="864"/>
          <w:marRight w:val="0"/>
          <w:marTop w:val="0"/>
          <w:marBottom w:val="180"/>
          <w:divBdr>
            <w:top w:val="none" w:sz="0" w:space="0" w:color="auto"/>
            <w:left w:val="none" w:sz="0" w:space="0" w:color="auto"/>
            <w:bottom w:val="none" w:sz="0" w:space="0" w:color="auto"/>
            <w:right w:val="none" w:sz="0" w:space="0" w:color="auto"/>
          </w:divBdr>
        </w:div>
      </w:divsChild>
    </w:div>
    <w:div w:id="1285425313">
      <w:bodyDiv w:val="1"/>
      <w:marLeft w:val="0"/>
      <w:marRight w:val="0"/>
      <w:marTop w:val="0"/>
      <w:marBottom w:val="0"/>
      <w:divBdr>
        <w:top w:val="none" w:sz="0" w:space="0" w:color="auto"/>
        <w:left w:val="none" w:sz="0" w:space="0" w:color="auto"/>
        <w:bottom w:val="none" w:sz="0" w:space="0" w:color="auto"/>
        <w:right w:val="none" w:sz="0" w:space="0" w:color="auto"/>
      </w:divBdr>
    </w:div>
    <w:div w:id="1331329883">
      <w:bodyDiv w:val="1"/>
      <w:marLeft w:val="0"/>
      <w:marRight w:val="0"/>
      <w:marTop w:val="0"/>
      <w:marBottom w:val="0"/>
      <w:divBdr>
        <w:top w:val="none" w:sz="0" w:space="0" w:color="auto"/>
        <w:left w:val="none" w:sz="0" w:space="0" w:color="auto"/>
        <w:bottom w:val="none" w:sz="0" w:space="0" w:color="auto"/>
        <w:right w:val="none" w:sz="0" w:space="0" w:color="auto"/>
      </w:divBdr>
    </w:div>
    <w:div w:id="1350523105">
      <w:bodyDiv w:val="1"/>
      <w:marLeft w:val="0"/>
      <w:marRight w:val="0"/>
      <w:marTop w:val="0"/>
      <w:marBottom w:val="0"/>
      <w:divBdr>
        <w:top w:val="none" w:sz="0" w:space="0" w:color="auto"/>
        <w:left w:val="none" w:sz="0" w:space="0" w:color="auto"/>
        <w:bottom w:val="none" w:sz="0" w:space="0" w:color="auto"/>
        <w:right w:val="none" w:sz="0" w:space="0" w:color="auto"/>
      </w:divBdr>
    </w:div>
    <w:div w:id="1368481572">
      <w:bodyDiv w:val="1"/>
      <w:marLeft w:val="0"/>
      <w:marRight w:val="0"/>
      <w:marTop w:val="0"/>
      <w:marBottom w:val="0"/>
      <w:divBdr>
        <w:top w:val="none" w:sz="0" w:space="0" w:color="auto"/>
        <w:left w:val="none" w:sz="0" w:space="0" w:color="auto"/>
        <w:bottom w:val="none" w:sz="0" w:space="0" w:color="auto"/>
        <w:right w:val="none" w:sz="0" w:space="0" w:color="auto"/>
      </w:divBdr>
    </w:div>
    <w:div w:id="1493717167">
      <w:bodyDiv w:val="1"/>
      <w:marLeft w:val="0"/>
      <w:marRight w:val="0"/>
      <w:marTop w:val="0"/>
      <w:marBottom w:val="0"/>
      <w:divBdr>
        <w:top w:val="none" w:sz="0" w:space="0" w:color="auto"/>
        <w:left w:val="none" w:sz="0" w:space="0" w:color="auto"/>
        <w:bottom w:val="none" w:sz="0" w:space="0" w:color="auto"/>
        <w:right w:val="none" w:sz="0" w:space="0" w:color="auto"/>
      </w:divBdr>
      <w:divsChild>
        <w:div w:id="1167020720">
          <w:marLeft w:val="0"/>
          <w:marRight w:val="0"/>
          <w:marTop w:val="0"/>
          <w:marBottom w:val="0"/>
          <w:divBdr>
            <w:top w:val="none" w:sz="0" w:space="0" w:color="auto"/>
            <w:left w:val="single" w:sz="18" w:space="5" w:color="FFFFFF"/>
            <w:bottom w:val="none" w:sz="0" w:space="0" w:color="auto"/>
            <w:right w:val="single" w:sz="18" w:space="5" w:color="FFFFFF"/>
          </w:divBdr>
          <w:divsChild>
            <w:div w:id="1989937164">
              <w:marLeft w:val="300"/>
              <w:marRight w:val="225"/>
              <w:marTop w:val="0"/>
              <w:marBottom w:val="0"/>
              <w:divBdr>
                <w:top w:val="none" w:sz="0" w:space="0" w:color="auto"/>
                <w:left w:val="none" w:sz="0" w:space="0" w:color="auto"/>
                <w:bottom w:val="none" w:sz="0" w:space="0" w:color="auto"/>
                <w:right w:val="none" w:sz="0" w:space="0" w:color="auto"/>
              </w:divBdr>
              <w:divsChild>
                <w:div w:id="71860009">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1520394023">
      <w:bodyDiv w:val="1"/>
      <w:marLeft w:val="0"/>
      <w:marRight w:val="0"/>
      <w:marTop w:val="0"/>
      <w:marBottom w:val="0"/>
      <w:divBdr>
        <w:top w:val="none" w:sz="0" w:space="0" w:color="auto"/>
        <w:left w:val="none" w:sz="0" w:space="0" w:color="auto"/>
        <w:bottom w:val="none" w:sz="0" w:space="0" w:color="auto"/>
        <w:right w:val="none" w:sz="0" w:space="0" w:color="auto"/>
      </w:divBdr>
    </w:div>
    <w:div w:id="1561789315">
      <w:bodyDiv w:val="1"/>
      <w:marLeft w:val="0"/>
      <w:marRight w:val="0"/>
      <w:marTop w:val="0"/>
      <w:marBottom w:val="0"/>
      <w:divBdr>
        <w:top w:val="none" w:sz="0" w:space="0" w:color="auto"/>
        <w:left w:val="none" w:sz="0" w:space="0" w:color="auto"/>
        <w:bottom w:val="none" w:sz="0" w:space="0" w:color="auto"/>
        <w:right w:val="none" w:sz="0" w:space="0" w:color="auto"/>
      </w:divBdr>
    </w:div>
    <w:div w:id="1745491419">
      <w:bodyDiv w:val="1"/>
      <w:marLeft w:val="0"/>
      <w:marRight w:val="0"/>
      <w:marTop w:val="0"/>
      <w:marBottom w:val="0"/>
      <w:divBdr>
        <w:top w:val="none" w:sz="0" w:space="0" w:color="auto"/>
        <w:left w:val="none" w:sz="0" w:space="0" w:color="auto"/>
        <w:bottom w:val="none" w:sz="0" w:space="0" w:color="auto"/>
        <w:right w:val="none" w:sz="0" w:space="0" w:color="auto"/>
      </w:divBdr>
    </w:div>
    <w:div w:id="1797213120">
      <w:bodyDiv w:val="1"/>
      <w:marLeft w:val="0"/>
      <w:marRight w:val="0"/>
      <w:marTop w:val="0"/>
      <w:marBottom w:val="0"/>
      <w:divBdr>
        <w:top w:val="none" w:sz="0" w:space="0" w:color="auto"/>
        <w:left w:val="none" w:sz="0" w:space="0" w:color="auto"/>
        <w:bottom w:val="none" w:sz="0" w:space="0" w:color="auto"/>
        <w:right w:val="none" w:sz="0" w:space="0" w:color="auto"/>
      </w:divBdr>
    </w:div>
    <w:div w:id="1839690340">
      <w:bodyDiv w:val="1"/>
      <w:marLeft w:val="0"/>
      <w:marRight w:val="0"/>
      <w:marTop w:val="0"/>
      <w:marBottom w:val="0"/>
      <w:divBdr>
        <w:top w:val="none" w:sz="0" w:space="0" w:color="auto"/>
        <w:left w:val="none" w:sz="0" w:space="0" w:color="auto"/>
        <w:bottom w:val="none" w:sz="0" w:space="0" w:color="auto"/>
        <w:right w:val="none" w:sz="0" w:space="0" w:color="auto"/>
      </w:divBdr>
    </w:div>
    <w:div w:id="1843468250">
      <w:bodyDiv w:val="1"/>
      <w:marLeft w:val="0"/>
      <w:marRight w:val="0"/>
      <w:marTop w:val="0"/>
      <w:marBottom w:val="0"/>
      <w:divBdr>
        <w:top w:val="none" w:sz="0" w:space="0" w:color="auto"/>
        <w:left w:val="none" w:sz="0" w:space="0" w:color="auto"/>
        <w:bottom w:val="none" w:sz="0" w:space="0" w:color="auto"/>
        <w:right w:val="none" w:sz="0" w:space="0" w:color="auto"/>
      </w:divBdr>
    </w:div>
    <w:div w:id="1871332626">
      <w:bodyDiv w:val="1"/>
      <w:marLeft w:val="0"/>
      <w:marRight w:val="0"/>
      <w:marTop w:val="0"/>
      <w:marBottom w:val="0"/>
      <w:divBdr>
        <w:top w:val="none" w:sz="0" w:space="0" w:color="auto"/>
        <w:left w:val="none" w:sz="0" w:space="0" w:color="auto"/>
        <w:bottom w:val="none" w:sz="0" w:space="0" w:color="auto"/>
        <w:right w:val="none" w:sz="0" w:space="0" w:color="auto"/>
      </w:divBdr>
    </w:div>
    <w:div w:id="1887059745">
      <w:bodyDiv w:val="1"/>
      <w:marLeft w:val="0"/>
      <w:marRight w:val="0"/>
      <w:marTop w:val="0"/>
      <w:marBottom w:val="0"/>
      <w:divBdr>
        <w:top w:val="none" w:sz="0" w:space="0" w:color="auto"/>
        <w:left w:val="none" w:sz="0" w:space="0" w:color="auto"/>
        <w:bottom w:val="none" w:sz="0" w:space="0" w:color="auto"/>
        <w:right w:val="none" w:sz="0" w:space="0" w:color="auto"/>
      </w:divBdr>
    </w:div>
    <w:div w:id="2002653912">
      <w:bodyDiv w:val="1"/>
      <w:marLeft w:val="0"/>
      <w:marRight w:val="0"/>
      <w:marTop w:val="0"/>
      <w:marBottom w:val="0"/>
      <w:divBdr>
        <w:top w:val="none" w:sz="0" w:space="0" w:color="auto"/>
        <w:left w:val="none" w:sz="0" w:space="0" w:color="auto"/>
        <w:bottom w:val="none" w:sz="0" w:space="0" w:color="auto"/>
        <w:right w:val="none" w:sz="0" w:space="0" w:color="auto"/>
      </w:divBdr>
    </w:div>
    <w:div w:id="2013488654">
      <w:bodyDiv w:val="1"/>
      <w:marLeft w:val="0"/>
      <w:marRight w:val="0"/>
      <w:marTop w:val="0"/>
      <w:marBottom w:val="0"/>
      <w:divBdr>
        <w:top w:val="none" w:sz="0" w:space="0" w:color="auto"/>
        <w:left w:val="none" w:sz="0" w:space="0" w:color="auto"/>
        <w:bottom w:val="none" w:sz="0" w:space="0" w:color="auto"/>
        <w:right w:val="none" w:sz="0" w:space="0" w:color="auto"/>
      </w:divBdr>
    </w:div>
    <w:div w:id="2015841374">
      <w:bodyDiv w:val="1"/>
      <w:marLeft w:val="0"/>
      <w:marRight w:val="0"/>
      <w:marTop w:val="0"/>
      <w:marBottom w:val="0"/>
      <w:divBdr>
        <w:top w:val="none" w:sz="0" w:space="0" w:color="auto"/>
        <w:left w:val="none" w:sz="0" w:space="0" w:color="auto"/>
        <w:bottom w:val="none" w:sz="0" w:space="0" w:color="auto"/>
        <w:right w:val="none" w:sz="0" w:space="0" w:color="auto"/>
      </w:divBdr>
    </w:div>
    <w:div w:id="2024815956">
      <w:bodyDiv w:val="1"/>
      <w:marLeft w:val="0"/>
      <w:marRight w:val="0"/>
      <w:marTop w:val="0"/>
      <w:marBottom w:val="0"/>
      <w:divBdr>
        <w:top w:val="none" w:sz="0" w:space="0" w:color="auto"/>
        <w:left w:val="none" w:sz="0" w:space="0" w:color="auto"/>
        <w:bottom w:val="none" w:sz="0" w:space="0" w:color="auto"/>
        <w:right w:val="none" w:sz="0" w:space="0" w:color="auto"/>
      </w:divBdr>
    </w:div>
    <w:div w:id="2138789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latvija.lv" TargetMode="External"/><Relationship Id="rId18" Type="http://schemas.openxmlformats.org/officeDocument/2006/relationships/chart" Target="charts/chart6.xml"/><Relationship Id="rId26" Type="http://schemas.openxmlformats.org/officeDocument/2006/relationships/chart" Target="charts/chart13.xml"/><Relationship Id="rId39"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chart" Target="charts/chart9.xml"/><Relationship Id="rId34" Type="http://schemas.openxmlformats.org/officeDocument/2006/relationships/footer" Target="footer2.xml"/><Relationship Id="rId42" Type="http://schemas.openxmlformats.org/officeDocument/2006/relationships/hyperlink" Target="http://www.latvija.lv" TargetMode="External"/><Relationship Id="rId47" Type="http://schemas.openxmlformats.org/officeDocument/2006/relationships/hyperlink" Target="http://www.latvija.lv" TargetMode="Externa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5.xml"/><Relationship Id="rId25" Type="http://schemas.openxmlformats.org/officeDocument/2006/relationships/chart" Target="charts/chart12.xml"/><Relationship Id="rId33" Type="http://schemas.openxmlformats.org/officeDocument/2006/relationships/footer" Target="footer1.xml"/><Relationship Id="rId38" Type="http://schemas.openxmlformats.org/officeDocument/2006/relationships/image" Target="media/image2.emf"/><Relationship Id="rId46" Type="http://schemas.openxmlformats.org/officeDocument/2006/relationships/hyperlink" Target="http://www.latvija.lv" TargetMode="Externa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chart" Target="charts/chart8.xml"/><Relationship Id="rId29" Type="http://schemas.openxmlformats.org/officeDocument/2006/relationships/chart" Target="charts/chart15.xml"/><Relationship Id="rId41" Type="http://schemas.openxmlformats.org/officeDocument/2006/relationships/hyperlink" Target="http://www.latvija.lv"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chart" Target="charts/chart11.xml"/><Relationship Id="rId32" Type="http://schemas.openxmlformats.org/officeDocument/2006/relationships/header" Target="header2.xml"/><Relationship Id="rId37" Type="http://schemas.openxmlformats.org/officeDocument/2006/relationships/hyperlink" Target="http://www.latvija.lv" TargetMode="External"/><Relationship Id="rId40" Type="http://schemas.openxmlformats.org/officeDocument/2006/relationships/hyperlink" Target="http://www.latvija.lv" TargetMode="External"/><Relationship Id="rId45" Type="http://schemas.openxmlformats.org/officeDocument/2006/relationships/hyperlink" Target="http://www.latvija.lv" TargetMode="External"/><Relationship Id="rId5" Type="http://schemas.openxmlformats.org/officeDocument/2006/relationships/settings" Target="settings.xml"/><Relationship Id="rId15" Type="http://schemas.openxmlformats.org/officeDocument/2006/relationships/hyperlink" Target="http://www.latvija.lv" TargetMode="External"/><Relationship Id="rId23" Type="http://schemas.openxmlformats.org/officeDocument/2006/relationships/chart" Target="charts/chart10.xml"/><Relationship Id="rId28" Type="http://schemas.openxmlformats.org/officeDocument/2006/relationships/chart" Target="charts/chart14.xml"/><Relationship Id="rId36" Type="http://schemas.openxmlformats.org/officeDocument/2006/relationships/hyperlink" Target="http://www.latvija.lv" TargetMode="External"/><Relationship Id="rId49" Type="http://schemas.openxmlformats.org/officeDocument/2006/relationships/theme" Target="theme/theme1.xml"/><Relationship Id="rId10" Type="http://schemas.openxmlformats.org/officeDocument/2006/relationships/hyperlink" Target="http://www.latvija.lv" TargetMode="External"/><Relationship Id="rId19" Type="http://schemas.openxmlformats.org/officeDocument/2006/relationships/chart" Target="charts/chart7.xml"/><Relationship Id="rId31" Type="http://schemas.openxmlformats.org/officeDocument/2006/relationships/header" Target="header1.xml"/><Relationship Id="rId44" Type="http://schemas.openxmlformats.org/officeDocument/2006/relationships/hyperlink" Target="http://www.latvija.lv" TargetMode="Externa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yperlink" Target="http://www.latvija.lv" TargetMode="External"/><Relationship Id="rId22" Type="http://schemas.openxmlformats.org/officeDocument/2006/relationships/hyperlink" Target="http://www.tiesas.lv" TargetMode="External"/><Relationship Id="rId27" Type="http://schemas.openxmlformats.org/officeDocument/2006/relationships/image" Target="media/image1.png"/><Relationship Id="rId30" Type="http://schemas.openxmlformats.org/officeDocument/2006/relationships/chart" Target="charts/chart16.xml"/><Relationship Id="rId35" Type="http://schemas.openxmlformats.org/officeDocument/2006/relationships/header" Target="header3.xml"/><Relationship Id="rId43" Type="http://schemas.openxmlformats.org/officeDocument/2006/relationships/hyperlink" Target="http://www.latvija.lv" TargetMode="External"/><Relationship Id="rId48" Type="http://schemas.openxmlformats.org/officeDocument/2006/relationships/fontTable" Target="fontTable.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www.doingbusiness.org"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Book3"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lv-rixfil001\LVDFS\Documents\Client-DC2\Advisory\Consulting\Ekonomikas%20Ministrija\2013%20Uznemumu%20aptauja\3%20Working\Zi&#326;ojums\LME\grafiki\grafiki.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lv-rixfil001\LVDFS\Documents\Client-DC2\Advisory\Consulting\Ekonomikas%20Ministrija\2013%20Uznemumu%20aptauja\3%20Working\Zi&#326;ojums\LME\grafiki\grafiki.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lv-rixfil001\LVDFS\Documents\Client-DC2\Advisory\Consulting\Ekonomikas%20Ministrija\2013%20Uznemumu%20aptauja\3%20Working\Zi&#326;ojums\LME\grafiki\grafiki.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lv-rixfil001\LVDFS\Documents\Client-DC2\Advisory\Consulting\Ekonomikas%20Ministrija\2013%20Uznemumu%20aptauja\3%20Working\Zi&#326;ojums\LME\grafiki\grafiki.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lv-rixfil001\LVDFS\Documents\Client-DC2\Advisory\Consulting\Ekonomikas%20Ministrija\2013%20Uznemumu%20aptauja\3%20Working\Zi&#326;ojums\LME\grafiki\grafiki.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lv-rixfil001\LVDFS\Documents\Client-DC2\Advisory\Consulting\Ekonomikas%20Ministrija\2013%20Uznemumu%20aptauja\3%20Working\Zi&#326;ojums\LME\grafiki\grafiki.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lv-rixfil001\LVDFS\Documents\Client-DC2\Advisory\Consulting\Ekonomikas%20Ministrija\2013%20Uznemumu%20aptauja\3%20Working\Zi&#326;ojums\LME\grafiki\grafiki.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lv-rixfil001\LVDFS\Documents\Client-DC2\Advisory\Consulting\Ekonomikas%20Ministrija\2013%20Uznemumu%20aptauja\3%20Working\Zi&#326;ojums\LME\grafiki\grafiki.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lv-rixfil001\LVDFS\Documents\Client-DC2\Advisory\Consulting\Ekonomikas%20Ministrija\2013%20Uznemumu%20aptauja\3%20Working\Zi&#326;ojums\LME\grafiki\grafiki.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lv-rixfil001\LVDFS\Documents\Client-DC2\Advisory\Consulting\Ekonomikas%20Ministrija\2013%20Uznemumu%20aptauja\3%20Working\Zi&#326;ojums\LME\grafiki\grafiki.xlsx" TargetMode="External"/></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2.xlsx"/><Relationship Id="rId1" Type="http://schemas.openxmlformats.org/officeDocument/2006/relationships/themeOverride" Target="../theme/themeOverride1.xml"/></Relationships>
</file>

<file path=word/charts/_rels/chart7.xml.rels><?xml version="1.0" encoding="UTF-8" standalone="yes"?>
<Relationships xmlns="http://schemas.openxmlformats.org/package/2006/relationships"><Relationship Id="rId1" Type="http://schemas.openxmlformats.org/officeDocument/2006/relationships/oleObject" Target="file:///\\lv-rixfil001\LVDFS\Documents\Client-DC2\Advisory\Consulting\Ekonomikas%20Ministrija\2013%20Uznemumu%20aptauja\3%20Working\Zi&#326;ojums\LME\grafiki\grafiki.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lv-rixfil001\LVDFS\Documents\Client-DC2\Advisory\Consulting\Ekonomikas%20Ministrija\2013%20Uznemumu%20aptauja\3%20Working\Zi&#326;ojums\LME\grafiki\grafiki.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lv-rixfil001\LVDFS\Documents\Client-DC2\Advisory\Consulting\Ekonomikas%20Ministrija\2013%20Uznemumu%20aptauja\3%20Working\Zi&#326;ojums\LME\grafiki\grafiki.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5642157406380542"/>
          <c:y val="3.081232492997199E-2"/>
          <c:w val="0.61393053861225089"/>
          <c:h val="0.91182072829131655"/>
        </c:manualLayout>
      </c:layout>
      <c:barChart>
        <c:barDir val="bar"/>
        <c:grouping val="clustered"/>
        <c:varyColors val="0"/>
        <c:ser>
          <c:idx val="0"/>
          <c:order val="0"/>
          <c:invertIfNegative val="0"/>
          <c:dLbls>
            <c:txPr>
              <a:bodyPr/>
              <a:lstStyle/>
              <a:p>
                <a:pPr>
                  <a:defRPr sz="800">
                    <a:latin typeface="Georgia" panose="02040502050405020303" pitchFamily="18" charset="0"/>
                  </a:defRPr>
                </a:pPr>
                <a:endParaRPr lang="en-US"/>
              </a:p>
            </c:txPr>
            <c:showLegendKey val="0"/>
            <c:showVal val="1"/>
            <c:showCatName val="0"/>
            <c:showSerName val="0"/>
            <c:showPercent val="0"/>
            <c:showBubbleSize val="0"/>
            <c:showLeaderLines val="0"/>
          </c:dLbls>
          <c:cat>
            <c:strRef>
              <c:f>Sheet5!$B$2:$B$35</c:f>
              <c:strCache>
                <c:ptCount val="34"/>
                <c:pt idx="0">
                  <c:v>Ārvalstu kapitāls</c:v>
                </c:pt>
                <c:pt idx="1">
                  <c:v>Vietējais kapitāls</c:v>
                </c:pt>
                <c:pt idx="2">
                  <c:v>ĪPAŠUMTIESĪBAS</c:v>
                </c:pt>
                <c:pt idx="3">
                  <c:v>Līdz 2011. gada 31. decembrim</c:v>
                </c:pt>
                <c:pt idx="4">
                  <c:v>Pēc 2012. gada 1.janvāra</c:v>
                </c:pt>
                <c:pt idx="5">
                  <c:v>DIBINĀŠANAS GADS</c:v>
                </c:pt>
                <c:pt idx="6">
                  <c:v>Nav eksportētājs</c:v>
                </c:pt>
                <c:pt idx="7">
                  <c:v>Eksportētājs</c:v>
                </c:pt>
                <c:pt idx="8">
                  <c:v>EKSPORTĒTĀJS</c:v>
                </c:pt>
                <c:pt idx="9">
                  <c:v>Lauki</c:v>
                </c:pt>
                <c:pt idx="10">
                  <c:v>Mazpilsēta</c:v>
                </c:pt>
                <c:pt idx="11">
                  <c:v>Lielpilsēta</c:v>
                </c:pt>
                <c:pt idx="12">
                  <c:v>Rīga</c:v>
                </c:pt>
                <c:pt idx="13">
                  <c:v>APDZĪVOTĀS VIETAS TIPS</c:v>
                </c:pt>
                <c:pt idx="14">
                  <c:v>Latgales statistiskais reģions</c:v>
                </c:pt>
                <c:pt idx="15">
                  <c:v>Zemgales statistiskais reģions</c:v>
                </c:pt>
                <c:pt idx="16">
                  <c:v>Kurzemes statistiskais reģions</c:v>
                </c:pt>
                <c:pt idx="17">
                  <c:v>Vidzemes statistiskais reģions</c:v>
                </c:pt>
                <c:pt idx="18">
                  <c:v>Pierīgas statistiskais reģions</c:v>
                </c:pt>
                <c:pt idx="19">
                  <c:v>Rīgas statistiskais reģions</c:v>
                </c:pt>
                <c:pt idx="20">
                  <c:v>REĢIONS</c:v>
                </c:pt>
                <c:pt idx="21">
                  <c:v>1-9</c:v>
                </c:pt>
                <c:pt idx="22">
                  <c:v>10-49</c:v>
                </c:pt>
                <c:pt idx="23">
                  <c:v>50-249</c:v>
                </c:pt>
                <c:pt idx="24">
                  <c:v>250+</c:v>
                </c:pt>
                <c:pt idx="25">
                  <c:v>UZŅĒMUMA LIELUMS</c:v>
                </c:pt>
                <c:pt idx="26">
                  <c:v>SIA/ AS</c:v>
                </c:pt>
                <c:pt idx="27">
                  <c:v>IU/ IK</c:v>
                </c:pt>
                <c:pt idx="28">
                  <c:v>JURIDISKĀ FORMA</c:v>
                </c:pt>
                <c:pt idx="29">
                  <c:v>Būvniecība</c:v>
                </c:pt>
                <c:pt idx="30">
                  <c:v>Pakalpojumi</c:v>
                </c:pt>
                <c:pt idx="31">
                  <c:v>Tirdzniecība</c:v>
                </c:pt>
                <c:pt idx="32">
                  <c:v>Ražošana un rūpniecība</c:v>
                </c:pt>
                <c:pt idx="33">
                  <c:v>PAMATDARBĪBAS VEIDS</c:v>
                </c:pt>
              </c:strCache>
            </c:strRef>
          </c:cat>
          <c:val>
            <c:numRef>
              <c:f>Sheet5!$C$2:$C$35</c:f>
              <c:numCache>
                <c:formatCode>General</c:formatCode>
                <c:ptCount val="34"/>
                <c:pt idx="0">
                  <c:v>4</c:v>
                </c:pt>
                <c:pt idx="1">
                  <c:v>96</c:v>
                </c:pt>
                <c:pt idx="3">
                  <c:v>89</c:v>
                </c:pt>
                <c:pt idx="4">
                  <c:v>11</c:v>
                </c:pt>
                <c:pt idx="6">
                  <c:v>95</c:v>
                </c:pt>
                <c:pt idx="7">
                  <c:v>5</c:v>
                </c:pt>
                <c:pt idx="9">
                  <c:v>18</c:v>
                </c:pt>
                <c:pt idx="10">
                  <c:v>13</c:v>
                </c:pt>
                <c:pt idx="11">
                  <c:v>14</c:v>
                </c:pt>
                <c:pt idx="12">
                  <c:v>55</c:v>
                </c:pt>
                <c:pt idx="14">
                  <c:v>7</c:v>
                </c:pt>
                <c:pt idx="15">
                  <c:v>7</c:v>
                </c:pt>
                <c:pt idx="16">
                  <c:v>8</c:v>
                </c:pt>
                <c:pt idx="17">
                  <c:v>7</c:v>
                </c:pt>
                <c:pt idx="18">
                  <c:v>16</c:v>
                </c:pt>
                <c:pt idx="19">
                  <c:v>55</c:v>
                </c:pt>
                <c:pt idx="21">
                  <c:v>87</c:v>
                </c:pt>
                <c:pt idx="22">
                  <c:v>10</c:v>
                </c:pt>
                <c:pt idx="23">
                  <c:v>2</c:v>
                </c:pt>
                <c:pt idx="24">
                  <c:v>1</c:v>
                </c:pt>
                <c:pt idx="26">
                  <c:v>89</c:v>
                </c:pt>
                <c:pt idx="27">
                  <c:v>11</c:v>
                </c:pt>
                <c:pt idx="29">
                  <c:v>8</c:v>
                </c:pt>
                <c:pt idx="30">
                  <c:v>52</c:v>
                </c:pt>
                <c:pt idx="31">
                  <c:v>27</c:v>
                </c:pt>
                <c:pt idx="32">
                  <c:v>13</c:v>
                </c:pt>
              </c:numCache>
            </c:numRef>
          </c:val>
        </c:ser>
        <c:dLbls>
          <c:showLegendKey val="0"/>
          <c:showVal val="0"/>
          <c:showCatName val="0"/>
          <c:showSerName val="0"/>
          <c:showPercent val="0"/>
          <c:showBubbleSize val="0"/>
        </c:dLbls>
        <c:gapWidth val="150"/>
        <c:axId val="165253888"/>
        <c:axId val="165255424"/>
      </c:barChart>
      <c:catAx>
        <c:axId val="165253888"/>
        <c:scaling>
          <c:orientation val="minMax"/>
        </c:scaling>
        <c:delete val="0"/>
        <c:axPos val="l"/>
        <c:majorTickMark val="out"/>
        <c:minorTickMark val="none"/>
        <c:tickLblPos val="nextTo"/>
        <c:txPr>
          <a:bodyPr/>
          <a:lstStyle/>
          <a:p>
            <a:pPr>
              <a:defRPr sz="800">
                <a:latin typeface="Georgia" panose="02040502050405020303" pitchFamily="18" charset="0"/>
              </a:defRPr>
            </a:pPr>
            <a:endParaRPr lang="en-US"/>
          </a:p>
        </c:txPr>
        <c:crossAx val="165255424"/>
        <c:crosses val="autoZero"/>
        <c:auto val="1"/>
        <c:lblAlgn val="ctr"/>
        <c:lblOffset val="100"/>
        <c:noMultiLvlLbl val="0"/>
      </c:catAx>
      <c:valAx>
        <c:axId val="165255424"/>
        <c:scaling>
          <c:orientation val="minMax"/>
          <c:max val="100"/>
        </c:scaling>
        <c:delete val="0"/>
        <c:axPos val="b"/>
        <c:numFmt formatCode="General" sourceLinked="1"/>
        <c:majorTickMark val="out"/>
        <c:minorTickMark val="none"/>
        <c:tickLblPos val="nextTo"/>
        <c:txPr>
          <a:bodyPr/>
          <a:lstStyle/>
          <a:p>
            <a:pPr>
              <a:defRPr sz="800">
                <a:latin typeface="Georgia" panose="02040502050405020303" pitchFamily="18" charset="0"/>
              </a:defRPr>
            </a:pPr>
            <a:endParaRPr lang="en-US"/>
          </a:p>
        </c:txPr>
        <c:crossAx val="165253888"/>
        <c:crosses val="autoZero"/>
        <c:crossBetween val="between"/>
      </c:valAx>
      <c:spPr>
        <a:noFill/>
        <a:ln w="25400">
          <a:noFill/>
        </a:ln>
      </c:spPr>
    </c:plotArea>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2054121742629571"/>
          <c:y val="3.6555100033983358E-2"/>
          <c:w val="0.64050339876636064"/>
          <c:h val="0.84383014106707732"/>
        </c:manualLayout>
      </c:layout>
      <c:barChart>
        <c:barDir val="bar"/>
        <c:grouping val="clustered"/>
        <c:varyColors val="0"/>
        <c:ser>
          <c:idx val="0"/>
          <c:order val="0"/>
          <c:tx>
            <c:strRef>
              <c:f>Sheet9!$B$2</c:f>
              <c:strCache>
                <c:ptCount val="1"/>
                <c:pt idx="0">
                  <c:v>2005 (n=701)</c:v>
                </c:pt>
              </c:strCache>
            </c:strRef>
          </c:tx>
          <c:invertIfNegative val="0"/>
          <c:dLbls>
            <c:dLbl>
              <c:idx val="0"/>
              <c:delete val="1"/>
            </c:dLbl>
            <c:dLbl>
              <c:idx val="1"/>
              <c:delete val="1"/>
            </c:dLbl>
            <c:dLbl>
              <c:idx val="2"/>
              <c:delete val="1"/>
            </c:dLbl>
            <c:dLbl>
              <c:idx val="3"/>
              <c:delete val="1"/>
            </c:dLbl>
            <c:dLblPos val="outEnd"/>
            <c:showLegendKey val="0"/>
            <c:showVal val="1"/>
            <c:showCatName val="0"/>
            <c:showSerName val="0"/>
            <c:showPercent val="0"/>
            <c:showBubbleSize val="0"/>
            <c:showLeaderLines val="0"/>
          </c:dLbls>
          <c:cat>
            <c:strRef>
              <c:f>Sheet9!$A$3:$A$7</c:f>
              <c:strCache>
                <c:ptCount val="5"/>
                <c:pt idx="0">
                  <c:v>Darbs brīvdienās un svētku dienās</c:v>
                </c:pt>
                <c:pt idx="1">
                  <c:v>Darba laika nosacījumi</c:v>
                </c:pt>
                <c:pt idx="2">
                  <c:v>Valsts sociālās apdrošināšanas obligātās iemaksas</c:v>
                </c:pt>
                <c:pt idx="3">
                  <c:v>Atalgojuma nosacījumi</c:v>
                </c:pt>
                <c:pt idx="4">
                  <c:v>Minimālās algas nosacījumi</c:v>
                </c:pt>
              </c:strCache>
            </c:strRef>
          </c:cat>
          <c:val>
            <c:numRef>
              <c:f>Sheet9!$B$3:$B$7</c:f>
              <c:numCache>
                <c:formatCode>0%</c:formatCode>
                <c:ptCount val="5"/>
                <c:pt idx="0" formatCode="General">
                  <c:v>0</c:v>
                </c:pt>
                <c:pt idx="1">
                  <c:v>0.12</c:v>
                </c:pt>
                <c:pt idx="2">
                  <c:v>0.27</c:v>
                </c:pt>
                <c:pt idx="3">
                  <c:v>0.14000000000000001</c:v>
                </c:pt>
                <c:pt idx="4">
                  <c:v>0.11</c:v>
                </c:pt>
              </c:numCache>
            </c:numRef>
          </c:val>
        </c:ser>
        <c:ser>
          <c:idx val="1"/>
          <c:order val="1"/>
          <c:tx>
            <c:strRef>
              <c:f>Sheet9!$C$2</c:f>
              <c:strCache>
                <c:ptCount val="1"/>
                <c:pt idx="0">
                  <c:v>2007 (n=720)</c:v>
                </c:pt>
              </c:strCache>
            </c:strRef>
          </c:tx>
          <c:invertIfNegative val="0"/>
          <c:dLbls>
            <c:dLbl>
              <c:idx val="0"/>
              <c:delete val="1"/>
            </c:dLbl>
            <c:dLblPos val="outEnd"/>
            <c:showLegendKey val="0"/>
            <c:showVal val="1"/>
            <c:showCatName val="0"/>
            <c:showSerName val="0"/>
            <c:showPercent val="0"/>
            <c:showBubbleSize val="0"/>
            <c:showLeaderLines val="0"/>
          </c:dLbls>
          <c:cat>
            <c:strRef>
              <c:f>Sheet9!$A$3:$A$7</c:f>
              <c:strCache>
                <c:ptCount val="5"/>
                <c:pt idx="0">
                  <c:v>Darbs brīvdienās un svētku dienās</c:v>
                </c:pt>
                <c:pt idx="1">
                  <c:v>Darba laika nosacījumi</c:v>
                </c:pt>
                <c:pt idx="2">
                  <c:v>Valsts sociālās apdrošināšanas obligātās iemaksas</c:v>
                </c:pt>
                <c:pt idx="3">
                  <c:v>Atalgojuma nosacījumi</c:v>
                </c:pt>
                <c:pt idx="4">
                  <c:v>Minimālās algas nosacījumi</c:v>
                </c:pt>
              </c:strCache>
            </c:strRef>
          </c:cat>
          <c:val>
            <c:numRef>
              <c:f>Sheet9!$C$3:$C$7</c:f>
              <c:numCache>
                <c:formatCode>0%</c:formatCode>
                <c:ptCount val="5"/>
                <c:pt idx="0" formatCode="General">
                  <c:v>0</c:v>
                </c:pt>
                <c:pt idx="1">
                  <c:v>0.18</c:v>
                </c:pt>
                <c:pt idx="2">
                  <c:v>0.35</c:v>
                </c:pt>
                <c:pt idx="3">
                  <c:v>0.28000000000000003</c:v>
                </c:pt>
                <c:pt idx="4">
                  <c:v>0.19</c:v>
                </c:pt>
              </c:numCache>
            </c:numRef>
          </c:val>
        </c:ser>
        <c:ser>
          <c:idx val="2"/>
          <c:order val="2"/>
          <c:tx>
            <c:strRef>
              <c:f>Sheet9!$D$2</c:f>
              <c:strCache>
                <c:ptCount val="1"/>
                <c:pt idx="0">
                  <c:v>2009 (n=735)</c:v>
                </c:pt>
              </c:strCache>
            </c:strRef>
          </c:tx>
          <c:invertIfNegative val="0"/>
          <c:dLbls>
            <c:dLbl>
              <c:idx val="0"/>
              <c:delete val="1"/>
            </c:dLbl>
            <c:dLblPos val="outEnd"/>
            <c:showLegendKey val="0"/>
            <c:showVal val="1"/>
            <c:showCatName val="0"/>
            <c:showSerName val="0"/>
            <c:showPercent val="0"/>
            <c:showBubbleSize val="0"/>
            <c:showLeaderLines val="0"/>
          </c:dLbls>
          <c:cat>
            <c:strRef>
              <c:f>Sheet9!$A$3:$A$7</c:f>
              <c:strCache>
                <c:ptCount val="5"/>
                <c:pt idx="0">
                  <c:v>Darbs brīvdienās un svētku dienās</c:v>
                </c:pt>
                <c:pt idx="1">
                  <c:v>Darba laika nosacījumi</c:v>
                </c:pt>
                <c:pt idx="2">
                  <c:v>Valsts sociālās apdrošināšanas obligātās iemaksas</c:v>
                </c:pt>
                <c:pt idx="3">
                  <c:v>Atalgojuma nosacījumi</c:v>
                </c:pt>
                <c:pt idx="4">
                  <c:v>Minimālās algas nosacījumi</c:v>
                </c:pt>
              </c:strCache>
            </c:strRef>
          </c:cat>
          <c:val>
            <c:numRef>
              <c:f>Sheet9!$D$3:$D$7</c:f>
              <c:numCache>
                <c:formatCode>0%</c:formatCode>
                <c:ptCount val="5"/>
                <c:pt idx="0" formatCode="General">
                  <c:v>0</c:v>
                </c:pt>
                <c:pt idx="1">
                  <c:v>0.12</c:v>
                </c:pt>
                <c:pt idx="2">
                  <c:v>0.41</c:v>
                </c:pt>
                <c:pt idx="3">
                  <c:v>0.19</c:v>
                </c:pt>
                <c:pt idx="4">
                  <c:v>0.21</c:v>
                </c:pt>
              </c:numCache>
            </c:numRef>
          </c:val>
        </c:ser>
        <c:ser>
          <c:idx val="3"/>
          <c:order val="3"/>
          <c:tx>
            <c:strRef>
              <c:f>Sheet9!$E$2</c:f>
              <c:strCache>
                <c:ptCount val="1"/>
                <c:pt idx="0">
                  <c:v>2011 (n=728)</c:v>
                </c:pt>
              </c:strCache>
            </c:strRef>
          </c:tx>
          <c:invertIfNegative val="0"/>
          <c:dLbls>
            <c:dLbl>
              <c:idx val="0"/>
              <c:delete val="1"/>
            </c:dLbl>
            <c:dLblPos val="outEnd"/>
            <c:showLegendKey val="0"/>
            <c:showVal val="1"/>
            <c:showCatName val="0"/>
            <c:showSerName val="0"/>
            <c:showPercent val="0"/>
            <c:showBubbleSize val="0"/>
            <c:showLeaderLines val="0"/>
          </c:dLbls>
          <c:cat>
            <c:strRef>
              <c:f>Sheet9!$A$3:$A$7</c:f>
              <c:strCache>
                <c:ptCount val="5"/>
                <c:pt idx="0">
                  <c:v>Darbs brīvdienās un svētku dienās</c:v>
                </c:pt>
                <c:pt idx="1">
                  <c:v>Darba laika nosacījumi</c:v>
                </c:pt>
                <c:pt idx="2">
                  <c:v>Valsts sociālās apdrošināšanas obligātās iemaksas</c:v>
                </c:pt>
                <c:pt idx="3">
                  <c:v>Atalgojuma nosacījumi</c:v>
                </c:pt>
                <c:pt idx="4">
                  <c:v>Minimālās algas nosacījumi</c:v>
                </c:pt>
              </c:strCache>
            </c:strRef>
          </c:cat>
          <c:val>
            <c:numRef>
              <c:f>Sheet9!$E$3:$E$7</c:f>
              <c:numCache>
                <c:formatCode>0%</c:formatCode>
                <c:ptCount val="5"/>
                <c:pt idx="0" formatCode="General">
                  <c:v>0</c:v>
                </c:pt>
                <c:pt idx="1">
                  <c:v>0.15</c:v>
                </c:pt>
                <c:pt idx="2">
                  <c:v>0.33</c:v>
                </c:pt>
                <c:pt idx="3">
                  <c:v>0.22</c:v>
                </c:pt>
                <c:pt idx="4">
                  <c:v>0.21</c:v>
                </c:pt>
              </c:numCache>
            </c:numRef>
          </c:val>
        </c:ser>
        <c:ser>
          <c:idx val="4"/>
          <c:order val="4"/>
          <c:tx>
            <c:strRef>
              <c:f>Sheet9!$F$2</c:f>
              <c:strCache>
                <c:ptCount val="1"/>
                <c:pt idx="0">
                  <c:v>2014 (n=734)</c:v>
                </c:pt>
              </c:strCache>
            </c:strRef>
          </c:tx>
          <c:invertIfNegative val="0"/>
          <c:cat>
            <c:strRef>
              <c:f>Sheet9!$A$3:$A$7</c:f>
              <c:strCache>
                <c:ptCount val="5"/>
                <c:pt idx="0">
                  <c:v>Darbs brīvdienās un svētku dienās</c:v>
                </c:pt>
                <c:pt idx="1">
                  <c:v>Darba laika nosacījumi</c:v>
                </c:pt>
                <c:pt idx="2">
                  <c:v>Valsts sociālās apdrošināšanas obligātās iemaksas</c:v>
                </c:pt>
                <c:pt idx="3">
                  <c:v>Atalgojuma nosacījumi</c:v>
                </c:pt>
                <c:pt idx="4">
                  <c:v>Minimālās algas nosacījumi</c:v>
                </c:pt>
              </c:strCache>
            </c:strRef>
          </c:cat>
          <c:val>
            <c:numRef>
              <c:f>Sheet9!$F$3:$F$7</c:f>
              <c:numCache>
                <c:formatCode>0%</c:formatCode>
                <c:ptCount val="5"/>
                <c:pt idx="0">
                  <c:v>5.2999999999999999E-2</c:v>
                </c:pt>
                <c:pt idx="1">
                  <c:v>6.3E-2</c:v>
                </c:pt>
                <c:pt idx="2">
                  <c:v>9.5000000000000001E-2</c:v>
                </c:pt>
                <c:pt idx="3">
                  <c:v>0.10199999999999999</c:v>
                </c:pt>
                <c:pt idx="4">
                  <c:v>0.13800000000000001</c:v>
                </c:pt>
              </c:numCache>
            </c:numRef>
          </c:val>
        </c:ser>
        <c:dLbls>
          <c:dLblPos val="outEnd"/>
          <c:showLegendKey val="0"/>
          <c:showVal val="1"/>
          <c:showCatName val="0"/>
          <c:showSerName val="0"/>
          <c:showPercent val="0"/>
          <c:showBubbleSize val="0"/>
        </c:dLbls>
        <c:gapWidth val="100"/>
        <c:axId val="187353344"/>
        <c:axId val="174264320"/>
      </c:barChart>
      <c:catAx>
        <c:axId val="187353344"/>
        <c:scaling>
          <c:orientation val="minMax"/>
        </c:scaling>
        <c:delete val="0"/>
        <c:axPos val="l"/>
        <c:majorTickMark val="out"/>
        <c:minorTickMark val="none"/>
        <c:tickLblPos val="nextTo"/>
        <c:crossAx val="174264320"/>
        <c:crosses val="autoZero"/>
        <c:auto val="1"/>
        <c:lblAlgn val="ctr"/>
        <c:lblOffset val="100"/>
        <c:noMultiLvlLbl val="0"/>
      </c:catAx>
      <c:valAx>
        <c:axId val="174264320"/>
        <c:scaling>
          <c:orientation val="minMax"/>
        </c:scaling>
        <c:delete val="0"/>
        <c:axPos val="b"/>
        <c:numFmt formatCode="0%" sourceLinked="0"/>
        <c:majorTickMark val="out"/>
        <c:minorTickMark val="none"/>
        <c:tickLblPos val="nextTo"/>
        <c:crossAx val="187353344"/>
        <c:crosses val="autoZero"/>
        <c:crossBetween val="between"/>
      </c:valAx>
    </c:plotArea>
    <c:legend>
      <c:legendPos val="r"/>
      <c:layout>
        <c:manualLayout>
          <c:xMode val="edge"/>
          <c:yMode val="edge"/>
          <c:x val="0.80678918628551133"/>
          <c:y val="3.7534608585449464E-2"/>
          <c:w val="0.1690695719611551"/>
          <c:h val="0.33210125593804907"/>
        </c:manualLayout>
      </c:layout>
      <c:overlay val="1"/>
    </c:legend>
    <c:plotVisOnly val="1"/>
    <c:dispBlanksAs val="gap"/>
    <c:showDLblsOverMax val="0"/>
  </c:chart>
  <c:txPr>
    <a:bodyPr/>
    <a:lstStyle/>
    <a:p>
      <a:pPr>
        <a:defRPr sz="800">
          <a:latin typeface="+mj-lt"/>
        </a:defRPr>
      </a:pPr>
      <a:endParaRPr lang="en-U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712845222705371"/>
          <c:y val="5.0925925925925923E-2"/>
          <c:w val="0.616328906647863"/>
          <c:h val="0.84614173228346456"/>
        </c:manualLayout>
      </c:layout>
      <c:barChart>
        <c:barDir val="bar"/>
        <c:grouping val="clustered"/>
        <c:varyColors val="0"/>
        <c:ser>
          <c:idx val="0"/>
          <c:order val="0"/>
          <c:tx>
            <c:strRef>
              <c:f>Sheet3!$A$2</c:f>
              <c:strCache>
                <c:ptCount val="1"/>
                <c:pt idx="0">
                  <c:v>Kopējās izmaksas saistībā ar jauna elektrības pieslēguma izveidošanu vai jaudas palielināšanu (vidējā summa latos)</c:v>
                </c:pt>
              </c:strCache>
            </c:strRef>
          </c:tx>
          <c:invertIfNegative val="0"/>
          <c:cat>
            <c:strRef>
              <c:f>Sheet3!$B$1:$C$1</c:f>
              <c:strCache>
                <c:ptCount val="2"/>
                <c:pt idx="0">
                  <c:v>2011 (n=66)</c:v>
                </c:pt>
                <c:pt idx="1">
                  <c:v>2014 (n=32)</c:v>
                </c:pt>
              </c:strCache>
            </c:strRef>
          </c:cat>
          <c:val>
            <c:numRef>
              <c:f>Sheet3!$B$2:$C$2</c:f>
              <c:numCache>
                <c:formatCode>General</c:formatCode>
                <c:ptCount val="2"/>
                <c:pt idx="0">
                  <c:v>3227</c:v>
                </c:pt>
                <c:pt idx="1">
                  <c:v>1621</c:v>
                </c:pt>
              </c:numCache>
            </c:numRef>
          </c:val>
        </c:ser>
        <c:dLbls>
          <c:showLegendKey val="0"/>
          <c:showVal val="0"/>
          <c:showCatName val="0"/>
          <c:showSerName val="0"/>
          <c:showPercent val="0"/>
          <c:showBubbleSize val="0"/>
        </c:dLbls>
        <c:gapWidth val="150"/>
        <c:axId val="174272512"/>
        <c:axId val="174274048"/>
      </c:barChart>
      <c:catAx>
        <c:axId val="174272512"/>
        <c:scaling>
          <c:orientation val="minMax"/>
        </c:scaling>
        <c:delete val="0"/>
        <c:axPos val="l"/>
        <c:numFmt formatCode="General" sourceLinked="1"/>
        <c:majorTickMark val="out"/>
        <c:minorTickMark val="none"/>
        <c:tickLblPos val="nextTo"/>
        <c:txPr>
          <a:bodyPr/>
          <a:lstStyle/>
          <a:p>
            <a:pPr>
              <a:defRPr sz="900">
                <a:latin typeface="Georgia" panose="02040502050405020303" pitchFamily="18" charset="0"/>
              </a:defRPr>
            </a:pPr>
            <a:endParaRPr lang="en-US"/>
          </a:p>
        </c:txPr>
        <c:crossAx val="174274048"/>
        <c:crosses val="autoZero"/>
        <c:auto val="1"/>
        <c:lblAlgn val="ctr"/>
        <c:lblOffset val="100"/>
        <c:noMultiLvlLbl val="0"/>
      </c:catAx>
      <c:valAx>
        <c:axId val="174274048"/>
        <c:scaling>
          <c:orientation val="minMax"/>
        </c:scaling>
        <c:delete val="0"/>
        <c:axPos val="b"/>
        <c:majorGridlines/>
        <c:numFmt formatCode="General" sourceLinked="1"/>
        <c:majorTickMark val="out"/>
        <c:minorTickMark val="none"/>
        <c:tickLblPos val="nextTo"/>
        <c:txPr>
          <a:bodyPr/>
          <a:lstStyle/>
          <a:p>
            <a:pPr>
              <a:defRPr sz="900">
                <a:latin typeface="Georgia" panose="02040502050405020303" pitchFamily="18" charset="0"/>
              </a:defRPr>
            </a:pPr>
            <a:endParaRPr lang="en-US"/>
          </a:p>
        </c:txPr>
        <c:crossAx val="174272512"/>
        <c:crosses val="autoZero"/>
        <c:crossBetween val="between"/>
      </c:valAx>
    </c:plotArea>
    <c:legend>
      <c:legendPos val="r"/>
      <c:layout>
        <c:manualLayout>
          <c:xMode val="edge"/>
          <c:yMode val="edge"/>
          <c:x val="0.76611399694441185"/>
          <c:y val="0.39233668708078157"/>
          <c:w val="0.22194570454812548"/>
          <c:h val="0.30328958880139978"/>
        </c:manualLayout>
      </c:layout>
      <c:overlay val="0"/>
      <c:txPr>
        <a:bodyPr/>
        <a:lstStyle/>
        <a:p>
          <a:pPr>
            <a:defRPr sz="800">
              <a:latin typeface="Georgia" panose="02040502050405020303" pitchFamily="18" charset="0"/>
            </a:defRPr>
          </a:pPr>
          <a:endParaRPr lang="en-US"/>
        </a:p>
      </c:txPr>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Sheet4!$C$1</c:f>
              <c:strCache>
                <c:ptCount val="1"/>
                <c:pt idx="0">
                  <c:v>2007 (n=589)</c:v>
                </c:pt>
              </c:strCache>
            </c:strRef>
          </c:tx>
          <c:invertIfNegative val="0"/>
          <c:dLbls>
            <c:showLegendKey val="0"/>
            <c:showVal val="1"/>
            <c:showCatName val="0"/>
            <c:showSerName val="0"/>
            <c:showPercent val="0"/>
            <c:showBubbleSize val="0"/>
            <c:showLeaderLines val="0"/>
          </c:dLbls>
          <c:cat>
            <c:strRef>
              <c:f>Sheet4!$B$2:$B$9</c:f>
              <c:strCache>
                <c:ptCount val="8"/>
                <c:pt idx="0">
                  <c:v>Grūti pateikt</c:v>
                </c:pt>
                <c:pt idx="1">
                  <c:v>Cits</c:v>
                </c:pt>
                <c:pt idx="2">
                  <c:v>Neuzticas, baidās par datu drošību</c:v>
                </c:pt>
                <c:pt idx="3">
                  <c:v>Šis pakalpojums nav prasītās samaksas vērts</c:v>
                </c:pt>
                <c:pt idx="4">
                  <c:v>Trūkst sīkākas informācijas par pakalpojumu</c:v>
                </c:pt>
                <c:pt idx="5">
                  <c:v>Pārāk sarežģīta lietošana</c:v>
                </c:pt>
                <c:pt idx="6">
                  <c:v>Pagaidām nav pietiekamu izmantošanas iespēju</c:v>
                </c:pt>
                <c:pt idx="7">
                  <c:v>Neredz jēgu, nav vajadzības</c:v>
                </c:pt>
              </c:strCache>
            </c:strRef>
          </c:cat>
          <c:val>
            <c:numRef>
              <c:f>Sheet4!$C$2:$C$9</c:f>
              <c:numCache>
                <c:formatCode>0%</c:formatCode>
                <c:ptCount val="8"/>
                <c:pt idx="0">
                  <c:v>0.03</c:v>
                </c:pt>
                <c:pt idx="1">
                  <c:v>0.05</c:v>
                </c:pt>
                <c:pt idx="2">
                  <c:v>0.06</c:v>
                </c:pt>
                <c:pt idx="4">
                  <c:v>0.14000000000000001</c:v>
                </c:pt>
                <c:pt idx="5">
                  <c:v>7.0000000000000007E-2</c:v>
                </c:pt>
                <c:pt idx="6">
                  <c:v>0.15</c:v>
                </c:pt>
                <c:pt idx="7">
                  <c:v>0.56999999999999995</c:v>
                </c:pt>
              </c:numCache>
            </c:numRef>
          </c:val>
        </c:ser>
        <c:ser>
          <c:idx val="1"/>
          <c:order val="1"/>
          <c:tx>
            <c:strRef>
              <c:f>Sheet4!$D$1</c:f>
              <c:strCache>
                <c:ptCount val="1"/>
                <c:pt idx="0">
                  <c:v>2009 (n=520)</c:v>
                </c:pt>
              </c:strCache>
            </c:strRef>
          </c:tx>
          <c:invertIfNegative val="0"/>
          <c:dLbls>
            <c:showLegendKey val="0"/>
            <c:showVal val="1"/>
            <c:showCatName val="0"/>
            <c:showSerName val="0"/>
            <c:showPercent val="0"/>
            <c:showBubbleSize val="0"/>
            <c:showLeaderLines val="0"/>
          </c:dLbls>
          <c:cat>
            <c:strRef>
              <c:f>Sheet4!$B$2:$B$9</c:f>
              <c:strCache>
                <c:ptCount val="8"/>
                <c:pt idx="0">
                  <c:v>Grūti pateikt</c:v>
                </c:pt>
                <c:pt idx="1">
                  <c:v>Cits</c:v>
                </c:pt>
                <c:pt idx="2">
                  <c:v>Neuzticas, baidās par datu drošību</c:v>
                </c:pt>
                <c:pt idx="3">
                  <c:v>Šis pakalpojums nav prasītās samaksas vērts</c:v>
                </c:pt>
                <c:pt idx="4">
                  <c:v>Trūkst sīkākas informācijas par pakalpojumu</c:v>
                </c:pt>
                <c:pt idx="5">
                  <c:v>Pārāk sarežģīta lietošana</c:v>
                </c:pt>
                <c:pt idx="6">
                  <c:v>Pagaidām nav pietiekamu izmantošanas iespēju</c:v>
                </c:pt>
                <c:pt idx="7">
                  <c:v>Neredz jēgu, nav vajadzības</c:v>
                </c:pt>
              </c:strCache>
            </c:strRef>
          </c:cat>
          <c:val>
            <c:numRef>
              <c:f>Sheet4!$D$2:$D$9</c:f>
              <c:numCache>
                <c:formatCode>0%</c:formatCode>
                <c:ptCount val="8"/>
                <c:pt idx="0">
                  <c:v>0.03</c:v>
                </c:pt>
                <c:pt idx="1">
                  <c:v>0.03</c:v>
                </c:pt>
                <c:pt idx="2">
                  <c:v>0.05</c:v>
                </c:pt>
                <c:pt idx="4">
                  <c:v>0.11</c:v>
                </c:pt>
                <c:pt idx="5">
                  <c:v>0.08</c:v>
                </c:pt>
                <c:pt idx="6">
                  <c:v>0.14000000000000001</c:v>
                </c:pt>
                <c:pt idx="7">
                  <c:v>0.67</c:v>
                </c:pt>
              </c:numCache>
            </c:numRef>
          </c:val>
        </c:ser>
        <c:ser>
          <c:idx val="2"/>
          <c:order val="2"/>
          <c:tx>
            <c:strRef>
              <c:f>Sheet4!$E$1</c:f>
              <c:strCache>
                <c:ptCount val="1"/>
                <c:pt idx="0">
                  <c:v>2011 (n=528)</c:v>
                </c:pt>
              </c:strCache>
            </c:strRef>
          </c:tx>
          <c:invertIfNegative val="0"/>
          <c:dLbls>
            <c:showLegendKey val="0"/>
            <c:showVal val="1"/>
            <c:showCatName val="0"/>
            <c:showSerName val="0"/>
            <c:showPercent val="0"/>
            <c:showBubbleSize val="0"/>
            <c:showLeaderLines val="0"/>
          </c:dLbls>
          <c:cat>
            <c:strRef>
              <c:f>Sheet4!$B$2:$B$9</c:f>
              <c:strCache>
                <c:ptCount val="8"/>
                <c:pt idx="0">
                  <c:v>Grūti pateikt</c:v>
                </c:pt>
                <c:pt idx="1">
                  <c:v>Cits</c:v>
                </c:pt>
                <c:pt idx="2">
                  <c:v>Neuzticas, baidās par datu drošību</c:v>
                </c:pt>
                <c:pt idx="3">
                  <c:v>Šis pakalpojums nav prasītās samaksas vērts</c:v>
                </c:pt>
                <c:pt idx="4">
                  <c:v>Trūkst sīkākas informācijas par pakalpojumu</c:v>
                </c:pt>
                <c:pt idx="5">
                  <c:v>Pārāk sarežģīta lietošana</c:v>
                </c:pt>
                <c:pt idx="6">
                  <c:v>Pagaidām nav pietiekamu izmantošanas iespēju</c:v>
                </c:pt>
                <c:pt idx="7">
                  <c:v>Neredz jēgu, nav vajadzības</c:v>
                </c:pt>
              </c:strCache>
            </c:strRef>
          </c:cat>
          <c:val>
            <c:numRef>
              <c:f>Sheet4!$E$2:$E$9</c:f>
              <c:numCache>
                <c:formatCode>0%</c:formatCode>
                <c:ptCount val="8"/>
                <c:pt idx="0">
                  <c:v>0.1</c:v>
                </c:pt>
                <c:pt idx="1">
                  <c:v>0.04</c:v>
                </c:pt>
                <c:pt idx="2">
                  <c:v>0.1</c:v>
                </c:pt>
                <c:pt idx="3">
                  <c:v>0.16</c:v>
                </c:pt>
                <c:pt idx="4">
                  <c:v>0.19</c:v>
                </c:pt>
                <c:pt idx="5">
                  <c:v>0.1</c:v>
                </c:pt>
                <c:pt idx="6">
                  <c:v>0.18</c:v>
                </c:pt>
                <c:pt idx="7">
                  <c:v>0.52</c:v>
                </c:pt>
              </c:numCache>
            </c:numRef>
          </c:val>
        </c:ser>
        <c:ser>
          <c:idx val="3"/>
          <c:order val="3"/>
          <c:tx>
            <c:strRef>
              <c:f>Sheet4!$F$1</c:f>
              <c:strCache>
                <c:ptCount val="1"/>
                <c:pt idx="0">
                  <c:v>2014 (n=494)</c:v>
                </c:pt>
              </c:strCache>
            </c:strRef>
          </c:tx>
          <c:invertIfNegative val="0"/>
          <c:dLbls>
            <c:showLegendKey val="0"/>
            <c:showVal val="1"/>
            <c:showCatName val="0"/>
            <c:showSerName val="0"/>
            <c:showPercent val="0"/>
            <c:showBubbleSize val="0"/>
            <c:showLeaderLines val="0"/>
          </c:dLbls>
          <c:cat>
            <c:strRef>
              <c:f>Sheet4!$B$2:$B$9</c:f>
              <c:strCache>
                <c:ptCount val="8"/>
                <c:pt idx="0">
                  <c:v>Grūti pateikt</c:v>
                </c:pt>
                <c:pt idx="1">
                  <c:v>Cits</c:v>
                </c:pt>
                <c:pt idx="2">
                  <c:v>Neuzticas, baidās par datu drošību</c:v>
                </c:pt>
                <c:pt idx="3">
                  <c:v>Šis pakalpojums nav prasītās samaksas vērts</c:v>
                </c:pt>
                <c:pt idx="4">
                  <c:v>Trūkst sīkākas informācijas par pakalpojumu</c:v>
                </c:pt>
                <c:pt idx="5">
                  <c:v>Pārāk sarežģīta lietošana</c:v>
                </c:pt>
                <c:pt idx="6">
                  <c:v>Pagaidām nav pietiekamu izmantošanas iespēju</c:v>
                </c:pt>
                <c:pt idx="7">
                  <c:v>Neredz jēgu, nav vajadzības</c:v>
                </c:pt>
              </c:strCache>
            </c:strRef>
          </c:cat>
          <c:val>
            <c:numRef>
              <c:f>Sheet4!$F$2:$F$9</c:f>
              <c:numCache>
                <c:formatCode>0%</c:formatCode>
                <c:ptCount val="8"/>
                <c:pt idx="0">
                  <c:v>0.12</c:v>
                </c:pt>
                <c:pt idx="1">
                  <c:v>0.01</c:v>
                </c:pt>
                <c:pt idx="2">
                  <c:v>0.05</c:v>
                </c:pt>
                <c:pt idx="3">
                  <c:v>0.06</c:v>
                </c:pt>
                <c:pt idx="4">
                  <c:v>7.0000000000000007E-2</c:v>
                </c:pt>
                <c:pt idx="5">
                  <c:v>0.1</c:v>
                </c:pt>
                <c:pt idx="6">
                  <c:v>0.2</c:v>
                </c:pt>
                <c:pt idx="7">
                  <c:v>0.54</c:v>
                </c:pt>
              </c:numCache>
            </c:numRef>
          </c:val>
        </c:ser>
        <c:dLbls>
          <c:showLegendKey val="0"/>
          <c:showVal val="0"/>
          <c:showCatName val="0"/>
          <c:showSerName val="0"/>
          <c:showPercent val="0"/>
          <c:showBubbleSize val="0"/>
        </c:dLbls>
        <c:gapWidth val="150"/>
        <c:overlap val="-16"/>
        <c:axId val="174306816"/>
        <c:axId val="174308352"/>
      </c:barChart>
      <c:catAx>
        <c:axId val="174306816"/>
        <c:scaling>
          <c:orientation val="minMax"/>
        </c:scaling>
        <c:delete val="0"/>
        <c:axPos val="l"/>
        <c:majorTickMark val="out"/>
        <c:minorTickMark val="none"/>
        <c:tickLblPos val="nextTo"/>
        <c:crossAx val="174308352"/>
        <c:crosses val="autoZero"/>
        <c:auto val="1"/>
        <c:lblAlgn val="ctr"/>
        <c:lblOffset val="100"/>
        <c:noMultiLvlLbl val="0"/>
      </c:catAx>
      <c:valAx>
        <c:axId val="174308352"/>
        <c:scaling>
          <c:orientation val="minMax"/>
          <c:max val="0.70000000000000007"/>
        </c:scaling>
        <c:delete val="0"/>
        <c:axPos val="b"/>
        <c:numFmt formatCode="0%" sourceLinked="1"/>
        <c:majorTickMark val="out"/>
        <c:minorTickMark val="none"/>
        <c:tickLblPos val="nextTo"/>
        <c:crossAx val="174306816"/>
        <c:crosses val="autoZero"/>
        <c:crossBetween val="between"/>
      </c:valAx>
    </c:plotArea>
    <c:legend>
      <c:legendPos val="r"/>
      <c:layout>
        <c:manualLayout>
          <c:xMode val="edge"/>
          <c:yMode val="edge"/>
          <c:x val="0.83820975503062112"/>
          <c:y val="0.70849317021084346"/>
          <c:w val="0.14320975503062117"/>
          <c:h val="0.22075886702117384"/>
        </c:manualLayout>
      </c:layout>
      <c:overlay val="1"/>
    </c:legend>
    <c:plotVisOnly val="1"/>
    <c:dispBlanksAs val="gap"/>
    <c:showDLblsOverMax val="0"/>
  </c:chart>
  <c:txPr>
    <a:bodyPr/>
    <a:lstStyle/>
    <a:p>
      <a:pPr>
        <a:defRPr sz="800">
          <a:latin typeface="+mj-lt"/>
        </a:defRPr>
      </a:pPr>
      <a:endParaRPr lang="en-US"/>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invertIfNegative val="0"/>
          <c:dLbls>
            <c:showLegendKey val="0"/>
            <c:showVal val="1"/>
            <c:showCatName val="0"/>
            <c:showSerName val="0"/>
            <c:showPercent val="0"/>
            <c:showBubbleSize val="0"/>
            <c:showLeaderLines val="0"/>
          </c:dLbls>
          <c:cat>
            <c:strRef>
              <c:f>Sheet11!$A$2:$A$7</c:f>
              <c:strCache>
                <c:ptCount val="6"/>
                <c:pt idx="0">
                  <c:v>Konkurence ar pelēko/ ēnu ekonomiku</c:v>
                </c:pt>
                <c:pt idx="1">
                  <c:v>Infrastrukūras pakalpojumu izmaksas (elektrība, ūdens, gāze, autoceļi)</c:v>
                </c:pt>
                <c:pt idx="2">
                  <c:v>Nodokļu likumi un noteikumi/ nodokļu administrēšana</c:v>
                </c:pt>
                <c:pt idx="3">
                  <c:v>Inflācija</c:v>
                </c:pt>
                <c:pt idx="4">
                  <c:v>Likumu un noteikumu izmaiņu biežums</c:v>
                </c:pt>
                <c:pt idx="5">
                  <c:v>Nodokļu likmes</c:v>
                </c:pt>
              </c:strCache>
            </c:strRef>
          </c:cat>
          <c:val>
            <c:numRef>
              <c:f>Sheet11!$B$2:$B$7</c:f>
              <c:numCache>
                <c:formatCode>0%</c:formatCode>
                <c:ptCount val="6"/>
                <c:pt idx="0">
                  <c:v>0.37</c:v>
                </c:pt>
                <c:pt idx="1">
                  <c:v>0.37</c:v>
                </c:pt>
                <c:pt idx="2">
                  <c:v>0.52</c:v>
                </c:pt>
                <c:pt idx="3">
                  <c:v>0.55000000000000004</c:v>
                </c:pt>
                <c:pt idx="4">
                  <c:v>0.6</c:v>
                </c:pt>
                <c:pt idx="5">
                  <c:v>0.7</c:v>
                </c:pt>
              </c:numCache>
            </c:numRef>
          </c:val>
        </c:ser>
        <c:dLbls>
          <c:showLegendKey val="0"/>
          <c:showVal val="0"/>
          <c:showCatName val="0"/>
          <c:showSerName val="0"/>
          <c:showPercent val="0"/>
          <c:showBubbleSize val="0"/>
        </c:dLbls>
        <c:gapWidth val="150"/>
        <c:axId val="187395072"/>
        <c:axId val="187400960"/>
      </c:barChart>
      <c:catAx>
        <c:axId val="187395072"/>
        <c:scaling>
          <c:orientation val="minMax"/>
        </c:scaling>
        <c:delete val="0"/>
        <c:axPos val="l"/>
        <c:majorTickMark val="out"/>
        <c:minorTickMark val="none"/>
        <c:tickLblPos val="nextTo"/>
        <c:crossAx val="187400960"/>
        <c:crosses val="autoZero"/>
        <c:auto val="1"/>
        <c:lblAlgn val="ctr"/>
        <c:lblOffset val="100"/>
        <c:noMultiLvlLbl val="0"/>
      </c:catAx>
      <c:valAx>
        <c:axId val="187400960"/>
        <c:scaling>
          <c:orientation val="minMax"/>
        </c:scaling>
        <c:delete val="0"/>
        <c:axPos val="b"/>
        <c:numFmt formatCode="0%" sourceLinked="1"/>
        <c:majorTickMark val="out"/>
        <c:minorTickMark val="none"/>
        <c:tickLblPos val="nextTo"/>
        <c:crossAx val="187395072"/>
        <c:crosses val="autoZero"/>
        <c:crossBetween val="between"/>
      </c:valAx>
    </c:plotArea>
    <c:plotVisOnly val="1"/>
    <c:dispBlanksAs val="gap"/>
    <c:showDLblsOverMax val="0"/>
  </c:chart>
  <c:txPr>
    <a:bodyPr/>
    <a:lstStyle/>
    <a:p>
      <a:pPr>
        <a:defRPr sz="900">
          <a:latin typeface="+mj-lt"/>
        </a:defRPr>
      </a:pPr>
      <a:endParaRPr lang="en-US"/>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148259902626676E-2"/>
          <c:y val="4.9382716049382713E-2"/>
          <c:w val="0.67260315361343193"/>
          <c:h val="0.79253956891752164"/>
        </c:manualLayout>
      </c:layout>
      <c:barChart>
        <c:barDir val="col"/>
        <c:grouping val="clustered"/>
        <c:varyColors val="0"/>
        <c:ser>
          <c:idx val="0"/>
          <c:order val="0"/>
          <c:tx>
            <c:strRef>
              <c:f>Sheet12!$A$1</c:f>
              <c:strCache>
                <c:ptCount val="1"/>
                <c:pt idx="0">
                  <c:v>Vidējais uzņēmuma laika patēriņš, risinot ar administratīvajām prasībām saistītus jautājumus (procentos no kopējā darba laika)</c:v>
                </c:pt>
              </c:strCache>
            </c:strRef>
          </c:tx>
          <c:invertIfNegative val="0"/>
          <c:dLbls>
            <c:showLegendKey val="0"/>
            <c:showVal val="1"/>
            <c:showCatName val="0"/>
            <c:showSerName val="0"/>
            <c:showPercent val="0"/>
            <c:showBubbleSize val="0"/>
            <c:showLeaderLines val="0"/>
          </c:dLbls>
          <c:cat>
            <c:strRef>
              <c:f>Sheet12!$A$2:$A$8</c:f>
              <c:strCache>
                <c:ptCount val="7"/>
                <c:pt idx="0">
                  <c:v>2001 (n=454)</c:v>
                </c:pt>
                <c:pt idx="1">
                  <c:v>2003 (n=457)</c:v>
                </c:pt>
                <c:pt idx="2">
                  <c:v>2005 (n=610)</c:v>
                </c:pt>
                <c:pt idx="3">
                  <c:v>2007 (n=583)</c:v>
                </c:pt>
                <c:pt idx="4">
                  <c:v>2009 (n=524)</c:v>
                </c:pt>
                <c:pt idx="5">
                  <c:v>2011 (n=436)</c:v>
                </c:pt>
                <c:pt idx="6">
                  <c:v>2014 (n=496)</c:v>
                </c:pt>
              </c:strCache>
            </c:strRef>
          </c:cat>
          <c:val>
            <c:numRef>
              <c:f>Sheet12!$B$2:$B$8</c:f>
              <c:numCache>
                <c:formatCode>0%</c:formatCode>
                <c:ptCount val="7"/>
                <c:pt idx="0">
                  <c:v>0.16</c:v>
                </c:pt>
                <c:pt idx="1">
                  <c:v>0.16</c:v>
                </c:pt>
                <c:pt idx="2">
                  <c:v>0.37</c:v>
                </c:pt>
                <c:pt idx="3">
                  <c:v>0.12</c:v>
                </c:pt>
                <c:pt idx="4">
                  <c:v>0.13</c:v>
                </c:pt>
                <c:pt idx="5">
                  <c:v>0.11</c:v>
                </c:pt>
                <c:pt idx="6">
                  <c:v>0.13</c:v>
                </c:pt>
              </c:numCache>
            </c:numRef>
          </c:val>
        </c:ser>
        <c:dLbls>
          <c:showLegendKey val="0"/>
          <c:showVal val="0"/>
          <c:showCatName val="0"/>
          <c:showSerName val="0"/>
          <c:showPercent val="0"/>
          <c:showBubbleSize val="0"/>
        </c:dLbls>
        <c:gapWidth val="150"/>
        <c:axId val="187421056"/>
        <c:axId val="187422592"/>
      </c:barChart>
      <c:catAx>
        <c:axId val="187421056"/>
        <c:scaling>
          <c:orientation val="minMax"/>
        </c:scaling>
        <c:delete val="0"/>
        <c:axPos val="b"/>
        <c:majorTickMark val="out"/>
        <c:minorTickMark val="none"/>
        <c:tickLblPos val="nextTo"/>
        <c:crossAx val="187422592"/>
        <c:crosses val="autoZero"/>
        <c:auto val="1"/>
        <c:lblAlgn val="ctr"/>
        <c:lblOffset val="100"/>
        <c:noMultiLvlLbl val="0"/>
      </c:catAx>
      <c:valAx>
        <c:axId val="187422592"/>
        <c:scaling>
          <c:orientation val="minMax"/>
        </c:scaling>
        <c:delete val="0"/>
        <c:axPos val="l"/>
        <c:numFmt formatCode="0%" sourceLinked="1"/>
        <c:majorTickMark val="out"/>
        <c:minorTickMark val="none"/>
        <c:tickLblPos val="nextTo"/>
        <c:crossAx val="187421056"/>
        <c:crosses val="autoZero"/>
        <c:crossBetween val="between"/>
      </c:valAx>
    </c:plotArea>
    <c:legend>
      <c:legendPos val="r"/>
      <c:layout>
        <c:manualLayout>
          <c:xMode val="edge"/>
          <c:yMode val="edge"/>
          <c:x val="0.7603053435114504"/>
          <c:y val="0.38604781545163996"/>
          <c:w val="0.22748091603053436"/>
          <c:h val="0.402988414326997"/>
        </c:manualLayout>
      </c:layout>
      <c:overlay val="0"/>
    </c:legend>
    <c:plotVisOnly val="1"/>
    <c:dispBlanksAs val="gap"/>
    <c:showDLblsOverMax val="0"/>
  </c:chart>
  <c:txPr>
    <a:bodyPr/>
    <a:lstStyle/>
    <a:p>
      <a:pPr>
        <a:defRPr sz="900">
          <a:latin typeface="+mj-lt"/>
        </a:defRPr>
      </a:pPr>
      <a:endParaRPr lang="en-US"/>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Lbls>
            <c:showLegendKey val="0"/>
            <c:showVal val="1"/>
            <c:showCatName val="0"/>
            <c:showSerName val="0"/>
            <c:showPercent val="0"/>
            <c:showBubbleSize val="0"/>
            <c:showLeaderLines val="0"/>
          </c:dLbls>
          <c:cat>
            <c:strRef>
              <c:f>Sheet13!$A$1:$A$5</c:f>
              <c:strCache>
                <c:ptCount val="5"/>
                <c:pt idx="0">
                  <c:v>2005 (n=701)</c:v>
                </c:pt>
                <c:pt idx="1">
                  <c:v>2007 (n=720)</c:v>
                </c:pt>
                <c:pt idx="2">
                  <c:v>2009 (n=735)</c:v>
                </c:pt>
                <c:pt idx="3">
                  <c:v>2011 (n=728)</c:v>
                </c:pt>
                <c:pt idx="4">
                  <c:v>2014 (n=734)</c:v>
                </c:pt>
              </c:strCache>
            </c:strRef>
          </c:cat>
          <c:val>
            <c:numRef>
              <c:f>Sheet13!$B$1:$B$5</c:f>
              <c:numCache>
                <c:formatCode>0%</c:formatCode>
                <c:ptCount val="5"/>
                <c:pt idx="0">
                  <c:v>0.09</c:v>
                </c:pt>
                <c:pt idx="1">
                  <c:v>0.1</c:v>
                </c:pt>
                <c:pt idx="2">
                  <c:v>0.04</c:v>
                </c:pt>
                <c:pt idx="3">
                  <c:v>7.0000000000000007E-2</c:v>
                </c:pt>
                <c:pt idx="4">
                  <c:v>0.16</c:v>
                </c:pt>
              </c:numCache>
            </c:numRef>
          </c:val>
        </c:ser>
        <c:dLbls>
          <c:showLegendKey val="0"/>
          <c:showVal val="0"/>
          <c:showCatName val="0"/>
          <c:showSerName val="0"/>
          <c:showPercent val="0"/>
          <c:showBubbleSize val="0"/>
        </c:dLbls>
        <c:gapWidth val="150"/>
        <c:axId val="187524992"/>
        <c:axId val="187526528"/>
      </c:barChart>
      <c:catAx>
        <c:axId val="187524992"/>
        <c:scaling>
          <c:orientation val="minMax"/>
        </c:scaling>
        <c:delete val="0"/>
        <c:axPos val="b"/>
        <c:majorTickMark val="out"/>
        <c:minorTickMark val="none"/>
        <c:tickLblPos val="nextTo"/>
        <c:crossAx val="187526528"/>
        <c:crosses val="autoZero"/>
        <c:auto val="1"/>
        <c:lblAlgn val="ctr"/>
        <c:lblOffset val="100"/>
        <c:noMultiLvlLbl val="0"/>
      </c:catAx>
      <c:valAx>
        <c:axId val="187526528"/>
        <c:scaling>
          <c:orientation val="minMax"/>
        </c:scaling>
        <c:delete val="0"/>
        <c:axPos val="l"/>
        <c:numFmt formatCode="0%" sourceLinked="1"/>
        <c:majorTickMark val="out"/>
        <c:minorTickMark val="none"/>
        <c:tickLblPos val="nextTo"/>
        <c:crossAx val="187524992"/>
        <c:crosses val="autoZero"/>
        <c:crossBetween val="between"/>
      </c:valAx>
    </c:plotArea>
    <c:plotVisOnly val="1"/>
    <c:dispBlanksAs val="gap"/>
    <c:showDLblsOverMax val="0"/>
  </c:chart>
  <c:txPr>
    <a:bodyPr/>
    <a:lstStyle/>
    <a:p>
      <a:pPr>
        <a:defRPr sz="900">
          <a:latin typeface="+mj-lt"/>
        </a:defRPr>
      </a:pPr>
      <a:endParaRPr lang="en-US"/>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Lbls>
            <c:showLegendKey val="0"/>
            <c:showVal val="1"/>
            <c:showCatName val="0"/>
            <c:showSerName val="0"/>
            <c:showPercent val="0"/>
            <c:showBubbleSize val="0"/>
            <c:showLeaderLines val="0"/>
          </c:dLbls>
          <c:cat>
            <c:strRef>
              <c:f>Sheet14!$A$1:$A$5</c:f>
              <c:strCache>
                <c:ptCount val="5"/>
                <c:pt idx="0">
                  <c:v>2005 (n=701)</c:v>
                </c:pt>
                <c:pt idx="1">
                  <c:v>2007 (n=720)</c:v>
                </c:pt>
                <c:pt idx="2">
                  <c:v>2009 (n=735)</c:v>
                </c:pt>
                <c:pt idx="3">
                  <c:v>2011 (n=728)</c:v>
                </c:pt>
                <c:pt idx="4">
                  <c:v>2014 (n=734)</c:v>
                </c:pt>
              </c:strCache>
            </c:strRef>
          </c:cat>
          <c:val>
            <c:numRef>
              <c:f>Sheet14!$B$1:$B$5</c:f>
              <c:numCache>
                <c:formatCode>0%</c:formatCode>
                <c:ptCount val="5"/>
                <c:pt idx="0">
                  <c:v>0.09</c:v>
                </c:pt>
                <c:pt idx="1">
                  <c:v>0.13</c:v>
                </c:pt>
                <c:pt idx="2">
                  <c:v>0.16</c:v>
                </c:pt>
                <c:pt idx="3">
                  <c:v>0.12</c:v>
                </c:pt>
                <c:pt idx="4" formatCode="0.00%">
                  <c:v>6.6000000000000003E-2</c:v>
                </c:pt>
              </c:numCache>
            </c:numRef>
          </c:val>
        </c:ser>
        <c:dLbls>
          <c:showLegendKey val="0"/>
          <c:showVal val="0"/>
          <c:showCatName val="0"/>
          <c:showSerName val="0"/>
          <c:showPercent val="0"/>
          <c:showBubbleSize val="0"/>
        </c:dLbls>
        <c:gapWidth val="150"/>
        <c:axId val="187550720"/>
        <c:axId val="188031744"/>
      </c:barChart>
      <c:catAx>
        <c:axId val="187550720"/>
        <c:scaling>
          <c:orientation val="minMax"/>
        </c:scaling>
        <c:delete val="0"/>
        <c:axPos val="b"/>
        <c:majorTickMark val="out"/>
        <c:minorTickMark val="none"/>
        <c:tickLblPos val="nextTo"/>
        <c:crossAx val="188031744"/>
        <c:crosses val="autoZero"/>
        <c:auto val="1"/>
        <c:lblAlgn val="ctr"/>
        <c:lblOffset val="100"/>
        <c:noMultiLvlLbl val="0"/>
      </c:catAx>
      <c:valAx>
        <c:axId val="188031744"/>
        <c:scaling>
          <c:orientation val="minMax"/>
        </c:scaling>
        <c:delete val="0"/>
        <c:axPos val="l"/>
        <c:numFmt formatCode="0%" sourceLinked="1"/>
        <c:majorTickMark val="out"/>
        <c:minorTickMark val="none"/>
        <c:tickLblPos val="nextTo"/>
        <c:crossAx val="187550720"/>
        <c:crosses val="autoZero"/>
        <c:crossBetween val="between"/>
      </c:valAx>
    </c:plotArea>
    <c:plotVisOnly val="1"/>
    <c:dispBlanksAs val="gap"/>
    <c:showDLblsOverMax val="0"/>
  </c:chart>
  <c:txPr>
    <a:bodyPr/>
    <a:lstStyle/>
    <a:p>
      <a:pPr>
        <a:defRPr sz="900">
          <a:latin typeface="+mj-lt"/>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1383507294146369E-2"/>
          <c:y val="5.0925925925925923E-2"/>
          <c:w val="0.68143303017355383"/>
          <c:h val="0.79878025663458729"/>
        </c:manualLayout>
      </c:layout>
      <c:lineChart>
        <c:grouping val="standard"/>
        <c:varyColors val="0"/>
        <c:ser>
          <c:idx val="0"/>
          <c:order val="0"/>
          <c:tx>
            <c:strRef>
              <c:f>Sheet6!$A$2</c:f>
              <c:strCache>
                <c:ptCount val="1"/>
                <c:pt idx="0">
                  <c:v>Komercreģistrā (n1=359; n2=425; n3=394; n4=95; n5=89; n6=127; n7=61)</c:v>
                </c:pt>
              </c:strCache>
            </c:strRef>
          </c:tx>
          <c:dLbls>
            <c:dLbl>
              <c:idx val="3"/>
              <c:layout>
                <c:manualLayout>
                  <c:x val="-3.4065076179122779E-2"/>
                  <c:y val="-9.324935990718379E-2"/>
                </c:manualLayout>
              </c:layout>
              <c:dLblPos val="r"/>
              <c:showLegendKey val="0"/>
              <c:showVal val="1"/>
              <c:showCatName val="0"/>
              <c:showSerName val="0"/>
              <c:showPercent val="0"/>
              <c:showBubbleSize val="0"/>
            </c:dLbl>
            <c:txPr>
              <a:bodyPr/>
              <a:lstStyle/>
              <a:p>
                <a:pPr>
                  <a:defRPr>
                    <a:latin typeface="+mj-lt"/>
                  </a:defRPr>
                </a:pPr>
                <a:endParaRPr lang="en-US"/>
              </a:p>
            </c:txPr>
            <c:dLblPos val="t"/>
            <c:showLegendKey val="0"/>
            <c:showVal val="1"/>
            <c:showCatName val="0"/>
            <c:showSerName val="0"/>
            <c:showPercent val="0"/>
            <c:showBubbleSize val="0"/>
            <c:showLeaderLines val="0"/>
          </c:dLbls>
          <c:cat>
            <c:strRef>
              <c:f>Sheet6!$B$1:$H$1</c:f>
              <c:strCache>
                <c:ptCount val="7"/>
                <c:pt idx="0">
                  <c:v>2001 (n1)</c:v>
                </c:pt>
                <c:pt idx="1">
                  <c:v>2003 (n2)</c:v>
                </c:pt>
                <c:pt idx="2">
                  <c:v>2005 (n3)</c:v>
                </c:pt>
                <c:pt idx="3">
                  <c:v>2007 (n4)</c:v>
                </c:pt>
                <c:pt idx="4">
                  <c:v>2009 (n5)</c:v>
                </c:pt>
                <c:pt idx="5">
                  <c:v>2011 (n6)</c:v>
                </c:pt>
                <c:pt idx="6">
                  <c:v>2014 (n7)</c:v>
                </c:pt>
              </c:strCache>
            </c:strRef>
          </c:cat>
          <c:val>
            <c:numRef>
              <c:f>Sheet6!$B$2:$H$2</c:f>
              <c:numCache>
                <c:formatCode>General</c:formatCode>
                <c:ptCount val="7"/>
                <c:pt idx="0">
                  <c:v>19.899999999999999</c:v>
                </c:pt>
                <c:pt idx="1">
                  <c:v>24.9</c:v>
                </c:pt>
                <c:pt idx="2">
                  <c:v>20</c:v>
                </c:pt>
                <c:pt idx="3">
                  <c:v>9.4</c:v>
                </c:pt>
                <c:pt idx="4">
                  <c:v>8.9</c:v>
                </c:pt>
                <c:pt idx="5">
                  <c:v>7.1</c:v>
                </c:pt>
                <c:pt idx="6">
                  <c:v>5.7</c:v>
                </c:pt>
              </c:numCache>
            </c:numRef>
          </c:val>
          <c:smooth val="0"/>
        </c:ser>
        <c:ser>
          <c:idx val="1"/>
          <c:order val="1"/>
          <c:tx>
            <c:strRef>
              <c:f>Sheet6!$A$3</c:f>
              <c:strCache>
                <c:ptCount val="1"/>
                <c:pt idx="0">
                  <c:v>VID par PVN maksātāju (n1=235; n2=316; n3=298; n4=97; n5=78; n6=113; n7=67)</c:v>
                </c:pt>
              </c:strCache>
            </c:strRef>
          </c:tx>
          <c:dLbls>
            <c:txPr>
              <a:bodyPr/>
              <a:lstStyle/>
              <a:p>
                <a:pPr>
                  <a:defRPr>
                    <a:latin typeface="+mj-lt"/>
                  </a:defRPr>
                </a:pPr>
                <a:endParaRPr lang="en-US"/>
              </a:p>
            </c:txPr>
            <c:dLblPos val="b"/>
            <c:showLegendKey val="0"/>
            <c:showVal val="1"/>
            <c:showCatName val="0"/>
            <c:showSerName val="0"/>
            <c:showPercent val="0"/>
            <c:showBubbleSize val="0"/>
            <c:showLeaderLines val="0"/>
          </c:dLbls>
          <c:cat>
            <c:strRef>
              <c:f>Sheet6!$B$1:$H$1</c:f>
              <c:strCache>
                <c:ptCount val="7"/>
                <c:pt idx="0">
                  <c:v>2001 (n1)</c:v>
                </c:pt>
                <c:pt idx="1">
                  <c:v>2003 (n2)</c:v>
                </c:pt>
                <c:pt idx="2">
                  <c:v>2005 (n3)</c:v>
                </c:pt>
                <c:pt idx="3">
                  <c:v>2007 (n4)</c:v>
                </c:pt>
                <c:pt idx="4">
                  <c:v>2009 (n5)</c:v>
                </c:pt>
                <c:pt idx="5">
                  <c:v>2011 (n6)</c:v>
                </c:pt>
                <c:pt idx="6">
                  <c:v>2014 (n7)</c:v>
                </c:pt>
              </c:strCache>
            </c:strRef>
          </c:cat>
          <c:val>
            <c:numRef>
              <c:f>Sheet6!$B$3:$H$3</c:f>
              <c:numCache>
                <c:formatCode>General</c:formatCode>
                <c:ptCount val="7"/>
                <c:pt idx="0">
                  <c:v>8.4</c:v>
                </c:pt>
                <c:pt idx="1">
                  <c:v>10.8</c:v>
                </c:pt>
                <c:pt idx="2">
                  <c:v>12.4</c:v>
                </c:pt>
                <c:pt idx="3">
                  <c:v>9.6999999999999993</c:v>
                </c:pt>
                <c:pt idx="4">
                  <c:v>9.1999999999999993</c:v>
                </c:pt>
                <c:pt idx="5">
                  <c:v>7.2</c:v>
                </c:pt>
                <c:pt idx="6">
                  <c:v>3.3</c:v>
                </c:pt>
              </c:numCache>
            </c:numRef>
          </c:val>
          <c:smooth val="0"/>
        </c:ser>
        <c:dLbls>
          <c:showLegendKey val="0"/>
          <c:showVal val="0"/>
          <c:showCatName val="0"/>
          <c:showSerName val="0"/>
          <c:showPercent val="0"/>
          <c:showBubbleSize val="0"/>
        </c:dLbls>
        <c:marker val="1"/>
        <c:smooth val="0"/>
        <c:axId val="165272960"/>
        <c:axId val="174204032"/>
      </c:lineChart>
      <c:catAx>
        <c:axId val="165272960"/>
        <c:scaling>
          <c:orientation val="minMax"/>
        </c:scaling>
        <c:delete val="0"/>
        <c:axPos val="b"/>
        <c:numFmt formatCode="General" sourceLinked="1"/>
        <c:majorTickMark val="out"/>
        <c:minorTickMark val="none"/>
        <c:tickLblPos val="nextTo"/>
        <c:txPr>
          <a:bodyPr/>
          <a:lstStyle/>
          <a:p>
            <a:pPr>
              <a:defRPr sz="900">
                <a:latin typeface="Georgia" panose="02040502050405020303" pitchFamily="18" charset="0"/>
              </a:defRPr>
            </a:pPr>
            <a:endParaRPr lang="en-US"/>
          </a:p>
        </c:txPr>
        <c:crossAx val="174204032"/>
        <c:crosses val="autoZero"/>
        <c:auto val="1"/>
        <c:lblAlgn val="ctr"/>
        <c:lblOffset val="100"/>
        <c:noMultiLvlLbl val="0"/>
      </c:catAx>
      <c:valAx>
        <c:axId val="174204032"/>
        <c:scaling>
          <c:orientation val="minMax"/>
        </c:scaling>
        <c:delete val="0"/>
        <c:axPos val="l"/>
        <c:majorGridlines/>
        <c:numFmt formatCode="General" sourceLinked="1"/>
        <c:majorTickMark val="out"/>
        <c:minorTickMark val="none"/>
        <c:tickLblPos val="nextTo"/>
        <c:txPr>
          <a:bodyPr/>
          <a:lstStyle/>
          <a:p>
            <a:pPr>
              <a:defRPr sz="900">
                <a:latin typeface="Georgia" panose="02040502050405020303" pitchFamily="18" charset="0"/>
              </a:defRPr>
            </a:pPr>
            <a:endParaRPr lang="en-US"/>
          </a:p>
        </c:txPr>
        <c:crossAx val="165272960"/>
        <c:crosses val="autoZero"/>
        <c:crossBetween val="between"/>
      </c:valAx>
    </c:plotArea>
    <c:legend>
      <c:legendPos val="r"/>
      <c:layout>
        <c:manualLayout>
          <c:xMode val="edge"/>
          <c:yMode val="edge"/>
          <c:x val="0.76382428940568481"/>
          <c:y val="0.11396799358413534"/>
          <c:w val="0.22377260981912145"/>
          <c:h val="0.74428623505395164"/>
        </c:manualLayout>
      </c:layout>
      <c:overlay val="0"/>
      <c:txPr>
        <a:bodyPr/>
        <a:lstStyle/>
        <a:p>
          <a:pPr>
            <a:defRPr sz="900">
              <a:latin typeface="Georgia" panose="02040502050405020303" pitchFamily="18" charset="0"/>
            </a:defRPr>
          </a:pPr>
          <a:endParaRPr lang="en-US"/>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Sheet7!$C$1</c:f>
              <c:strCache>
                <c:ptCount val="1"/>
                <c:pt idx="0">
                  <c:v>2014 (n1)</c:v>
                </c:pt>
              </c:strCache>
            </c:strRef>
          </c:tx>
          <c:invertIfNegative val="0"/>
          <c:dLbls>
            <c:showLegendKey val="0"/>
            <c:showVal val="1"/>
            <c:showCatName val="0"/>
            <c:showSerName val="0"/>
            <c:showPercent val="0"/>
            <c:showBubbleSize val="0"/>
            <c:showLeaderLines val="0"/>
          </c:dLbls>
          <c:cat>
            <c:strRef>
              <c:f>Sheet7!$B$2:$B$11</c:f>
              <c:strCache>
                <c:ptCount val="10"/>
                <c:pt idx="0">
                  <c:v>Pašvaldības licence vietējiem pasažieru pārvadājumiem (n1=4) (n2=3)</c:v>
                </c:pt>
                <c:pt idx="1">
                  <c:v>Autortiesību aizsardzība mūzikai un/ vai mūzikas atskaņošanas atļauja (n1=19) (n2=36)</c:v>
                </c:pt>
                <c:pt idx="2">
                  <c:v>Tabakas izstrādājumu un/ vai alkoholisko dzērienu ražošanai, importam, vairumtirdzniecībai un mazumtirdzniecībai (n1=25) (n2=43)</c:v>
                </c:pt>
                <c:pt idx="3">
                  <c:v>Atļauja izvietot vides reklāmu (n1=30) (n2=47)</c:v>
                </c:pt>
                <c:pt idx="4">
                  <c:v>Pārtikas un veterinārā dienesta izsniegts atzīšanas vai reģistrācijas numurs (n1=37) (n2=72)</c:v>
                </c:pt>
                <c:pt idx="5">
                  <c:v>Reģistrācija Būvkomersantu reģistrā (n1=31) (n2=40)</c:v>
                </c:pt>
                <c:pt idx="6">
                  <c:v>Tirdzniecības atļaujas pašvaldībās (n1=52) (n2=67)</c:v>
                </c:pt>
                <c:pt idx="7">
                  <c:v>Valsts licence kravu komercpārvadājumiem Latvijas teritorijā un/ vai starptautiskajiem kravu komercpārvadājumiem ar kravas auto (n1=37) (n2=32)</c:v>
                </c:pt>
                <c:pt idx="8">
                  <c:v>Medikamentu ražošanai un/ vai tirdzniecībai (n1=7) (n2=13)</c:v>
                </c:pt>
                <c:pt idx="9">
                  <c:v>Valsts licence pasažieru komcercpārvadājumiem Latvijā un/ vai starptautiskajiem pasažieru komercpārvadājumiem ar autobusiem (n1=6) (n2=4)</c:v>
                </c:pt>
              </c:strCache>
            </c:strRef>
          </c:cat>
          <c:val>
            <c:numRef>
              <c:f>Sheet7!$C$2:$C$11</c:f>
              <c:numCache>
                <c:formatCode>General</c:formatCode>
                <c:ptCount val="10"/>
                <c:pt idx="0">
                  <c:v>4</c:v>
                </c:pt>
                <c:pt idx="1">
                  <c:v>6</c:v>
                </c:pt>
                <c:pt idx="2">
                  <c:v>8</c:v>
                </c:pt>
                <c:pt idx="3">
                  <c:v>9</c:v>
                </c:pt>
                <c:pt idx="4">
                  <c:v>9</c:v>
                </c:pt>
                <c:pt idx="5">
                  <c:v>10</c:v>
                </c:pt>
                <c:pt idx="6">
                  <c:v>11</c:v>
                </c:pt>
                <c:pt idx="7">
                  <c:v>11</c:v>
                </c:pt>
                <c:pt idx="8">
                  <c:v>12</c:v>
                </c:pt>
                <c:pt idx="9">
                  <c:v>12</c:v>
                </c:pt>
              </c:numCache>
            </c:numRef>
          </c:val>
        </c:ser>
        <c:ser>
          <c:idx val="1"/>
          <c:order val="1"/>
          <c:tx>
            <c:strRef>
              <c:f>Sheet7!$D$1</c:f>
              <c:strCache>
                <c:ptCount val="1"/>
                <c:pt idx="0">
                  <c:v>2011 (n2)</c:v>
                </c:pt>
              </c:strCache>
            </c:strRef>
          </c:tx>
          <c:invertIfNegative val="0"/>
          <c:dLbls>
            <c:dLblPos val="outEnd"/>
            <c:showLegendKey val="0"/>
            <c:showVal val="1"/>
            <c:showCatName val="0"/>
            <c:showSerName val="0"/>
            <c:showPercent val="0"/>
            <c:showBubbleSize val="0"/>
            <c:showLeaderLines val="0"/>
          </c:dLbls>
          <c:val>
            <c:numRef>
              <c:f>Sheet7!$D$2:$D$11</c:f>
              <c:numCache>
                <c:formatCode>General</c:formatCode>
                <c:ptCount val="10"/>
                <c:pt idx="0">
                  <c:v>21</c:v>
                </c:pt>
                <c:pt idx="1">
                  <c:v>3</c:v>
                </c:pt>
                <c:pt idx="2">
                  <c:v>14</c:v>
                </c:pt>
                <c:pt idx="3">
                  <c:v>12</c:v>
                </c:pt>
                <c:pt idx="4">
                  <c:v>12</c:v>
                </c:pt>
                <c:pt idx="5">
                  <c:v>7</c:v>
                </c:pt>
                <c:pt idx="6">
                  <c:v>9</c:v>
                </c:pt>
                <c:pt idx="7">
                  <c:v>9</c:v>
                </c:pt>
                <c:pt idx="8">
                  <c:v>22</c:v>
                </c:pt>
                <c:pt idx="9">
                  <c:v>7</c:v>
                </c:pt>
              </c:numCache>
            </c:numRef>
          </c:val>
        </c:ser>
        <c:dLbls>
          <c:showLegendKey val="0"/>
          <c:showVal val="0"/>
          <c:showCatName val="0"/>
          <c:showSerName val="0"/>
          <c:showPercent val="0"/>
          <c:showBubbleSize val="0"/>
        </c:dLbls>
        <c:gapWidth val="150"/>
        <c:axId val="174233856"/>
        <c:axId val="174247936"/>
      </c:barChart>
      <c:catAx>
        <c:axId val="174233856"/>
        <c:scaling>
          <c:orientation val="minMax"/>
        </c:scaling>
        <c:delete val="0"/>
        <c:axPos val="l"/>
        <c:majorTickMark val="out"/>
        <c:minorTickMark val="none"/>
        <c:tickLblPos val="nextTo"/>
        <c:crossAx val="174247936"/>
        <c:crosses val="autoZero"/>
        <c:auto val="1"/>
        <c:lblAlgn val="ctr"/>
        <c:lblOffset val="100"/>
        <c:noMultiLvlLbl val="0"/>
      </c:catAx>
      <c:valAx>
        <c:axId val="174247936"/>
        <c:scaling>
          <c:orientation val="minMax"/>
        </c:scaling>
        <c:delete val="0"/>
        <c:axPos val="b"/>
        <c:numFmt formatCode="General" sourceLinked="1"/>
        <c:majorTickMark val="out"/>
        <c:minorTickMark val="none"/>
        <c:tickLblPos val="nextTo"/>
        <c:crossAx val="174233856"/>
        <c:crosses val="autoZero"/>
        <c:crossBetween val="between"/>
      </c:valAx>
    </c:plotArea>
    <c:legend>
      <c:legendPos val="r"/>
      <c:layout/>
      <c:overlay val="1"/>
    </c:legend>
    <c:plotVisOnly val="1"/>
    <c:dispBlanksAs val="gap"/>
    <c:showDLblsOverMax val="0"/>
  </c:chart>
  <c:txPr>
    <a:bodyPr/>
    <a:lstStyle/>
    <a:p>
      <a:pPr>
        <a:defRPr sz="800">
          <a:latin typeface="+mj-lt"/>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0143919510061237E-2"/>
          <c:y val="5.0925925925925923E-2"/>
          <c:w val="0.68155927384076986"/>
          <c:h val="0.79878025663458729"/>
        </c:manualLayout>
      </c:layout>
      <c:barChart>
        <c:barDir val="col"/>
        <c:grouping val="clustered"/>
        <c:varyColors val="0"/>
        <c:ser>
          <c:idx val="0"/>
          <c:order val="0"/>
          <c:tx>
            <c:strRef>
              <c:f>Sheet1!$A$2</c:f>
              <c:strCache>
                <c:ptCount val="1"/>
                <c:pt idx="0">
                  <c:v>Visu būvniecības saskaņošanai nepieciešamo procedūru nokārtošanai patērētais vidējais kalendāro dienu skaits</c:v>
                </c:pt>
              </c:strCache>
            </c:strRef>
          </c:tx>
          <c:spPr>
            <a:solidFill>
              <a:schemeClr val="accent1"/>
            </a:solidFill>
          </c:spPr>
          <c:invertIfNegative val="0"/>
          <c:dLbls>
            <c:txPr>
              <a:bodyPr/>
              <a:lstStyle/>
              <a:p>
                <a:pPr>
                  <a:defRPr sz="900">
                    <a:latin typeface="Georgia" panose="02040502050405020303" pitchFamily="18" charset="0"/>
                  </a:defRPr>
                </a:pPr>
                <a:endParaRPr lang="en-US"/>
              </a:p>
            </c:txPr>
            <c:showLegendKey val="0"/>
            <c:showVal val="1"/>
            <c:showCatName val="0"/>
            <c:showSerName val="0"/>
            <c:showPercent val="0"/>
            <c:showBubbleSize val="0"/>
            <c:showLeaderLines val="0"/>
          </c:dLbls>
          <c:cat>
            <c:strRef>
              <c:f>Sheet1!$B$1:$E$1</c:f>
              <c:strCache>
                <c:ptCount val="4"/>
                <c:pt idx="0">
                  <c:v>2007 (n=85)</c:v>
                </c:pt>
                <c:pt idx="1">
                  <c:v>2009 (n=64)</c:v>
                </c:pt>
                <c:pt idx="2">
                  <c:v>2011 (n=55)</c:v>
                </c:pt>
                <c:pt idx="3">
                  <c:v>2014 (n=41)</c:v>
                </c:pt>
              </c:strCache>
            </c:strRef>
          </c:cat>
          <c:val>
            <c:numRef>
              <c:f>Sheet1!$B$2:$E$2</c:f>
              <c:numCache>
                <c:formatCode>General</c:formatCode>
                <c:ptCount val="4"/>
                <c:pt idx="0">
                  <c:v>144</c:v>
                </c:pt>
                <c:pt idx="1">
                  <c:v>128</c:v>
                </c:pt>
                <c:pt idx="2">
                  <c:v>81</c:v>
                </c:pt>
                <c:pt idx="3">
                  <c:v>68</c:v>
                </c:pt>
              </c:numCache>
            </c:numRef>
          </c:val>
        </c:ser>
        <c:dLbls>
          <c:showLegendKey val="0"/>
          <c:showVal val="0"/>
          <c:showCatName val="0"/>
          <c:showSerName val="0"/>
          <c:showPercent val="0"/>
          <c:showBubbleSize val="0"/>
        </c:dLbls>
        <c:gapWidth val="150"/>
        <c:axId val="165748736"/>
        <c:axId val="165750272"/>
      </c:barChart>
      <c:catAx>
        <c:axId val="165748736"/>
        <c:scaling>
          <c:orientation val="minMax"/>
        </c:scaling>
        <c:delete val="0"/>
        <c:axPos val="b"/>
        <c:numFmt formatCode="General" sourceLinked="1"/>
        <c:majorTickMark val="none"/>
        <c:minorTickMark val="none"/>
        <c:tickLblPos val="nextTo"/>
        <c:txPr>
          <a:bodyPr/>
          <a:lstStyle/>
          <a:p>
            <a:pPr>
              <a:defRPr sz="900">
                <a:latin typeface="Georgia" panose="02040502050405020303" pitchFamily="18" charset="0"/>
              </a:defRPr>
            </a:pPr>
            <a:endParaRPr lang="en-US"/>
          </a:p>
        </c:txPr>
        <c:crossAx val="165750272"/>
        <c:crosses val="autoZero"/>
        <c:auto val="1"/>
        <c:lblAlgn val="ctr"/>
        <c:lblOffset val="100"/>
        <c:noMultiLvlLbl val="0"/>
      </c:catAx>
      <c:valAx>
        <c:axId val="165750272"/>
        <c:scaling>
          <c:orientation val="minMax"/>
          <c:max val="160"/>
        </c:scaling>
        <c:delete val="0"/>
        <c:axPos val="l"/>
        <c:majorGridlines/>
        <c:numFmt formatCode="General" sourceLinked="1"/>
        <c:majorTickMark val="none"/>
        <c:minorTickMark val="none"/>
        <c:tickLblPos val="nextTo"/>
        <c:txPr>
          <a:bodyPr/>
          <a:lstStyle/>
          <a:p>
            <a:pPr>
              <a:defRPr sz="900">
                <a:latin typeface="Georgia" panose="02040502050405020303" pitchFamily="18" charset="0"/>
              </a:defRPr>
            </a:pPr>
            <a:endParaRPr lang="en-US"/>
          </a:p>
        </c:txPr>
        <c:crossAx val="165748736"/>
        <c:crosses val="autoZero"/>
        <c:crossBetween val="between"/>
        <c:majorUnit val="40"/>
      </c:valAx>
    </c:plotArea>
    <c:legend>
      <c:legendPos val="r"/>
      <c:layout>
        <c:manualLayout>
          <c:xMode val="edge"/>
          <c:yMode val="edge"/>
          <c:x val="0.77836986001749786"/>
          <c:y val="0.40278652668416448"/>
          <c:w val="0.20496347331583553"/>
          <c:h val="0.36109361329833767"/>
        </c:manualLayout>
      </c:layout>
      <c:overlay val="0"/>
      <c:txPr>
        <a:bodyPr/>
        <a:lstStyle/>
        <a:p>
          <a:pPr algn="just">
            <a:defRPr sz="800">
              <a:latin typeface="Georgia" panose="02040502050405020303" pitchFamily="18" charset="0"/>
            </a:defRPr>
          </a:pPr>
          <a:endParaRPr lang="en-US"/>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7409868037328664"/>
          <c:y val="0.11597987751531058"/>
          <c:w val="0.35536490230387868"/>
          <c:h val="0.76804024496937884"/>
        </c:manualLayout>
      </c:layout>
      <c:barChart>
        <c:barDir val="bar"/>
        <c:grouping val="clustered"/>
        <c:varyColors val="0"/>
        <c:ser>
          <c:idx val="1"/>
          <c:order val="1"/>
          <c:tx>
            <c:strRef>
              <c:f>Sheet10!$D$1</c:f>
              <c:strCache>
                <c:ptCount val="1"/>
                <c:pt idx="0">
                  <c:v>Intensitāte (vidējais vērtējums), kur 1 - neliela un 4 - ļoti liela</c:v>
                </c:pt>
              </c:strCache>
            </c:strRef>
          </c:tx>
          <c:invertIfNegative val="0"/>
          <c:cat>
            <c:strRef>
              <c:f>Sheet10!$B$2:$B$6</c:f>
              <c:strCache>
                <c:ptCount val="5"/>
                <c:pt idx="0">
                  <c:v>Pārbaudes, auditi</c:v>
                </c:pt>
                <c:pt idx="1">
                  <c:v>Informācijas pieejamība par nodokļu likumiem un noteikumiem</c:v>
                </c:pt>
                <c:pt idx="2">
                  <c:v>Pretrunas nodokļu likumos un noteikumos</c:v>
                </c:pt>
                <c:pt idx="3">
                  <c:v>Nodokļu likumu nestabilitāte un mainīgums</c:v>
                </c:pt>
                <c:pt idx="4">
                  <c:v>Nodokļu likmes</c:v>
                </c:pt>
              </c:strCache>
            </c:strRef>
          </c:cat>
          <c:val>
            <c:numRef>
              <c:f>Sheet10!$D$2:$D$6</c:f>
              <c:numCache>
                <c:formatCode>General</c:formatCode>
                <c:ptCount val="5"/>
                <c:pt idx="0">
                  <c:v>2.1</c:v>
                </c:pt>
                <c:pt idx="1">
                  <c:v>2.2000000000000002</c:v>
                </c:pt>
                <c:pt idx="2">
                  <c:v>2.5</c:v>
                </c:pt>
                <c:pt idx="3">
                  <c:v>2.7</c:v>
                </c:pt>
                <c:pt idx="4">
                  <c:v>2.8</c:v>
                </c:pt>
              </c:numCache>
            </c:numRef>
          </c:val>
        </c:ser>
        <c:dLbls>
          <c:showLegendKey val="0"/>
          <c:showVal val="0"/>
          <c:showCatName val="0"/>
          <c:showSerName val="0"/>
          <c:showPercent val="0"/>
          <c:showBubbleSize val="0"/>
        </c:dLbls>
        <c:gapWidth val="82"/>
        <c:overlap val="-72"/>
        <c:axId val="165796864"/>
        <c:axId val="185471744"/>
      </c:barChart>
      <c:barChart>
        <c:barDir val="bar"/>
        <c:grouping val="clustered"/>
        <c:varyColors val="0"/>
        <c:ser>
          <c:idx val="0"/>
          <c:order val="0"/>
          <c:tx>
            <c:strRef>
              <c:f>Sheet10!$C$1</c:f>
              <c:strCache>
                <c:ptCount val="1"/>
                <c:pt idx="0">
                  <c:v>Izplatība (%)</c:v>
                </c:pt>
              </c:strCache>
            </c:strRef>
          </c:tx>
          <c:invertIfNegative val="0"/>
          <c:cat>
            <c:strRef>
              <c:f>Sheet10!$B$2:$B$6</c:f>
              <c:strCache>
                <c:ptCount val="5"/>
                <c:pt idx="0">
                  <c:v>Pārbaudes, auditi</c:v>
                </c:pt>
                <c:pt idx="1">
                  <c:v>Informācijas pieejamība par nodokļu likumiem un noteikumiem</c:v>
                </c:pt>
                <c:pt idx="2">
                  <c:v>Pretrunas nodokļu likumos un noteikumos</c:v>
                </c:pt>
                <c:pt idx="3">
                  <c:v>Nodokļu likumu nestabilitāte un mainīgums</c:v>
                </c:pt>
                <c:pt idx="4">
                  <c:v>Nodokļu likmes</c:v>
                </c:pt>
              </c:strCache>
            </c:strRef>
          </c:cat>
          <c:val>
            <c:numRef>
              <c:f>Sheet10!$C$2:$C$6</c:f>
              <c:numCache>
                <c:formatCode>0.0%</c:formatCode>
                <c:ptCount val="5"/>
                <c:pt idx="0">
                  <c:v>0.14399999999999999</c:v>
                </c:pt>
                <c:pt idx="1">
                  <c:v>0.21199999999999999</c:v>
                </c:pt>
                <c:pt idx="2">
                  <c:v>0.38400000000000001</c:v>
                </c:pt>
                <c:pt idx="3">
                  <c:v>0.53400000000000003</c:v>
                </c:pt>
                <c:pt idx="4">
                  <c:v>0.55900000000000005</c:v>
                </c:pt>
              </c:numCache>
            </c:numRef>
          </c:val>
        </c:ser>
        <c:dLbls>
          <c:showLegendKey val="0"/>
          <c:showVal val="0"/>
          <c:showCatName val="0"/>
          <c:showSerName val="0"/>
          <c:showPercent val="0"/>
          <c:showBubbleSize val="0"/>
        </c:dLbls>
        <c:gapWidth val="296"/>
        <c:overlap val="-100"/>
        <c:axId val="185475072"/>
        <c:axId val="185473280"/>
      </c:barChart>
      <c:catAx>
        <c:axId val="165796864"/>
        <c:scaling>
          <c:orientation val="minMax"/>
        </c:scaling>
        <c:delete val="0"/>
        <c:axPos val="l"/>
        <c:majorTickMark val="out"/>
        <c:minorTickMark val="none"/>
        <c:tickLblPos val="nextTo"/>
        <c:crossAx val="185471744"/>
        <c:crosses val="autoZero"/>
        <c:auto val="1"/>
        <c:lblAlgn val="ctr"/>
        <c:lblOffset val="100"/>
        <c:noMultiLvlLbl val="0"/>
      </c:catAx>
      <c:valAx>
        <c:axId val="185471744"/>
        <c:scaling>
          <c:orientation val="minMax"/>
        </c:scaling>
        <c:delete val="0"/>
        <c:axPos val="b"/>
        <c:majorGridlines/>
        <c:numFmt formatCode="General" sourceLinked="1"/>
        <c:majorTickMark val="out"/>
        <c:minorTickMark val="none"/>
        <c:tickLblPos val="nextTo"/>
        <c:crossAx val="165796864"/>
        <c:crosses val="autoZero"/>
        <c:crossBetween val="between"/>
      </c:valAx>
      <c:valAx>
        <c:axId val="185473280"/>
        <c:scaling>
          <c:orientation val="minMax"/>
        </c:scaling>
        <c:delete val="0"/>
        <c:axPos val="t"/>
        <c:numFmt formatCode="0.0%" sourceLinked="1"/>
        <c:majorTickMark val="out"/>
        <c:minorTickMark val="none"/>
        <c:tickLblPos val="nextTo"/>
        <c:crossAx val="185475072"/>
        <c:crosses val="max"/>
        <c:crossBetween val="between"/>
      </c:valAx>
      <c:catAx>
        <c:axId val="185475072"/>
        <c:scaling>
          <c:orientation val="minMax"/>
        </c:scaling>
        <c:delete val="1"/>
        <c:axPos val="l"/>
        <c:majorTickMark val="out"/>
        <c:minorTickMark val="none"/>
        <c:tickLblPos val="nextTo"/>
        <c:crossAx val="185473280"/>
        <c:crosses val="autoZero"/>
        <c:auto val="1"/>
        <c:lblAlgn val="ctr"/>
        <c:lblOffset val="100"/>
        <c:noMultiLvlLbl val="0"/>
      </c:catAx>
    </c:plotArea>
    <c:legend>
      <c:legendPos val="r"/>
      <c:layout>
        <c:manualLayout>
          <c:xMode val="edge"/>
          <c:yMode val="edge"/>
          <c:x val="0.77122065470982792"/>
          <c:y val="0.13129313798243944"/>
          <c:w val="0.21489045640128321"/>
          <c:h val="0.51500616217801798"/>
        </c:manualLayout>
      </c:layout>
      <c:overlay val="0"/>
    </c:legend>
    <c:plotVisOnly val="1"/>
    <c:dispBlanksAs val="gap"/>
    <c:showDLblsOverMax val="0"/>
  </c:chart>
  <c:txPr>
    <a:bodyPr/>
    <a:lstStyle/>
    <a:p>
      <a:pPr>
        <a:defRPr sz="900">
          <a:latin typeface="+mj-lt"/>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stacked"/>
        <c:varyColors val="0"/>
        <c:ser>
          <c:idx val="0"/>
          <c:order val="0"/>
          <c:tx>
            <c:strRef>
              <c:f>'Paying taxes'!$D$50</c:f>
              <c:strCache>
                <c:ptCount val="1"/>
                <c:pt idx="0">
                  <c:v>Peļņas nodokļa maksājumi</c:v>
                </c:pt>
              </c:strCache>
            </c:strRef>
          </c:tx>
          <c:invertIfNegative val="0"/>
          <c:dLbls>
            <c:txPr>
              <a:bodyPr/>
              <a:lstStyle/>
              <a:p>
                <a:pPr>
                  <a:defRPr>
                    <a:solidFill>
                      <a:schemeClr val="bg1"/>
                    </a:solidFill>
                  </a:defRPr>
                </a:pPr>
                <a:endParaRPr lang="en-US"/>
              </a:p>
            </c:txPr>
            <c:showLegendKey val="0"/>
            <c:showVal val="1"/>
            <c:showCatName val="0"/>
            <c:showSerName val="0"/>
            <c:showPercent val="0"/>
            <c:showBubbleSize val="0"/>
            <c:showLeaderLines val="0"/>
          </c:dLbls>
          <c:cat>
            <c:strRef>
              <c:f>'Paying taxes'!$B$61:$B$67</c:f>
              <c:strCache>
                <c:ptCount val="7"/>
                <c:pt idx="0">
                  <c:v>Somija</c:v>
                </c:pt>
                <c:pt idx="1">
                  <c:v>Zviedrija</c:v>
                </c:pt>
                <c:pt idx="2">
                  <c:v>Polija</c:v>
                </c:pt>
                <c:pt idx="3">
                  <c:v>Igaunija</c:v>
                </c:pt>
                <c:pt idx="4">
                  <c:v>Lietuva</c:v>
                </c:pt>
                <c:pt idx="5">
                  <c:v>Latvija</c:v>
                </c:pt>
                <c:pt idx="6">
                  <c:v>Dānija</c:v>
                </c:pt>
              </c:strCache>
            </c:strRef>
          </c:cat>
          <c:val>
            <c:numRef>
              <c:f>'Paying taxes'!$D$61:$D$67</c:f>
              <c:numCache>
                <c:formatCode>_(* #,##0.0_);_(* \(#,##0.0\);_(* "-"_);@_)</c:formatCode>
                <c:ptCount val="7"/>
                <c:pt idx="0">
                  <c:v>14.1</c:v>
                </c:pt>
                <c:pt idx="1">
                  <c:v>16</c:v>
                </c:pt>
                <c:pt idx="2">
                  <c:v>14.1</c:v>
                </c:pt>
                <c:pt idx="3">
                  <c:v>8.1</c:v>
                </c:pt>
                <c:pt idx="4">
                  <c:v>6</c:v>
                </c:pt>
                <c:pt idx="5">
                  <c:v>4.9000000000000004</c:v>
                </c:pt>
                <c:pt idx="6">
                  <c:v>20.3</c:v>
                </c:pt>
              </c:numCache>
            </c:numRef>
          </c:val>
        </c:ser>
        <c:ser>
          <c:idx val="1"/>
          <c:order val="1"/>
          <c:tx>
            <c:strRef>
              <c:f>'Paying taxes'!$E$50</c:f>
              <c:strCache>
                <c:ptCount val="1"/>
                <c:pt idx="0">
                  <c:v>Darbaspēka nodokļu maksājumi</c:v>
                </c:pt>
              </c:strCache>
            </c:strRef>
          </c:tx>
          <c:invertIfNegative val="0"/>
          <c:dLbls>
            <c:txPr>
              <a:bodyPr/>
              <a:lstStyle/>
              <a:p>
                <a:pPr>
                  <a:defRPr>
                    <a:solidFill>
                      <a:schemeClr val="bg1"/>
                    </a:solidFill>
                  </a:defRPr>
                </a:pPr>
                <a:endParaRPr lang="en-US"/>
              </a:p>
            </c:txPr>
            <c:showLegendKey val="0"/>
            <c:showVal val="1"/>
            <c:showCatName val="0"/>
            <c:showSerName val="0"/>
            <c:showPercent val="0"/>
            <c:showBubbleSize val="0"/>
            <c:showLeaderLines val="0"/>
          </c:dLbls>
          <c:cat>
            <c:strRef>
              <c:f>'Paying taxes'!$B$61:$B$67</c:f>
              <c:strCache>
                <c:ptCount val="7"/>
                <c:pt idx="0">
                  <c:v>Somija</c:v>
                </c:pt>
                <c:pt idx="1">
                  <c:v>Zviedrija</c:v>
                </c:pt>
                <c:pt idx="2">
                  <c:v>Polija</c:v>
                </c:pt>
                <c:pt idx="3">
                  <c:v>Igaunija</c:v>
                </c:pt>
                <c:pt idx="4">
                  <c:v>Lietuva</c:v>
                </c:pt>
                <c:pt idx="5">
                  <c:v>Latvija</c:v>
                </c:pt>
                <c:pt idx="6">
                  <c:v>Dānija</c:v>
                </c:pt>
              </c:strCache>
            </c:strRef>
          </c:cat>
          <c:val>
            <c:numRef>
              <c:f>'Paying taxes'!$E$61:$E$67</c:f>
              <c:numCache>
                <c:formatCode>_(* #,##0.0_);_(* \(#,##0.0\);_(* "-"_);@_)</c:formatCode>
                <c:ptCount val="7"/>
                <c:pt idx="0">
                  <c:v>24.5</c:v>
                </c:pt>
                <c:pt idx="1">
                  <c:v>35.5</c:v>
                </c:pt>
                <c:pt idx="2">
                  <c:v>26</c:v>
                </c:pt>
                <c:pt idx="3">
                  <c:v>39.4</c:v>
                </c:pt>
                <c:pt idx="4">
                  <c:v>35.200000000000003</c:v>
                </c:pt>
                <c:pt idx="5">
                  <c:v>27.3</c:v>
                </c:pt>
                <c:pt idx="6">
                  <c:v>3.6</c:v>
                </c:pt>
              </c:numCache>
            </c:numRef>
          </c:val>
        </c:ser>
        <c:ser>
          <c:idx val="2"/>
          <c:order val="2"/>
          <c:tx>
            <c:strRef>
              <c:f>'Paying taxes'!$F$50</c:f>
              <c:strCache>
                <c:ptCount val="1"/>
                <c:pt idx="0">
                  <c:v>Citi nodokļu maksājumi</c:v>
                </c:pt>
              </c:strCache>
            </c:strRef>
          </c:tx>
          <c:invertIfNegative val="0"/>
          <c:dLbls>
            <c:showLegendKey val="0"/>
            <c:showVal val="1"/>
            <c:showCatName val="0"/>
            <c:showSerName val="0"/>
            <c:showPercent val="0"/>
            <c:showBubbleSize val="0"/>
            <c:showLeaderLines val="0"/>
          </c:dLbls>
          <c:cat>
            <c:strRef>
              <c:f>'Paying taxes'!$B$61:$B$67</c:f>
              <c:strCache>
                <c:ptCount val="7"/>
                <c:pt idx="0">
                  <c:v>Somija</c:v>
                </c:pt>
                <c:pt idx="1">
                  <c:v>Zviedrija</c:v>
                </c:pt>
                <c:pt idx="2">
                  <c:v>Polija</c:v>
                </c:pt>
                <c:pt idx="3">
                  <c:v>Igaunija</c:v>
                </c:pt>
                <c:pt idx="4">
                  <c:v>Lietuva</c:v>
                </c:pt>
                <c:pt idx="5">
                  <c:v>Latvija</c:v>
                </c:pt>
                <c:pt idx="6">
                  <c:v>Dānija</c:v>
                </c:pt>
              </c:strCache>
            </c:strRef>
          </c:cat>
          <c:val>
            <c:numRef>
              <c:f>'Paying taxes'!$F$61:$F$67</c:f>
              <c:numCache>
                <c:formatCode>_(* #,##0.0_);_(* \(#,##0.0\);_(* "-"_);@_)</c:formatCode>
                <c:ptCount val="7"/>
                <c:pt idx="0">
                  <c:v>1.2</c:v>
                </c:pt>
                <c:pt idx="1">
                  <c:v>0.5</c:v>
                </c:pt>
                <c:pt idx="2">
                  <c:v>1.5</c:v>
                </c:pt>
                <c:pt idx="3">
                  <c:v>1.9</c:v>
                </c:pt>
                <c:pt idx="4">
                  <c:v>1.9</c:v>
                </c:pt>
                <c:pt idx="5">
                  <c:v>3.7</c:v>
                </c:pt>
                <c:pt idx="6">
                  <c:v>3.1</c:v>
                </c:pt>
              </c:numCache>
            </c:numRef>
          </c:val>
        </c:ser>
        <c:dLbls>
          <c:showLegendKey val="0"/>
          <c:showVal val="0"/>
          <c:showCatName val="0"/>
          <c:showSerName val="0"/>
          <c:showPercent val="0"/>
          <c:showBubbleSize val="0"/>
        </c:dLbls>
        <c:gapWidth val="45"/>
        <c:overlap val="100"/>
        <c:axId val="185583872"/>
        <c:axId val="185589760"/>
      </c:barChart>
      <c:catAx>
        <c:axId val="185583872"/>
        <c:scaling>
          <c:orientation val="minMax"/>
        </c:scaling>
        <c:delete val="0"/>
        <c:axPos val="l"/>
        <c:majorTickMark val="out"/>
        <c:minorTickMark val="none"/>
        <c:tickLblPos val="low"/>
        <c:crossAx val="185589760"/>
        <c:crosses val="autoZero"/>
        <c:auto val="1"/>
        <c:lblAlgn val="ctr"/>
        <c:lblOffset val="100"/>
        <c:noMultiLvlLbl val="0"/>
      </c:catAx>
      <c:valAx>
        <c:axId val="185589760"/>
        <c:scaling>
          <c:orientation val="minMax"/>
        </c:scaling>
        <c:delete val="0"/>
        <c:axPos val="b"/>
        <c:majorGridlines>
          <c:spPr>
            <a:ln>
              <a:solidFill>
                <a:srgbClr val="BFBFBF"/>
              </a:solidFill>
            </a:ln>
          </c:spPr>
        </c:majorGridlines>
        <c:numFmt formatCode="_(* #,##0_);_(* \(#,##0\);_(* &quot;-&quot;_);@_)" sourceLinked="0"/>
        <c:majorTickMark val="none"/>
        <c:minorTickMark val="none"/>
        <c:tickLblPos val="low"/>
        <c:spPr>
          <a:noFill/>
          <a:ln>
            <a:noFill/>
          </a:ln>
        </c:spPr>
        <c:crossAx val="185583872"/>
        <c:crosses val="autoZero"/>
        <c:crossBetween val="between"/>
        <c:dispUnits>
          <c:custUnit val="1"/>
        </c:dispUnits>
      </c:valAx>
      <c:spPr>
        <a:noFill/>
        <a:ln w="25400">
          <a:noFill/>
        </a:ln>
      </c:spPr>
    </c:plotArea>
    <c:legend>
      <c:legendPos val="b"/>
      <c:layout>
        <c:manualLayout>
          <c:xMode val="edge"/>
          <c:yMode val="edge"/>
          <c:x val="4.9999923576439224E-2"/>
          <c:y val="0.89970414821085098"/>
          <c:w val="0.8145681099550599"/>
          <c:h val="9.7693561641990112E-2"/>
        </c:manualLayout>
      </c:layout>
      <c:overlay val="0"/>
    </c:legend>
    <c:plotVisOnly val="1"/>
    <c:dispBlanksAs val="gap"/>
    <c:showDLblsOverMax val="0"/>
  </c:chart>
  <c:spPr>
    <a:noFill/>
    <a:ln>
      <a:noFill/>
    </a:ln>
  </c:spPr>
  <c:txPr>
    <a:bodyPr/>
    <a:lstStyle/>
    <a:p>
      <a:pPr>
        <a:defRPr sz="900">
          <a:latin typeface="+mj-lt"/>
        </a:defRPr>
      </a:pPr>
      <a:endParaRPr lang="en-US"/>
    </a:p>
  </c:txPr>
  <c:externalData r:id="rId2">
    <c:autoUpdate val="0"/>
  </c:externalData>
  <c:userShapes r:id="rId3"/>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manualLayout>
          <c:layoutTarget val="inner"/>
          <c:xMode val="edge"/>
          <c:yMode val="edge"/>
          <c:x val="0.2451899621144642"/>
          <c:y val="4.7774158523344191E-2"/>
          <c:w val="0.72283417061555089"/>
          <c:h val="0.77207793651200762"/>
        </c:manualLayout>
      </c:layout>
      <c:barChart>
        <c:barDir val="bar"/>
        <c:grouping val="percentStacked"/>
        <c:varyColors val="0"/>
        <c:ser>
          <c:idx val="0"/>
          <c:order val="0"/>
          <c:tx>
            <c:strRef>
              <c:f>Sheet8!$B$2</c:f>
              <c:strCache>
                <c:ptCount val="1"/>
                <c:pt idx="0">
                  <c:v>Nezina/ NA</c:v>
                </c:pt>
              </c:strCache>
            </c:strRef>
          </c:tx>
          <c:invertIfNegative val="0"/>
          <c:dLbls>
            <c:dLbl>
              <c:idx val="0"/>
              <c:layout>
                <c:manualLayout>
                  <c:x val="-3.6853861169115532E-17"/>
                  <c:y val="1.7389339787014898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Sheet8!$A$3:$A$5</c:f>
              <c:strCache>
                <c:ptCount val="3"/>
                <c:pt idx="0">
                  <c:v>Sanitārā robežinspekcija (n=36)</c:v>
                </c:pt>
                <c:pt idx="1">
                  <c:v>Valsts Robežsardze (n=63)</c:v>
                </c:pt>
                <c:pt idx="2">
                  <c:v>Muita (n=97)</c:v>
                </c:pt>
              </c:strCache>
            </c:strRef>
          </c:cat>
          <c:val>
            <c:numRef>
              <c:f>Sheet8!$B$3:$B$5</c:f>
              <c:numCache>
                <c:formatCode>0%</c:formatCode>
                <c:ptCount val="3"/>
                <c:pt idx="0">
                  <c:v>0.01</c:v>
                </c:pt>
                <c:pt idx="1">
                  <c:v>7.0000000000000007E-2</c:v>
                </c:pt>
                <c:pt idx="2">
                  <c:v>0.1</c:v>
                </c:pt>
              </c:numCache>
            </c:numRef>
          </c:val>
        </c:ser>
        <c:ser>
          <c:idx val="1"/>
          <c:order val="1"/>
          <c:tx>
            <c:strRef>
              <c:f>Sheet8!$C$2</c:f>
              <c:strCache>
                <c:ptCount val="1"/>
                <c:pt idx="0">
                  <c:v>Ļoti slikti </c:v>
                </c:pt>
              </c:strCache>
            </c:strRef>
          </c:tx>
          <c:invertIfNegative val="0"/>
          <c:cat>
            <c:strRef>
              <c:f>Sheet8!$A$3:$A$5</c:f>
              <c:strCache>
                <c:ptCount val="3"/>
                <c:pt idx="0">
                  <c:v>Sanitārā robežinspekcija (n=36)</c:v>
                </c:pt>
                <c:pt idx="1">
                  <c:v>Valsts Robežsardze (n=63)</c:v>
                </c:pt>
                <c:pt idx="2">
                  <c:v>Muita (n=97)</c:v>
                </c:pt>
              </c:strCache>
            </c:strRef>
          </c:cat>
          <c:val>
            <c:numRef>
              <c:f>Sheet8!$C$3:$C$5</c:f>
              <c:numCache>
                <c:formatCode>0%</c:formatCode>
                <c:ptCount val="3"/>
                <c:pt idx="0">
                  <c:v>0</c:v>
                </c:pt>
                <c:pt idx="1">
                  <c:v>0</c:v>
                </c:pt>
                <c:pt idx="2">
                  <c:v>0.09</c:v>
                </c:pt>
              </c:numCache>
            </c:numRef>
          </c:val>
        </c:ser>
        <c:ser>
          <c:idx val="2"/>
          <c:order val="2"/>
          <c:tx>
            <c:strRef>
              <c:f>Sheet8!$D$2</c:f>
              <c:strCache>
                <c:ptCount val="1"/>
                <c:pt idx="0">
                  <c:v>Slikti</c:v>
                </c:pt>
              </c:strCache>
            </c:strRef>
          </c:tx>
          <c:invertIfNegative val="0"/>
          <c:cat>
            <c:strRef>
              <c:f>Sheet8!$A$3:$A$5</c:f>
              <c:strCache>
                <c:ptCount val="3"/>
                <c:pt idx="0">
                  <c:v>Sanitārā robežinspekcija (n=36)</c:v>
                </c:pt>
                <c:pt idx="1">
                  <c:v>Valsts Robežsardze (n=63)</c:v>
                </c:pt>
                <c:pt idx="2">
                  <c:v>Muita (n=97)</c:v>
                </c:pt>
              </c:strCache>
            </c:strRef>
          </c:cat>
          <c:val>
            <c:numRef>
              <c:f>Sheet8!$D$3:$D$5</c:f>
              <c:numCache>
                <c:formatCode>0%</c:formatCode>
                <c:ptCount val="3"/>
                <c:pt idx="0">
                  <c:v>0</c:v>
                </c:pt>
                <c:pt idx="1">
                  <c:v>0.06</c:v>
                </c:pt>
                <c:pt idx="2">
                  <c:v>0</c:v>
                </c:pt>
              </c:numCache>
            </c:numRef>
          </c:val>
        </c:ser>
        <c:ser>
          <c:idx val="3"/>
          <c:order val="3"/>
          <c:tx>
            <c:strRef>
              <c:f>Sheet8!$E$2</c:f>
              <c:strCache>
                <c:ptCount val="1"/>
                <c:pt idx="0">
                  <c:v>Diezgan slikti</c:v>
                </c:pt>
              </c:strCache>
            </c:strRef>
          </c:tx>
          <c:invertIfNegative val="0"/>
          <c:dLbls>
            <c:dLbl>
              <c:idx val="0"/>
              <c:layout>
                <c:manualLayout>
                  <c:x val="4.0204676626979588E-3"/>
                  <c:y val="-2.1736674733768443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Sheet8!$A$3:$A$5</c:f>
              <c:strCache>
                <c:ptCount val="3"/>
                <c:pt idx="0">
                  <c:v>Sanitārā robežinspekcija (n=36)</c:v>
                </c:pt>
                <c:pt idx="1">
                  <c:v>Valsts Robežsardze (n=63)</c:v>
                </c:pt>
                <c:pt idx="2">
                  <c:v>Muita (n=97)</c:v>
                </c:pt>
              </c:strCache>
            </c:strRef>
          </c:cat>
          <c:val>
            <c:numRef>
              <c:f>Sheet8!$E$3:$E$5</c:f>
              <c:numCache>
                <c:formatCode>0%</c:formatCode>
                <c:ptCount val="3"/>
                <c:pt idx="0">
                  <c:v>0.03</c:v>
                </c:pt>
                <c:pt idx="1">
                  <c:v>0.01</c:v>
                </c:pt>
                <c:pt idx="2">
                  <c:v>0.04</c:v>
                </c:pt>
              </c:numCache>
            </c:numRef>
          </c:val>
        </c:ser>
        <c:ser>
          <c:idx val="4"/>
          <c:order val="4"/>
          <c:tx>
            <c:strRef>
              <c:f>Sheet8!$F$2</c:f>
              <c:strCache>
                <c:ptCount val="1"/>
                <c:pt idx="0">
                  <c:v>Diezgan labi</c:v>
                </c:pt>
              </c:strCache>
            </c:strRef>
          </c:tx>
          <c:invertIfNegative val="0"/>
          <c:dLbls>
            <c:showLegendKey val="0"/>
            <c:showVal val="1"/>
            <c:showCatName val="0"/>
            <c:showSerName val="0"/>
            <c:showPercent val="0"/>
            <c:showBubbleSize val="0"/>
            <c:showLeaderLines val="0"/>
          </c:dLbls>
          <c:cat>
            <c:strRef>
              <c:f>Sheet8!$A$3:$A$5</c:f>
              <c:strCache>
                <c:ptCount val="3"/>
                <c:pt idx="0">
                  <c:v>Sanitārā robežinspekcija (n=36)</c:v>
                </c:pt>
                <c:pt idx="1">
                  <c:v>Valsts Robežsardze (n=63)</c:v>
                </c:pt>
                <c:pt idx="2">
                  <c:v>Muita (n=97)</c:v>
                </c:pt>
              </c:strCache>
            </c:strRef>
          </c:cat>
          <c:val>
            <c:numRef>
              <c:f>Sheet8!$F$3:$F$5</c:f>
              <c:numCache>
                <c:formatCode>0%</c:formatCode>
                <c:ptCount val="3"/>
                <c:pt idx="0">
                  <c:v>0.22</c:v>
                </c:pt>
                <c:pt idx="1">
                  <c:v>0.25</c:v>
                </c:pt>
                <c:pt idx="2">
                  <c:v>0.16</c:v>
                </c:pt>
              </c:numCache>
            </c:numRef>
          </c:val>
        </c:ser>
        <c:ser>
          <c:idx val="5"/>
          <c:order val="5"/>
          <c:tx>
            <c:strRef>
              <c:f>Sheet8!$G$2</c:f>
              <c:strCache>
                <c:ptCount val="1"/>
                <c:pt idx="0">
                  <c:v>Labi</c:v>
                </c:pt>
              </c:strCache>
            </c:strRef>
          </c:tx>
          <c:invertIfNegative val="0"/>
          <c:dLbls>
            <c:showLegendKey val="0"/>
            <c:showVal val="1"/>
            <c:showCatName val="0"/>
            <c:showSerName val="0"/>
            <c:showPercent val="0"/>
            <c:showBubbleSize val="0"/>
            <c:showLeaderLines val="0"/>
          </c:dLbls>
          <c:cat>
            <c:strRef>
              <c:f>Sheet8!$A$3:$A$5</c:f>
              <c:strCache>
                <c:ptCount val="3"/>
                <c:pt idx="0">
                  <c:v>Sanitārā robežinspekcija (n=36)</c:v>
                </c:pt>
                <c:pt idx="1">
                  <c:v>Valsts Robežsardze (n=63)</c:v>
                </c:pt>
                <c:pt idx="2">
                  <c:v>Muita (n=97)</c:v>
                </c:pt>
              </c:strCache>
            </c:strRef>
          </c:cat>
          <c:val>
            <c:numRef>
              <c:f>Sheet8!$G$3:$G$5</c:f>
              <c:numCache>
                <c:formatCode>0%</c:formatCode>
                <c:ptCount val="3"/>
                <c:pt idx="0">
                  <c:v>0.56999999999999995</c:v>
                </c:pt>
                <c:pt idx="1">
                  <c:v>0.52</c:v>
                </c:pt>
                <c:pt idx="2">
                  <c:v>0.49</c:v>
                </c:pt>
              </c:numCache>
            </c:numRef>
          </c:val>
        </c:ser>
        <c:ser>
          <c:idx val="6"/>
          <c:order val="6"/>
          <c:tx>
            <c:strRef>
              <c:f>Sheet8!$H$2</c:f>
              <c:strCache>
                <c:ptCount val="1"/>
                <c:pt idx="0">
                  <c:v>Ļoti labi</c:v>
                </c:pt>
              </c:strCache>
            </c:strRef>
          </c:tx>
          <c:invertIfNegative val="0"/>
          <c:dLbls>
            <c:showLegendKey val="0"/>
            <c:showVal val="1"/>
            <c:showCatName val="0"/>
            <c:showSerName val="0"/>
            <c:showPercent val="0"/>
            <c:showBubbleSize val="0"/>
            <c:showLeaderLines val="0"/>
          </c:dLbls>
          <c:cat>
            <c:strRef>
              <c:f>Sheet8!$A$3:$A$5</c:f>
              <c:strCache>
                <c:ptCount val="3"/>
                <c:pt idx="0">
                  <c:v>Sanitārā robežinspekcija (n=36)</c:v>
                </c:pt>
                <c:pt idx="1">
                  <c:v>Valsts Robežsardze (n=63)</c:v>
                </c:pt>
                <c:pt idx="2">
                  <c:v>Muita (n=97)</c:v>
                </c:pt>
              </c:strCache>
            </c:strRef>
          </c:cat>
          <c:val>
            <c:numRef>
              <c:f>Sheet8!$H$3:$H$5</c:f>
              <c:numCache>
                <c:formatCode>0%</c:formatCode>
                <c:ptCount val="3"/>
                <c:pt idx="0">
                  <c:v>0.17</c:v>
                </c:pt>
                <c:pt idx="1">
                  <c:v>0.09</c:v>
                </c:pt>
                <c:pt idx="2">
                  <c:v>0.12</c:v>
                </c:pt>
              </c:numCache>
            </c:numRef>
          </c:val>
        </c:ser>
        <c:dLbls>
          <c:showLegendKey val="0"/>
          <c:showVal val="0"/>
          <c:showCatName val="0"/>
          <c:showSerName val="0"/>
          <c:showPercent val="0"/>
          <c:showBubbleSize val="0"/>
        </c:dLbls>
        <c:gapWidth val="80"/>
        <c:overlap val="100"/>
        <c:axId val="174331008"/>
        <c:axId val="174332544"/>
      </c:barChart>
      <c:catAx>
        <c:axId val="174331008"/>
        <c:scaling>
          <c:orientation val="minMax"/>
        </c:scaling>
        <c:delete val="0"/>
        <c:axPos val="l"/>
        <c:numFmt formatCode="0%" sourceLinked="1"/>
        <c:majorTickMark val="out"/>
        <c:minorTickMark val="none"/>
        <c:tickLblPos val="nextTo"/>
        <c:crossAx val="174332544"/>
        <c:crosses val="autoZero"/>
        <c:auto val="1"/>
        <c:lblAlgn val="ctr"/>
        <c:lblOffset val="100"/>
        <c:noMultiLvlLbl val="0"/>
      </c:catAx>
      <c:valAx>
        <c:axId val="174332544"/>
        <c:scaling>
          <c:orientation val="minMax"/>
        </c:scaling>
        <c:delete val="0"/>
        <c:axPos val="b"/>
        <c:numFmt formatCode="0%" sourceLinked="1"/>
        <c:majorTickMark val="out"/>
        <c:minorTickMark val="none"/>
        <c:tickLblPos val="nextTo"/>
        <c:crossAx val="174331008"/>
        <c:crosses val="autoZero"/>
        <c:crossBetween val="between"/>
      </c:valAx>
    </c:plotArea>
    <c:legend>
      <c:legendPos val="b"/>
      <c:layout>
        <c:manualLayout>
          <c:xMode val="edge"/>
          <c:yMode val="edge"/>
          <c:x val="0.11934486668651535"/>
          <c:y val="0.91104557970409861"/>
          <c:w val="0.76131026662696932"/>
          <c:h val="8.8954492752273503E-2"/>
        </c:manualLayout>
      </c:layout>
      <c:overlay val="0"/>
    </c:legend>
    <c:plotVisOnly val="1"/>
    <c:dispBlanksAs val="gap"/>
    <c:showDLblsOverMax val="0"/>
  </c:chart>
  <c:txPr>
    <a:bodyPr/>
    <a:lstStyle/>
    <a:p>
      <a:pPr>
        <a:defRPr sz="900">
          <a:latin typeface="+mj-lt"/>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7905074365704287E-2"/>
          <c:y val="5.1400554097404488E-2"/>
          <c:w val="0.69676152911263511"/>
          <c:h val="0.77611475648877226"/>
        </c:manualLayout>
      </c:layout>
      <c:barChart>
        <c:barDir val="col"/>
        <c:grouping val="clustered"/>
        <c:varyColors val="0"/>
        <c:ser>
          <c:idx val="0"/>
          <c:order val="0"/>
          <c:tx>
            <c:strRef>
              <c:f>Sheet8!$A$75</c:f>
              <c:strCache>
                <c:ptCount val="1"/>
                <c:pt idx="0">
                  <c:v>Vidējais atmuitošanas procesa ilgums (dienās)</c:v>
                </c:pt>
              </c:strCache>
            </c:strRef>
          </c:tx>
          <c:invertIfNegative val="0"/>
          <c:dLbls>
            <c:dLbl>
              <c:idx val="0"/>
              <c:layout>
                <c:manualLayout>
                  <c:x val="0"/>
                  <c:y val="1.1638120434385972E-2"/>
                </c:manualLayout>
              </c:layout>
              <c:dLblPos val="outEnd"/>
              <c:showLegendKey val="0"/>
              <c:showVal val="1"/>
              <c:showCatName val="0"/>
              <c:showSerName val="0"/>
              <c:showPercent val="0"/>
              <c:showBubbleSize val="0"/>
            </c:dLbl>
            <c:dLbl>
              <c:idx val="1"/>
              <c:layout>
                <c:manualLayout>
                  <c:x val="0"/>
                  <c:y val="1.1638120434385972E-2"/>
                </c:manualLayout>
              </c:layout>
              <c:dLblPos val="outEnd"/>
              <c:showLegendKey val="0"/>
              <c:showVal val="1"/>
              <c:showCatName val="0"/>
              <c:showSerName val="0"/>
              <c:showPercent val="0"/>
              <c:showBubbleSize val="0"/>
            </c:dLbl>
            <c:dLbl>
              <c:idx val="3"/>
              <c:layout>
                <c:manualLayout>
                  <c:x val="-4.6589313732071829E-3"/>
                  <c:y val="1.1638120434385972E-2"/>
                </c:manualLayout>
              </c:layout>
              <c:dLblPos val="outEnd"/>
              <c:showLegendKey val="0"/>
              <c:showVal val="1"/>
              <c:showCatName val="0"/>
              <c:showSerName val="0"/>
              <c:showPercent val="0"/>
              <c:showBubbleSize val="0"/>
            </c:dLbl>
            <c:dLblPos val="outEnd"/>
            <c:showLegendKey val="0"/>
            <c:showVal val="1"/>
            <c:showCatName val="0"/>
            <c:showSerName val="0"/>
            <c:showPercent val="0"/>
            <c:showBubbleSize val="0"/>
            <c:showLeaderLines val="0"/>
          </c:dLbls>
          <c:cat>
            <c:strRef>
              <c:f>Sheet8!$B$74:$E$74</c:f>
              <c:strCache>
                <c:ptCount val="4"/>
                <c:pt idx="0">
                  <c:v>2007 (n=86)</c:v>
                </c:pt>
                <c:pt idx="1">
                  <c:v>2009 (n=76)</c:v>
                </c:pt>
                <c:pt idx="2">
                  <c:v>2011 (n=101)</c:v>
                </c:pt>
                <c:pt idx="3">
                  <c:v>2014 (n=59)</c:v>
                </c:pt>
              </c:strCache>
            </c:strRef>
          </c:cat>
          <c:val>
            <c:numRef>
              <c:f>Sheet8!$B$75:$E$75</c:f>
              <c:numCache>
                <c:formatCode>General</c:formatCode>
                <c:ptCount val="4"/>
                <c:pt idx="0">
                  <c:v>2.2999999999999998</c:v>
                </c:pt>
                <c:pt idx="1">
                  <c:v>2.2999999999999998</c:v>
                </c:pt>
                <c:pt idx="2">
                  <c:v>6.9</c:v>
                </c:pt>
                <c:pt idx="3">
                  <c:v>5.3</c:v>
                </c:pt>
              </c:numCache>
            </c:numRef>
          </c:val>
        </c:ser>
        <c:dLbls>
          <c:showLegendKey val="0"/>
          <c:showVal val="0"/>
          <c:showCatName val="0"/>
          <c:showSerName val="0"/>
          <c:showPercent val="0"/>
          <c:showBubbleSize val="0"/>
        </c:dLbls>
        <c:gapWidth val="150"/>
        <c:axId val="174348544"/>
        <c:axId val="174350336"/>
      </c:barChart>
      <c:catAx>
        <c:axId val="174348544"/>
        <c:scaling>
          <c:orientation val="minMax"/>
        </c:scaling>
        <c:delete val="0"/>
        <c:axPos val="b"/>
        <c:majorTickMark val="out"/>
        <c:minorTickMark val="none"/>
        <c:tickLblPos val="nextTo"/>
        <c:crossAx val="174350336"/>
        <c:crosses val="autoZero"/>
        <c:auto val="1"/>
        <c:lblAlgn val="ctr"/>
        <c:lblOffset val="100"/>
        <c:noMultiLvlLbl val="0"/>
      </c:catAx>
      <c:valAx>
        <c:axId val="174350336"/>
        <c:scaling>
          <c:orientation val="minMax"/>
        </c:scaling>
        <c:delete val="0"/>
        <c:axPos val="l"/>
        <c:majorGridlines/>
        <c:numFmt formatCode="General" sourceLinked="1"/>
        <c:majorTickMark val="out"/>
        <c:minorTickMark val="none"/>
        <c:tickLblPos val="nextTo"/>
        <c:crossAx val="174348544"/>
        <c:crosses val="autoZero"/>
        <c:crossBetween val="between"/>
      </c:valAx>
    </c:plotArea>
    <c:legend>
      <c:legendPos val="r"/>
      <c:layout>
        <c:manualLayout>
          <c:xMode val="edge"/>
          <c:yMode val="edge"/>
          <c:x val="0.77124759812711241"/>
          <c:y val="0.3005420676582094"/>
          <c:w val="0.21208794595052655"/>
          <c:h val="0.36650845727617382"/>
        </c:manualLayout>
      </c:layout>
      <c:overlay val="0"/>
    </c:legend>
    <c:plotVisOnly val="1"/>
    <c:dispBlanksAs val="gap"/>
    <c:showDLblsOverMax val="0"/>
  </c:chart>
  <c:txPr>
    <a:bodyPr/>
    <a:lstStyle/>
    <a:p>
      <a:pPr>
        <a:defRPr sz="800">
          <a:latin typeface="+mj-lt"/>
        </a:defRPr>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Sheet8!$B$32</c:f>
              <c:strCache>
                <c:ptCount val="1"/>
                <c:pt idx="0">
                  <c:v>intensitāte (vidējais vērtējums), n=97</c:v>
                </c:pt>
              </c:strCache>
            </c:strRef>
          </c:tx>
          <c:invertIfNegative val="0"/>
          <c:dLbls>
            <c:numFmt formatCode="0.00%" sourceLinked="0"/>
            <c:dLblPos val="outEnd"/>
            <c:showLegendKey val="0"/>
            <c:showVal val="1"/>
            <c:showCatName val="0"/>
            <c:showSerName val="0"/>
            <c:showPercent val="0"/>
            <c:showBubbleSize val="0"/>
            <c:showLeaderLines val="0"/>
          </c:dLbls>
          <c:cat>
            <c:strRef>
              <c:f>Sheet8!$A$35:$A$44</c:f>
              <c:strCache>
                <c:ptCount val="10"/>
                <c:pt idx="0">
                  <c:v>Elektronsikā muitas deklarēšana</c:v>
                </c:pt>
                <c:pt idx="1">
                  <c:v>Muitas lēmumu pārsūdzības kārtība</c:v>
                </c:pt>
                <c:pt idx="2">
                  <c:v>Muitas lēmumu pārsūdzības ātrums</c:v>
                </c:pt>
                <c:pt idx="3">
                  <c:v>Sodu smagums un samērīgums</c:v>
                </c:pt>
                <c:pt idx="4">
                  <c:v>Muitas iestāžu attieksme pret Jūsu uzņēmumu</c:v>
                </c:pt>
                <c:pt idx="5">
                  <c:v>Informācijas pieejamība par izmaiņām muitas procedūrās, kas saistās ar Latvijas iestāšanos ES</c:v>
                </c:pt>
                <c:pt idx="6">
                  <c:v>Informācijas pieejamība par muitas normatīvajiem aktiem/ procedūrām</c:v>
                </c:pt>
                <c:pt idx="7">
                  <c:v>Muitas deklarāciju aizpildīšana</c:v>
                </c:pt>
                <c:pt idx="8">
                  <c:v>Kravu fiziskā kontrole</c:v>
                </c:pt>
                <c:pt idx="9">
                  <c:v>Muitas normatīvo aktu / procedūru izmaiņu biežums</c:v>
                </c:pt>
              </c:strCache>
            </c:strRef>
          </c:cat>
          <c:val>
            <c:numRef>
              <c:f>Sheet8!$B$35:$B$44</c:f>
              <c:numCache>
                <c:formatCode>0%</c:formatCode>
                <c:ptCount val="10"/>
                <c:pt idx="0">
                  <c:v>8.0000000000000002E-3</c:v>
                </c:pt>
                <c:pt idx="1">
                  <c:v>2.1000000000000001E-2</c:v>
                </c:pt>
                <c:pt idx="2">
                  <c:v>2.1000000000000001E-2</c:v>
                </c:pt>
                <c:pt idx="3">
                  <c:v>6.3E-2</c:v>
                </c:pt>
                <c:pt idx="4">
                  <c:v>9.4E-2</c:v>
                </c:pt>
                <c:pt idx="5">
                  <c:v>0.13500000000000001</c:v>
                </c:pt>
                <c:pt idx="6">
                  <c:v>0.159</c:v>
                </c:pt>
                <c:pt idx="7">
                  <c:v>0.17699999999999999</c:v>
                </c:pt>
                <c:pt idx="8">
                  <c:v>0.214</c:v>
                </c:pt>
                <c:pt idx="9">
                  <c:v>0.28599999999999998</c:v>
                </c:pt>
              </c:numCache>
            </c:numRef>
          </c:val>
        </c:ser>
        <c:dLbls>
          <c:showLegendKey val="0"/>
          <c:showVal val="1"/>
          <c:showCatName val="0"/>
          <c:showSerName val="0"/>
          <c:showPercent val="0"/>
          <c:showBubbleSize val="0"/>
        </c:dLbls>
        <c:gapWidth val="40"/>
        <c:axId val="174389888"/>
        <c:axId val="187303424"/>
      </c:barChart>
      <c:catAx>
        <c:axId val="174389888"/>
        <c:scaling>
          <c:orientation val="minMax"/>
        </c:scaling>
        <c:delete val="0"/>
        <c:axPos val="l"/>
        <c:numFmt formatCode="@" sourceLinked="0"/>
        <c:majorTickMark val="out"/>
        <c:minorTickMark val="none"/>
        <c:tickLblPos val="nextTo"/>
        <c:txPr>
          <a:bodyPr rot="0" vert="horz"/>
          <a:lstStyle/>
          <a:p>
            <a:pPr>
              <a:defRPr/>
            </a:pPr>
            <a:endParaRPr lang="en-US"/>
          </a:p>
        </c:txPr>
        <c:crossAx val="187303424"/>
        <c:crosses val="autoZero"/>
        <c:auto val="0"/>
        <c:lblAlgn val="r"/>
        <c:lblOffset val="0"/>
        <c:noMultiLvlLbl val="0"/>
      </c:catAx>
      <c:valAx>
        <c:axId val="187303424"/>
        <c:scaling>
          <c:orientation val="minMax"/>
        </c:scaling>
        <c:delete val="0"/>
        <c:axPos val="b"/>
        <c:numFmt formatCode="0%" sourceLinked="1"/>
        <c:majorTickMark val="out"/>
        <c:minorTickMark val="none"/>
        <c:tickLblPos val="nextTo"/>
        <c:crossAx val="174389888"/>
        <c:crosses val="autoZero"/>
        <c:crossBetween val="between"/>
      </c:valAx>
    </c:plotArea>
    <c:legend>
      <c:legendPos val="r"/>
      <c:layout>
        <c:manualLayout>
          <c:xMode val="edge"/>
          <c:yMode val="edge"/>
          <c:x val="0.64115539283851508"/>
          <c:y val="0.73060405957812735"/>
          <c:w val="0.33556148531650837"/>
          <c:h val="6.7941859564217E-2"/>
        </c:manualLayout>
      </c:layout>
      <c:overlay val="1"/>
    </c:legend>
    <c:plotVisOnly val="1"/>
    <c:dispBlanksAs val="gap"/>
    <c:showDLblsOverMax val="0"/>
  </c:chart>
  <c:txPr>
    <a:bodyPr/>
    <a:lstStyle/>
    <a:p>
      <a:pPr>
        <a:defRPr sz="800">
          <a:latin typeface="+mj-lt"/>
        </a:defRPr>
      </a:pPr>
      <a:endParaRPr lang="en-US"/>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0.04011</cdr:x>
      <cdr:y>0.03978</cdr:y>
    </cdr:from>
    <cdr:to>
      <cdr:x>0.09742</cdr:x>
      <cdr:y>0.09662</cdr:y>
    </cdr:to>
    <cdr:sp macro="" textlink="">
      <cdr:nvSpPr>
        <cdr:cNvPr id="4" name="Chart GUID" hidden="1"/>
        <cdr:cNvSpPr/>
      </cdr:nvSpPr>
      <cdr:spPr>
        <a:xfrm xmlns:a="http://schemas.openxmlformats.org/drawingml/2006/main">
          <a:off x="177800" y="177800"/>
          <a:ext cx="254000" cy="254000"/>
        </a:xfrm>
        <a:prstGeom xmlns:a="http://schemas.openxmlformats.org/drawingml/2006/main" prst="rect">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en-US"/>
            <a:t>3117819948f5492f9bc72fc36d4a1d76</a:t>
          </a:r>
        </a:p>
      </cdr:txBody>
    </cdr:sp>
  </cdr:relSizeAnchor>
  <cdr:relSizeAnchor xmlns:cdr="http://schemas.openxmlformats.org/drawingml/2006/chartDrawing">
    <cdr:from>
      <cdr:x>0.04011</cdr:x>
      <cdr:y>0.03978</cdr:y>
    </cdr:from>
    <cdr:to>
      <cdr:x>0.09742</cdr:x>
      <cdr:y>0.09662</cdr:y>
    </cdr:to>
    <cdr:sp macro="" textlink="">
      <cdr:nvSpPr>
        <cdr:cNvPr id="6" name="Chart GUID" hidden="1"/>
        <cdr:cNvSpPr/>
      </cdr:nvSpPr>
      <cdr:spPr>
        <a:xfrm xmlns:a="http://schemas.openxmlformats.org/drawingml/2006/main">
          <a:off x="177800" y="177800"/>
          <a:ext cx="254000" cy="254000"/>
        </a:xfrm>
        <a:prstGeom xmlns:a="http://schemas.openxmlformats.org/drawingml/2006/main" prst="rect">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en-US"/>
            <a:t>b8593a17f74d4771ba0c68b210a20f5b</a:t>
          </a:r>
        </a:p>
      </cdr:txBody>
    </cdr:sp>
  </cdr:relSizeAnchor>
  <cdr:relSizeAnchor xmlns:cdr="http://schemas.openxmlformats.org/drawingml/2006/chartDrawing">
    <cdr:from>
      <cdr:x>0.04011</cdr:x>
      <cdr:y>0.03978</cdr:y>
    </cdr:from>
    <cdr:to>
      <cdr:x>0.09742</cdr:x>
      <cdr:y>0.09662</cdr:y>
    </cdr:to>
    <cdr:sp macro="" textlink="">
      <cdr:nvSpPr>
        <cdr:cNvPr id="10" name="Chart GUID" hidden="1"/>
        <cdr:cNvSpPr/>
      </cdr:nvSpPr>
      <cdr:spPr>
        <a:xfrm xmlns:a="http://schemas.openxmlformats.org/drawingml/2006/main">
          <a:off x="177800" y="177800"/>
          <a:ext cx="254000" cy="254000"/>
        </a:xfrm>
        <a:prstGeom xmlns:a="http://schemas.openxmlformats.org/drawingml/2006/main" prst="rect">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en-US"/>
            <a:t>3ef79d18e5d142aca23053f610b32ac8</a:t>
          </a:r>
        </a:p>
      </cdr:txBody>
    </cdr:sp>
  </cdr:relSizeAnchor>
  <cdr:relSizeAnchor xmlns:cdr="http://schemas.openxmlformats.org/drawingml/2006/chartDrawing">
    <cdr:from>
      <cdr:x>0.04011</cdr:x>
      <cdr:y>0.03978</cdr:y>
    </cdr:from>
    <cdr:to>
      <cdr:x>0.09742</cdr:x>
      <cdr:y>0.09662</cdr:y>
    </cdr:to>
    <cdr:sp macro="" textlink="">
      <cdr:nvSpPr>
        <cdr:cNvPr id="12" name="Chart Type" hidden="1"/>
        <cdr:cNvSpPr/>
      </cdr:nvSpPr>
      <cdr:spPr>
        <a:xfrm xmlns:a="http://schemas.openxmlformats.org/drawingml/2006/main">
          <a:off x="177800" y="177800"/>
          <a:ext cx="254000" cy="254000"/>
        </a:xfrm>
        <a:prstGeom xmlns:a="http://schemas.openxmlformats.org/drawingml/2006/main" prst="rect">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en-US"/>
            <a:t>Bar Stacked</a:t>
          </a:r>
        </a:p>
      </cdr:txBody>
    </cdr:sp>
  </cdr:relSizeAnchor>
</c:userShape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DB536A"/>
      </a:accent4>
      <a:accent5>
        <a:srgbClr val="A32020"/>
      </a:accent5>
      <a:accent6>
        <a:srgbClr val="E0301E"/>
      </a:accent6>
      <a:hlink>
        <a:srgbClr val="DC6900"/>
      </a:hlink>
      <a:folHlink>
        <a:srgbClr val="DC690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word/theme/themeOverride1.xml><?xml version="1.0" encoding="utf-8"?>
<a:themeOverride xmlns:a="http://schemas.openxmlformats.org/drawingml/2006/main">
  <a:clrScheme name="Smart Report">
    <a:dk1>
      <a:srgbClr val="000000"/>
    </a:dk1>
    <a:lt1>
      <a:srgbClr val="FFFFFF"/>
    </a:lt1>
    <a:dk2>
      <a:srgbClr val="821A1A"/>
    </a:dk2>
    <a:lt2>
      <a:srgbClr val="FFFFFF"/>
    </a:lt2>
    <a:accent1>
      <a:srgbClr val="821A1A"/>
    </a:accent1>
    <a:accent2>
      <a:srgbClr val="D62E1C"/>
    </a:accent2>
    <a:accent3>
      <a:srgbClr val="FFCF48"/>
    </a:accent3>
    <a:accent4>
      <a:srgbClr val="E36A00"/>
    </a:accent4>
    <a:accent5>
      <a:srgbClr val="ABA591"/>
    </a:accent5>
    <a:accent6>
      <a:srgbClr val="877E62"/>
    </a:accent6>
    <a:hlink>
      <a:srgbClr val="821A1A"/>
    </a:hlink>
    <a:folHlink>
      <a:srgbClr val="821A1A"/>
    </a:folHlink>
  </a:clrScheme>
  <a:fontScheme name="Smar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B2991-AD8C-4685-BB0C-A7BCC73A0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93</Pages>
  <Words>31553</Words>
  <Characters>179855</Characters>
  <Application>Microsoft Office Word</Application>
  <DocSecurity>0</DocSecurity>
  <Lines>1498</Lines>
  <Paragraphs>421</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210987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Lindsey Norman</dc:creator>
  <cp:lastModifiedBy>Ilze Pukite</cp:lastModifiedBy>
  <cp:revision>6</cp:revision>
  <cp:lastPrinted>2014-05-30T10:59:00Z</cp:lastPrinted>
  <dcterms:created xsi:type="dcterms:W3CDTF">2014-06-05T07:43:00Z</dcterms:created>
  <dcterms:modified xsi:type="dcterms:W3CDTF">2014-06-06T11:15:00Z</dcterms:modified>
</cp:coreProperties>
</file>