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571" w:rsidRPr="00D2330E" w:rsidRDefault="00E14776" w:rsidP="00D2330E">
      <w:pPr>
        <w:pStyle w:val="Heading1"/>
      </w:pPr>
      <w:r w:rsidRPr="00D2330E">
        <w:t>Ietikumi turpmāk</w:t>
      </w:r>
      <w:r w:rsidR="00BD22D0" w:rsidRPr="00D2330E">
        <w:t>ai aptaujas anketas</w:t>
      </w:r>
      <w:r w:rsidRPr="00D2330E">
        <w:t xml:space="preserve"> </w:t>
      </w:r>
      <w:r w:rsidR="00BD22D0" w:rsidRPr="00D2330E">
        <w:t xml:space="preserve">jautājumu </w:t>
      </w:r>
      <w:r w:rsidRPr="00D2330E">
        <w:t>uzlabošanai</w:t>
      </w:r>
    </w:p>
    <w:p w:rsidR="00670B19" w:rsidRDefault="00670B19" w:rsidP="008D52D5">
      <w:pPr>
        <w:spacing w:after="0" w:line="276" w:lineRule="auto"/>
        <w:rPr>
          <w:lang w:val="lv-LV"/>
        </w:rPr>
      </w:pPr>
    </w:p>
    <w:p w:rsidR="00E14776" w:rsidRDefault="00E14776" w:rsidP="00E14776">
      <w:pPr>
        <w:spacing w:after="0" w:line="276" w:lineRule="auto"/>
        <w:jc w:val="both"/>
        <w:rPr>
          <w:lang w:val="lv-LV"/>
        </w:rPr>
      </w:pPr>
    </w:p>
    <w:p w:rsidR="00E14776" w:rsidRDefault="00BD22D0" w:rsidP="00E14776">
      <w:pPr>
        <w:spacing w:after="0" w:line="276" w:lineRule="auto"/>
        <w:jc w:val="both"/>
        <w:rPr>
          <w:lang w:val="lv-LV"/>
        </w:rPr>
      </w:pPr>
      <w:r>
        <w:rPr>
          <w:lang w:val="lv-LV"/>
        </w:rPr>
        <w:t xml:space="preserve">Ekspertu diskusiju laikā minētie ieteikumi </w:t>
      </w:r>
      <w:r w:rsidR="00E14776">
        <w:rPr>
          <w:lang w:val="lv-LV"/>
        </w:rPr>
        <w:t xml:space="preserve">aptaujas anketas </w:t>
      </w:r>
      <w:r>
        <w:rPr>
          <w:lang w:val="lv-LV"/>
        </w:rPr>
        <w:t xml:space="preserve">jautājumu </w:t>
      </w:r>
      <w:r w:rsidR="00E14776">
        <w:rPr>
          <w:lang w:val="lv-LV"/>
        </w:rPr>
        <w:t>uzlabo</w:t>
      </w:r>
      <w:r>
        <w:rPr>
          <w:lang w:val="lv-LV"/>
        </w:rPr>
        <w:t>šanai</w:t>
      </w:r>
      <w:r w:rsidR="00E14776">
        <w:rPr>
          <w:lang w:val="lv-LV"/>
        </w:rPr>
        <w:t>:</w:t>
      </w:r>
    </w:p>
    <w:p w:rsidR="00E14776" w:rsidRPr="00E14776" w:rsidRDefault="00E14776" w:rsidP="00E14776">
      <w:pPr>
        <w:spacing w:after="0" w:line="276" w:lineRule="auto"/>
        <w:jc w:val="both"/>
        <w:rPr>
          <w:lang w:val="lv-LV"/>
        </w:rPr>
      </w:pPr>
    </w:p>
    <w:p w:rsidR="007F3D46" w:rsidRDefault="00BD22D0" w:rsidP="00E14776">
      <w:pPr>
        <w:pStyle w:val="ListParagraph"/>
        <w:numPr>
          <w:ilvl w:val="0"/>
          <w:numId w:val="10"/>
        </w:numPr>
        <w:spacing w:after="0" w:line="276" w:lineRule="auto"/>
        <w:ind w:left="360"/>
        <w:jc w:val="both"/>
        <w:rPr>
          <w:lang w:val="lv-LV"/>
        </w:rPr>
      </w:pPr>
      <w:r>
        <w:rPr>
          <w:lang w:val="lv-LV"/>
        </w:rPr>
        <w:t>Ieteicams izvērtēt a</w:t>
      </w:r>
      <w:r w:rsidR="007F3D46">
        <w:rPr>
          <w:lang w:val="lv-LV"/>
        </w:rPr>
        <w:t>ptaujas anket</w:t>
      </w:r>
      <w:r>
        <w:rPr>
          <w:lang w:val="lv-LV"/>
        </w:rPr>
        <w:t>as sadalīšanu</w:t>
      </w:r>
      <w:r w:rsidR="007F3D46">
        <w:rPr>
          <w:lang w:val="lv-LV"/>
        </w:rPr>
        <w:t xml:space="preserve"> divās daļās</w:t>
      </w:r>
      <w:r>
        <w:rPr>
          <w:lang w:val="lv-LV"/>
        </w:rPr>
        <w:t>, nodalot administratīvo procedūru novērtējumu no citiem uzņēmējdarbības šķēršļiem</w:t>
      </w:r>
      <w:r w:rsidR="007F3D46">
        <w:rPr>
          <w:lang w:val="lv-LV"/>
        </w:rPr>
        <w:t>:</w:t>
      </w:r>
    </w:p>
    <w:p w:rsidR="007F3D46" w:rsidRDefault="007F3D46" w:rsidP="007F3D46">
      <w:pPr>
        <w:pStyle w:val="ListParagraph"/>
        <w:numPr>
          <w:ilvl w:val="1"/>
          <w:numId w:val="10"/>
        </w:numPr>
        <w:spacing w:after="0" w:line="276" w:lineRule="auto"/>
        <w:jc w:val="both"/>
        <w:rPr>
          <w:lang w:val="lv-LV"/>
        </w:rPr>
      </w:pPr>
      <w:r>
        <w:rPr>
          <w:lang w:val="lv-LV"/>
        </w:rPr>
        <w:t>Uzņēmējdarbības vides analīze;</w:t>
      </w:r>
    </w:p>
    <w:p w:rsidR="00E14776" w:rsidRPr="00E14776" w:rsidRDefault="007F3D46" w:rsidP="007F3D46">
      <w:pPr>
        <w:pStyle w:val="ListParagraph"/>
        <w:numPr>
          <w:ilvl w:val="1"/>
          <w:numId w:val="10"/>
        </w:numPr>
        <w:spacing w:after="0" w:line="276" w:lineRule="auto"/>
        <w:jc w:val="both"/>
        <w:rPr>
          <w:lang w:val="lv-LV"/>
        </w:rPr>
      </w:pPr>
      <w:r>
        <w:rPr>
          <w:lang w:val="lv-LV"/>
        </w:rPr>
        <w:t>A</w:t>
      </w:r>
      <w:r w:rsidR="00E14776" w:rsidRPr="00E14776">
        <w:rPr>
          <w:lang w:val="lv-LV"/>
        </w:rPr>
        <w:t>dministratīvo procedūru analīze.</w:t>
      </w:r>
    </w:p>
    <w:p w:rsidR="00BD22D0" w:rsidRPr="00E14776" w:rsidRDefault="00BD22D0" w:rsidP="00BD22D0">
      <w:pPr>
        <w:pStyle w:val="ListParagraph"/>
        <w:numPr>
          <w:ilvl w:val="0"/>
          <w:numId w:val="10"/>
        </w:numPr>
        <w:spacing w:after="0" w:line="276" w:lineRule="auto"/>
        <w:ind w:left="360"/>
        <w:jc w:val="both"/>
        <w:rPr>
          <w:lang w:val="lv-LV"/>
        </w:rPr>
      </w:pPr>
      <w:r>
        <w:rPr>
          <w:lang w:val="lv-LV"/>
        </w:rPr>
        <w:t>A</w:t>
      </w:r>
      <w:r w:rsidRPr="00E14776">
        <w:rPr>
          <w:lang w:val="lv-LV"/>
        </w:rPr>
        <w:t>ptaujā precizēt, kas tiek saprasts ar e-pakalpojumiem.</w:t>
      </w:r>
    </w:p>
    <w:p w:rsidR="00BD22D0" w:rsidRDefault="00BD22D0" w:rsidP="007F3D46">
      <w:pPr>
        <w:pStyle w:val="ListParagraph"/>
        <w:numPr>
          <w:ilvl w:val="0"/>
          <w:numId w:val="10"/>
        </w:numPr>
        <w:spacing w:after="0" w:line="276" w:lineRule="auto"/>
        <w:ind w:left="360"/>
        <w:jc w:val="both"/>
        <w:rPr>
          <w:lang w:val="lv-LV"/>
        </w:rPr>
      </w:pPr>
      <w:r>
        <w:rPr>
          <w:lang w:val="lv-LV"/>
        </w:rPr>
        <w:t xml:space="preserve">Izvērtēt potenciālu </w:t>
      </w:r>
      <w:r w:rsidR="00E14776" w:rsidRPr="00E14776">
        <w:rPr>
          <w:lang w:val="lv-LV"/>
        </w:rPr>
        <w:t>aptaujas anket</w:t>
      </w:r>
      <w:r>
        <w:rPr>
          <w:lang w:val="lv-LV"/>
        </w:rPr>
        <w:t>as</w:t>
      </w:r>
      <w:r w:rsidR="00E14776" w:rsidRPr="00E14776">
        <w:rPr>
          <w:lang w:val="lv-LV"/>
        </w:rPr>
        <w:t xml:space="preserve"> </w:t>
      </w:r>
      <w:r>
        <w:rPr>
          <w:lang w:val="lv-LV"/>
        </w:rPr>
        <w:t xml:space="preserve">papildināšanai </w:t>
      </w:r>
      <w:r w:rsidR="00E14776" w:rsidRPr="00E14776">
        <w:rPr>
          <w:lang w:val="lv-LV"/>
        </w:rPr>
        <w:t>ar jautājumiem par e-pakalpojumiem</w:t>
      </w:r>
      <w:r>
        <w:rPr>
          <w:lang w:val="lv-LV"/>
        </w:rPr>
        <w:t>, iekļaujot papildus valsts un pašvaldību pieejamos e-pakalpojumus.</w:t>
      </w:r>
    </w:p>
    <w:p w:rsidR="007F3D46" w:rsidRDefault="00BD22D0" w:rsidP="007F3D46">
      <w:pPr>
        <w:pStyle w:val="ListParagraph"/>
        <w:numPr>
          <w:ilvl w:val="0"/>
          <w:numId w:val="10"/>
        </w:numPr>
        <w:spacing w:after="0" w:line="276" w:lineRule="auto"/>
        <w:ind w:left="360"/>
        <w:jc w:val="both"/>
        <w:rPr>
          <w:lang w:val="lv-LV"/>
        </w:rPr>
      </w:pPr>
      <w:r>
        <w:rPr>
          <w:lang w:val="lv-LV"/>
        </w:rPr>
        <w:t xml:space="preserve">Izvērtēt iespēju papildināt aptauju ar jautājumiem par EDS </w:t>
      </w:r>
      <w:r w:rsidR="00E14776" w:rsidRPr="00E14776">
        <w:rPr>
          <w:lang w:val="lv-LV"/>
        </w:rPr>
        <w:t xml:space="preserve">, piemēram, - vai uzņēmējs ieiet EDS sistēmā pats (vai </w:t>
      </w:r>
      <w:r>
        <w:rPr>
          <w:lang w:val="lv-LV"/>
        </w:rPr>
        <w:t xml:space="preserve">to dara </w:t>
      </w:r>
      <w:r w:rsidR="00E14776" w:rsidRPr="00E14776">
        <w:rPr>
          <w:lang w:val="lv-LV"/>
        </w:rPr>
        <w:t>ārpakalpojuma sniedzējs), cik bieži uzņēmēji izmanto EDS sistēmu</w:t>
      </w:r>
      <w:r w:rsidR="007F3D46">
        <w:rPr>
          <w:lang w:val="lv-LV"/>
        </w:rPr>
        <w:t>.</w:t>
      </w:r>
      <w:r w:rsidR="007F3D46" w:rsidRPr="007F3D46">
        <w:rPr>
          <w:lang w:val="lv-LV"/>
        </w:rPr>
        <w:t xml:space="preserve"> </w:t>
      </w:r>
    </w:p>
    <w:p w:rsidR="00E14776" w:rsidRPr="00E14776" w:rsidRDefault="00E14776" w:rsidP="00E14776">
      <w:pPr>
        <w:pStyle w:val="ListParagraph"/>
        <w:numPr>
          <w:ilvl w:val="0"/>
          <w:numId w:val="10"/>
        </w:numPr>
        <w:spacing w:after="0" w:line="276" w:lineRule="auto"/>
        <w:ind w:left="360"/>
        <w:jc w:val="both"/>
        <w:rPr>
          <w:lang w:val="lv-LV"/>
        </w:rPr>
      </w:pPr>
      <w:r w:rsidRPr="00E14776">
        <w:rPr>
          <w:lang w:val="lv-LV"/>
        </w:rPr>
        <w:t>Precizēt</w:t>
      </w:r>
      <w:r w:rsidR="00FA2CEB">
        <w:rPr>
          <w:lang w:val="lv-LV"/>
        </w:rPr>
        <w:t xml:space="preserve"> jautājumus, norādot</w:t>
      </w:r>
      <w:r w:rsidR="00BD22D0">
        <w:rPr>
          <w:lang w:val="lv-LV"/>
        </w:rPr>
        <w:t>,</w:t>
      </w:r>
      <w:r w:rsidR="00FA2CEB">
        <w:rPr>
          <w:lang w:val="lv-LV"/>
        </w:rPr>
        <w:t xml:space="preserve"> vai tie </w:t>
      </w:r>
      <w:r w:rsidRPr="00E14776">
        <w:rPr>
          <w:lang w:val="lv-LV"/>
        </w:rPr>
        <w:t>attiecas gan uz nodokļiem, gan nodevām.</w:t>
      </w:r>
    </w:p>
    <w:p w:rsidR="004D7127" w:rsidRDefault="00BD22D0" w:rsidP="004D7127">
      <w:pPr>
        <w:pStyle w:val="ListParagraph"/>
        <w:numPr>
          <w:ilvl w:val="0"/>
          <w:numId w:val="10"/>
        </w:numPr>
        <w:spacing w:after="0" w:line="276" w:lineRule="auto"/>
        <w:ind w:left="360"/>
        <w:jc w:val="both"/>
        <w:rPr>
          <w:lang w:val="lv-LV"/>
        </w:rPr>
      </w:pPr>
      <w:r>
        <w:rPr>
          <w:lang w:val="lv-LV"/>
        </w:rPr>
        <w:t>Izvērtēt iespēju j</w:t>
      </w:r>
      <w:r w:rsidR="007F3D46">
        <w:rPr>
          <w:lang w:val="lv-LV"/>
        </w:rPr>
        <w:t>autājumus, kuri attiecas uz nodokļu administrēšanu</w:t>
      </w:r>
      <w:r>
        <w:rPr>
          <w:lang w:val="lv-LV"/>
        </w:rPr>
        <w:t>,</w:t>
      </w:r>
      <w:r w:rsidR="007F3D46">
        <w:rPr>
          <w:lang w:val="lv-LV"/>
        </w:rPr>
        <w:t xml:space="preserve"> </w:t>
      </w:r>
      <w:r w:rsidR="00E14776" w:rsidRPr="00E14776">
        <w:rPr>
          <w:lang w:val="lv-LV"/>
        </w:rPr>
        <w:t>jautāt grāmatvežiem, ne uzņēmumu vadītājiem.</w:t>
      </w:r>
    </w:p>
    <w:p w:rsidR="00D2330E" w:rsidRDefault="004D7127" w:rsidP="00D2330E">
      <w:pPr>
        <w:pStyle w:val="ListParagraph"/>
        <w:numPr>
          <w:ilvl w:val="0"/>
          <w:numId w:val="10"/>
        </w:numPr>
        <w:spacing w:after="0" w:line="276" w:lineRule="auto"/>
        <w:ind w:left="360"/>
        <w:jc w:val="both"/>
        <w:rPr>
          <w:lang w:val="lv-LV"/>
        </w:rPr>
      </w:pPr>
      <w:r>
        <w:rPr>
          <w:lang w:val="lv-LV"/>
        </w:rPr>
        <w:t xml:space="preserve">Izvērtēt jautājumu </w:t>
      </w:r>
      <w:r w:rsidR="00D2330E">
        <w:rPr>
          <w:lang w:val="lv-LV"/>
        </w:rPr>
        <w:t xml:space="preserve">definējumu attiecībā uz </w:t>
      </w:r>
      <w:r w:rsidRPr="004D7127">
        <w:rPr>
          <w:lang w:val="lv-LV"/>
        </w:rPr>
        <w:t>oficiālajām nodevām</w:t>
      </w:r>
      <w:r>
        <w:rPr>
          <w:lang w:val="lv-LV"/>
        </w:rPr>
        <w:t>,</w:t>
      </w:r>
      <w:r w:rsidRPr="004D7127">
        <w:rPr>
          <w:lang w:val="lv-LV"/>
        </w:rPr>
        <w:t xml:space="preserve"> lai nodotu ēku ekspluatācijā, </w:t>
      </w:r>
      <w:r>
        <w:rPr>
          <w:lang w:val="lv-LV"/>
        </w:rPr>
        <w:t xml:space="preserve">ņemot vērā, ka eksperti minēja, ka oficiālās </w:t>
      </w:r>
      <w:r w:rsidRPr="004D7127">
        <w:rPr>
          <w:lang w:val="lv-LV"/>
        </w:rPr>
        <w:t xml:space="preserve">nodevas </w:t>
      </w:r>
      <w:r>
        <w:rPr>
          <w:lang w:val="lv-LV"/>
        </w:rPr>
        <w:t xml:space="preserve">par šo pakalpojumu </w:t>
      </w:r>
      <w:r w:rsidR="00D2330E">
        <w:rPr>
          <w:lang w:val="lv-LV"/>
        </w:rPr>
        <w:t>nav jāmaksā.</w:t>
      </w:r>
    </w:p>
    <w:p w:rsidR="00D2330E" w:rsidRDefault="00D2330E" w:rsidP="00D2330E">
      <w:pPr>
        <w:pStyle w:val="ListParagraph"/>
        <w:numPr>
          <w:ilvl w:val="0"/>
          <w:numId w:val="10"/>
        </w:numPr>
        <w:spacing w:after="0" w:line="276" w:lineRule="auto"/>
        <w:ind w:left="360"/>
        <w:jc w:val="both"/>
        <w:rPr>
          <w:lang w:val="lv-LV"/>
        </w:rPr>
      </w:pPr>
      <w:r>
        <w:rPr>
          <w:lang w:val="lv-LV"/>
        </w:rPr>
        <w:t xml:space="preserve">Attiecībā uz </w:t>
      </w:r>
      <w:r w:rsidR="004D7127" w:rsidRPr="00D2330E">
        <w:rPr>
          <w:lang w:val="lv-LV"/>
        </w:rPr>
        <w:t>jautājum</w:t>
      </w:r>
      <w:r>
        <w:rPr>
          <w:lang w:val="lv-LV"/>
        </w:rPr>
        <w:t>u sadaļā par infrastruktūras pieejamību</w:t>
      </w:r>
      <w:r w:rsidR="004D7127" w:rsidRPr="00D2330E">
        <w:rPr>
          <w:lang w:val="lv-LV"/>
        </w:rPr>
        <w:t xml:space="preserve"> „Vai šo procedūru/ vai saskaņojumu iegūšanu veicāt Jūs pats, vai kāds Jūsu uzņēmuma darbinieks vai arī Jūs to uzticējāt kādam ārējam konsultantam?”</w:t>
      </w:r>
      <w:r>
        <w:rPr>
          <w:lang w:val="lv-LV"/>
        </w:rPr>
        <w:t>, kur</w:t>
      </w:r>
      <w:r w:rsidR="004D7127" w:rsidRPr="00D2330E">
        <w:rPr>
          <w:lang w:val="lv-LV"/>
        </w:rPr>
        <w:t xml:space="preserve"> vien</w:t>
      </w:r>
      <w:r>
        <w:rPr>
          <w:lang w:val="lv-LV"/>
        </w:rPr>
        <w:t>a</w:t>
      </w:r>
      <w:r w:rsidR="004D7127" w:rsidRPr="00D2330E">
        <w:rPr>
          <w:lang w:val="lv-LV"/>
        </w:rPr>
        <w:t xml:space="preserve"> no atbildēm</w:t>
      </w:r>
      <w:r>
        <w:rPr>
          <w:lang w:val="lv-LV"/>
        </w:rPr>
        <w:t xml:space="preserve"> ir</w:t>
      </w:r>
      <w:r w:rsidR="004D7127" w:rsidRPr="00D2330E">
        <w:rPr>
          <w:lang w:val="lv-LV"/>
        </w:rPr>
        <w:t xml:space="preserve">: „Sadales tīkla veikta jaunā elektrības pieslēguma inspekcija, skaitītāja un </w:t>
      </w:r>
      <w:proofErr w:type="spellStart"/>
      <w:r w:rsidR="004D7127" w:rsidRPr="00D2330E">
        <w:rPr>
          <w:lang w:val="lv-LV"/>
        </w:rPr>
        <w:t>plombju</w:t>
      </w:r>
      <w:proofErr w:type="spellEnd"/>
      <w:r w:rsidR="004D7127" w:rsidRPr="00D2330E">
        <w:rPr>
          <w:lang w:val="lv-LV"/>
        </w:rPr>
        <w:t xml:space="preserve"> uzlikšana”</w:t>
      </w:r>
      <w:r>
        <w:rPr>
          <w:lang w:val="lv-LV"/>
        </w:rPr>
        <w:t>, tā būtu pārskatāma</w:t>
      </w:r>
      <w:r w:rsidR="004D7127" w:rsidRPr="00D2330E">
        <w:rPr>
          <w:lang w:val="lv-LV"/>
        </w:rPr>
        <w:t xml:space="preserve">, jo </w:t>
      </w:r>
      <w:r>
        <w:rPr>
          <w:lang w:val="lv-LV"/>
        </w:rPr>
        <w:t>šo procedūru veic Sadales tīkls.</w:t>
      </w:r>
    </w:p>
    <w:p w:rsidR="004D7127" w:rsidRPr="00D2330E" w:rsidRDefault="00D2330E" w:rsidP="00D2330E">
      <w:pPr>
        <w:pStyle w:val="ListParagraph"/>
        <w:numPr>
          <w:ilvl w:val="0"/>
          <w:numId w:val="10"/>
        </w:numPr>
        <w:spacing w:after="0" w:line="276" w:lineRule="auto"/>
        <w:ind w:left="360"/>
        <w:jc w:val="both"/>
        <w:rPr>
          <w:lang w:val="lv-LV"/>
        </w:rPr>
      </w:pPr>
      <w:r>
        <w:rPr>
          <w:lang w:val="lv-LV"/>
        </w:rPr>
        <w:t>Pārvērtēt respondentu bāzi jautājumam „</w:t>
      </w:r>
      <w:r w:rsidR="004D7127" w:rsidRPr="00D2330E">
        <w:rPr>
          <w:lang w:val="lv-LV"/>
        </w:rPr>
        <w:t>Kā Jūs vērtējat iespēju izvēlēties elektrības piegādātāju?</w:t>
      </w:r>
      <w:r>
        <w:rPr>
          <w:lang w:val="lv-LV"/>
        </w:rPr>
        <w:t>”,</w:t>
      </w:r>
      <w:r w:rsidR="004D7127" w:rsidRPr="00D2330E">
        <w:rPr>
          <w:lang w:val="lv-LV"/>
        </w:rPr>
        <w:t xml:space="preserve"> uzdo</w:t>
      </w:r>
      <w:r>
        <w:rPr>
          <w:lang w:val="lv-LV"/>
        </w:rPr>
        <w:t>dot</w:t>
      </w:r>
      <w:r w:rsidR="004D7127" w:rsidRPr="00D2330E">
        <w:rPr>
          <w:lang w:val="lv-LV"/>
        </w:rPr>
        <w:t xml:space="preserve"> </w:t>
      </w:r>
      <w:r>
        <w:rPr>
          <w:lang w:val="lv-LV"/>
        </w:rPr>
        <w:t xml:space="preserve">to </w:t>
      </w:r>
      <w:r w:rsidR="004D7127" w:rsidRPr="00D2330E">
        <w:rPr>
          <w:lang w:val="lv-LV"/>
        </w:rPr>
        <w:t>visai respondentu kopai</w:t>
      </w:r>
      <w:r>
        <w:rPr>
          <w:lang w:val="lv-LV"/>
        </w:rPr>
        <w:t>.</w:t>
      </w:r>
    </w:p>
    <w:p w:rsidR="004D7127" w:rsidRPr="004D7127" w:rsidRDefault="004D7127" w:rsidP="004D7127">
      <w:pPr>
        <w:spacing w:after="0" w:line="276" w:lineRule="auto"/>
        <w:jc w:val="both"/>
        <w:rPr>
          <w:lang w:val="lv-LV"/>
        </w:rPr>
      </w:pPr>
    </w:p>
    <w:p w:rsidR="00BD22D0" w:rsidRDefault="00BD22D0" w:rsidP="00BD22D0">
      <w:pPr>
        <w:spacing w:after="0" w:line="276" w:lineRule="auto"/>
        <w:jc w:val="both"/>
        <w:rPr>
          <w:lang w:val="lv-LV"/>
        </w:rPr>
      </w:pPr>
    </w:p>
    <w:p w:rsidR="00BD22D0" w:rsidRDefault="00BD22D0" w:rsidP="00BD22D0">
      <w:pPr>
        <w:spacing w:after="0" w:line="276" w:lineRule="auto"/>
        <w:jc w:val="both"/>
        <w:rPr>
          <w:lang w:val="lv-LV"/>
        </w:rPr>
      </w:pPr>
    </w:p>
    <w:p w:rsidR="00BD22D0" w:rsidRPr="00D2330E" w:rsidRDefault="00BD22D0" w:rsidP="00D2330E">
      <w:pPr>
        <w:pStyle w:val="Heading1"/>
      </w:pPr>
      <w:r w:rsidRPr="00D2330E">
        <w:t>Ietikumi turpmāk</w:t>
      </w:r>
      <w:r w:rsidRPr="00D2330E">
        <w:t xml:space="preserve">ām diskusijām, kas izrietēja no </w:t>
      </w:r>
      <w:r w:rsidR="009601B2" w:rsidRPr="00D2330E">
        <w:t>rīkotajām ekspertu diskusijām</w:t>
      </w:r>
    </w:p>
    <w:p w:rsidR="00BD22D0" w:rsidRDefault="00BD22D0" w:rsidP="00BD22D0">
      <w:pPr>
        <w:spacing w:after="0" w:line="276" w:lineRule="auto"/>
        <w:jc w:val="both"/>
        <w:rPr>
          <w:lang w:val="lv-LV"/>
        </w:rPr>
      </w:pPr>
    </w:p>
    <w:p w:rsidR="009601B2" w:rsidRDefault="009601B2" w:rsidP="009601B2">
      <w:pPr>
        <w:pStyle w:val="ListParagraph"/>
        <w:numPr>
          <w:ilvl w:val="0"/>
          <w:numId w:val="11"/>
        </w:numPr>
        <w:spacing w:after="0" w:line="276" w:lineRule="auto"/>
        <w:jc w:val="both"/>
        <w:rPr>
          <w:lang w:val="lv-LV"/>
        </w:rPr>
      </w:pPr>
      <w:r>
        <w:rPr>
          <w:lang w:val="lv-LV"/>
        </w:rPr>
        <w:t>Turpināt diskusiju par pamatkapitāla iemaksas prasības uzņēmumu reģistrācijas brīdī atcelšanu, ņemot vērā, ka tas nenodrošina investoru aizsardzību, jo iemaksātais kapitāls var tikt izņemts ārā uzreiz pēc reģi</w:t>
      </w:r>
      <w:bookmarkStart w:id="0" w:name="_GoBack"/>
      <w:bookmarkEnd w:id="0"/>
      <w:r>
        <w:rPr>
          <w:lang w:val="lv-LV"/>
        </w:rPr>
        <w:t>strācija.</w:t>
      </w:r>
    </w:p>
    <w:p w:rsidR="009601B2" w:rsidRDefault="009601B2" w:rsidP="009601B2">
      <w:pPr>
        <w:pStyle w:val="ListParagraph"/>
        <w:numPr>
          <w:ilvl w:val="0"/>
          <w:numId w:val="11"/>
        </w:numPr>
        <w:spacing w:after="0" w:line="276" w:lineRule="auto"/>
        <w:jc w:val="both"/>
        <w:rPr>
          <w:lang w:val="lv-LV"/>
        </w:rPr>
      </w:pPr>
      <w:r>
        <w:rPr>
          <w:lang w:val="lv-LV"/>
        </w:rPr>
        <w:t>Izvērtēt saimnieciskās darbības veicēju reģistrācijas nodošanu Uzņēmuma reģistram.</w:t>
      </w:r>
    </w:p>
    <w:p w:rsidR="009601B2" w:rsidRPr="009601B2" w:rsidRDefault="009601B2" w:rsidP="009601B2">
      <w:pPr>
        <w:pStyle w:val="ListParagraph"/>
        <w:numPr>
          <w:ilvl w:val="0"/>
          <w:numId w:val="11"/>
        </w:numPr>
        <w:spacing w:after="0" w:line="276" w:lineRule="auto"/>
        <w:jc w:val="both"/>
        <w:rPr>
          <w:lang w:val="lv-LV"/>
        </w:rPr>
      </w:pPr>
      <w:r>
        <w:rPr>
          <w:lang w:val="lv-LV"/>
        </w:rPr>
        <w:t>Izvērtēt soda naudu piemērošanu par novēlotu rēķinu iegrāmatošanu.</w:t>
      </w:r>
    </w:p>
    <w:p w:rsidR="00BD22D0" w:rsidRDefault="00BD22D0" w:rsidP="00BD22D0">
      <w:pPr>
        <w:spacing w:after="0" w:line="276" w:lineRule="auto"/>
        <w:jc w:val="both"/>
        <w:rPr>
          <w:lang w:val="lv-LV"/>
        </w:rPr>
      </w:pPr>
    </w:p>
    <w:p w:rsidR="00BD22D0" w:rsidRPr="00BD22D0" w:rsidRDefault="00BD22D0" w:rsidP="00BD22D0">
      <w:pPr>
        <w:spacing w:after="0" w:line="276" w:lineRule="auto"/>
        <w:jc w:val="both"/>
        <w:rPr>
          <w:lang w:val="lv-LV"/>
        </w:rPr>
      </w:pPr>
    </w:p>
    <w:sectPr w:rsidR="00BD22D0" w:rsidRPr="00BD22D0" w:rsidSect="00D80571">
      <w:headerReference w:type="default" r:id="rId8"/>
      <w:footerReference w:type="default" r:id="rId9"/>
      <w:headerReference w:type="first" r:id="rId10"/>
      <w:footerReference w:type="first" r:id="rId11"/>
      <w:pgSz w:w="11906" w:h="16838" w:code="9"/>
      <w:pgMar w:top="3130" w:right="851" w:bottom="2019"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C21" w:rsidRDefault="00253C21" w:rsidP="00E902EC">
      <w:pPr>
        <w:spacing w:after="0" w:line="240" w:lineRule="auto"/>
      </w:pPr>
      <w:r>
        <w:separator/>
      </w:r>
    </w:p>
  </w:endnote>
  <w:endnote w:type="continuationSeparator" w:id="0">
    <w:p w:rsidR="00253C21" w:rsidRDefault="00253C21" w:rsidP="00E90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61141"/>
      <w:docPartObj>
        <w:docPartGallery w:val="Page Numbers (Bottom of Page)"/>
        <w:docPartUnique/>
      </w:docPartObj>
    </w:sdtPr>
    <w:sdtEndPr/>
    <w:sdtContent>
      <w:p w:rsidR="00D80571" w:rsidRDefault="00E20164">
        <w:pPr>
          <w:pStyle w:val="Footer"/>
        </w:pPr>
        <w:r>
          <w:fldChar w:fldCharType="begin"/>
        </w:r>
        <w:r>
          <w:instrText xml:space="preserve"> PAGE   \* MERGEFORMAT </w:instrText>
        </w:r>
        <w:r>
          <w:fldChar w:fldCharType="separate"/>
        </w:r>
        <w:r w:rsidR="004D7127">
          <w:rPr>
            <w:noProof/>
          </w:rPr>
          <w:t>2</w:t>
        </w:r>
        <w:r>
          <w:rPr>
            <w:noProof/>
          </w:rPr>
          <w:fldChar w:fldCharType="end"/>
        </w:r>
      </w:p>
    </w:sdtContent>
  </w:sdt>
  <w:p w:rsidR="00D80571" w:rsidRDefault="00D805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8C4" w:rsidRPr="00E65354" w:rsidRDefault="00D2330E" w:rsidP="003B68C4">
    <w:pPr>
      <w:pStyle w:val="Address"/>
    </w:pPr>
    <w:bookmarkStart w:id="1" w:name="address"/>
    <w:r>
      <w:pict>
        <v:shape id="_x0000_s2058" style="position:absolute;margin-left:87.9pt;margin-top:-3.5pt;width:464.9pt;height:11.35pt;z-index:251670528;mso-position-horizontal-relative:page;mso-position-vertical-relative:text" coordsize="9299,228" path="m,228l,,9299,e" filled="f" strokecolor="#dc6900" strokeweight="1pt">
          <v:stroke dashstyle="1 1"/>
          <v:path arrowok="t"/>
          <w10:wrap anchorx="page"/>
          <w10:anchorlock/>
        </v:shape>
      </w:pict>
    </w:r>
    <w:r w:rsidR="003B68C4" w:rsidRPr="00E65354">
      <w:t>PricewaterhouseCoopers SIA, Kr. Valdem</w:t>
    </w:r>
    <w:r w:rsidR="003B68C4">
      <w:t>ā</w:t>
    </w:r>
    <w:r w:rsidR="003B68C4" w:rsidRPr="00E65354">
      <w:t xml:space="preserve">ra iela </w:t>
    </w:r>
    <w:r w:rsidR="003B68C4">
      <w:t>21-21</w:t>
    </w:r>
    <w:r w:rsidR="003B68C4" w:rsidRPr="00E65354">
      <w:t>, R</w:t>
    </w:r>
    <w:r w:rsidR="003B68C4">
      <w:t>ī</w:t>
    </w:r>
    <w:r w:rsidR="003B68C4" w:rsidRPr="00E65354">
      <w:t>ga</w:t>
    </w:r>
    <w:r w:rsidR="003B68C4">
      <w:t>,</w:t>
    </w:r>
    <w:r w:rsidR="003B68C4" w:rsidRPr="00E65354">
      <w:t xml:space="preserve"> LV-1010, Latvi</w:t>
    </w:r>
    <w:r w:rsidR="003B68C4">
      <w:t>j</w:t>
    </w:r>
    <w:r w:rsidR="003B68C4" w:rsidRPr="00E65354">
      <w:t>a</w:t>
    </w:r>
    <w:r w:rsidR="003B68C4">
      <w:t>,</w:t>
    </w:r>
    <w:r w:rsidR="003B68C4" w:rsidRPr="00E65354">
      <w:t xml:space="preserve"> </w:t>
    </w:r>
    <w:r w:rsidR="003B68C4">
      <w:t>LV40003142793</w:t>
    </w:r>
  </w:p>
  <w:p w:rsidR="003B68C4" w:rsidRPr="00E65354" w:rsidRDefault="003B68C4" w:rsidP="003B68C4">
    <w:pPr>
      <w:pStyle w:val="Address"/>
    </w:pPr>
    <w:r w:rsidRPr="00E65354">
      <w:t xml:space="preserve">T: +371 6709 4400, F: +371 </w:t>
    </w:r>
    <w:r>
      <w:t>6</w:t>
    </w:r>
    <w:r w:rsidRPr="00E65354">
      <w:t>783 0055, www.pwc.</w:t>
    </w:r>
    <w:r>
      <w:t>lv</w:t>
    </w:r>
    <w:r w:rsidRPr="00E65354">
      <w:t xml:space="preserve"> </w:t>
    </w:r>
    <w:bookmarkEnd w:id="1"/>
  </w:p>
  <w:p w:rsidR="003B68C4" w:rsidRPr="00B361E5" w:rsidRDefault="003B68C4" w:rsidP="003B68C4">
    <w:pPr>
      <w:pStyle w:val="Disclaimer"/>
      <w:rPr>
        <w:rFonts w:ascii="Georgia" w:hAnsi="Georgia"/>
        <w:i/>
        <w:sz w:val="18"/>
        <w:szCs w:val="18"/>
      </w:rPr>
    </w:pP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r w:rsidRPr="00034AAA">
      <w:rPr>
        <w:rFonts w:ascii="Arial" w:hAnsi="Arial" w:cs="Arial"/>
        <w:color w:val="000000"/>
        <w:sz w:val="12"/>
        <w:szCs w:val="12"/>
        <w:lang w:val="lv-LV"/>
      </w:rPr>
      <w:t xml:space="preserve">PwC uzņēmumi palīdz juridiskām un fiziskām personām radīt tām nepieciešamo vērtību. Mūsu uzņēmumu tīklā 157 valstīs strādā vairāk nekā 184 000 speciālistu, kuru uzdevums ir sniegt kvalitatīvus revīzijas pakalpojumus, kā arī nodokļu un biznesa konsultācijas. Pastāstiet mums par sev svarīgo un uzziniet vairāk, apmeklējot </w:t>
    </w:r>
    <w:proofErr w:type="spellStart"/>
    <w:r w:rsidRPr="00034AAA">
      <w:rPr>
        <w:rFonts w:ascii="Arial" w:hAnsi="Arial" w:cs="Arial"/>
        <w:color w:val="000000"/>
        <w:sz w:val="12"/>
        <w:szCs w:val="12"/>
        <w:lang w:val="lv-LV"/>
      </w:rPr>
      <w:t>www.pwc.lv</w:t>
    </w:r>
    <w:proofErr w:type="spellEnd"/>
    <w:r w:rsidRPr="00034AAA">
      <w:rPr>
        <w:rFonts w:ascii="Arial" w:hAnsi="Arial" w:cs="Arial"/>
        <w:color w:val="000000"/>
        <w:sz w:val="12"/>
        <w:szCs w:val="12"/>
        <w:lang w:val="lv-LV"/>
      </w:rPr>
      <w:t>.</w:t>
    </w: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p>
  <w:p w:rsidR="00034AAA" w:rsidRPr="00034AAA" w:rsidRDefault="00034AAA" w:rsidP="00034AAA">
    <w:pPr>
      <w:autoSpaceDE w:val="0"/>
      <w:autoSpaceDN w:val="0"/>
      <w:adjustRightInd w:val="0"/>
      <w:spacing w:after="0" w:line="240" w:lineRule="auto"/>
      <w:rPr>
        <w:rFonts w:ascii="Arial" w:hAnsi="Arial" w:cs="Arial"/>
        <w:sz w:val="12"/>
        <w:szCs w:val="12"/>
        <w:lang w:val="lv-LV"/>
      </w:rPr>
    </w:pPr>
    <w:r w:rsidRPr="00034AAA">
      <w:rPr>
        <w:rFonts w:ascii="Arial" w:hAnsi="Arial" w:cs="Arial"/>
        <w:color w:val="000000"/>
        <w:sz w:val="12"/>
        <w:szCs w:val="12"/>
        <w:lang w:val="lv-LV"/>
      </w:rPr>
      <w:t>©2014 PwC. ”PwC” apzīmē PwC uzņēmumu tīklu un/vai vienu vai vairākus tā dalībniekus, kurā katrai dalīborganizācijai ir atsevišķas juridiskās personas statuss. Sīkāka informācija pieejama www.pwc.com/structure.</w:t>
    </w:r>
  </w:p>
  <w:p w:rsidR="00B361E5" w:rsidRPr="00517C75" w:rsidRDefault="00B361E5" w:rsidP="003B68C4">
    <w:pPr>
      <w:pStyle w:val="Address"/>
      <w:spacing w:line="140" w:lineRule="atLeast"/>
      <w:rPr>
        <w:rFonts w:ascii="Arial" w:hAnsi="Arial" w:cs="Arial"/>
        <w:i w:val="0"/>
        <w:sz w:val="12"/>
        <w:szCs w:val="12"/>
      </w:rPr>
    </w:pPr>
  </w:p>
  <w:p w:rsidR="00D80571" w:rsidRPr="00B361E5" w:rsidRDefault="00D80571">
    <w:pPr>
      <w:pStyle w:val="Footer"/>
      <w:rPr>
        <w:sz w:val="12"/>
        <w:szCs w:val="1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C21" w:rsidRDefault="00253C21" w:rsidP="00E902EC">
      <w:pPr>
        <w:spacing w:after="0" w:line="240" w:lineRule="auto"/>
      </w:pPr>
      <w:r>
        <w:separator/>
      </w:r>
    </w:p>
  </w:footnote>
  <w:footnote w:type="continuationSeparator" w:id="0">
    <w:p w:rsidR="00253C21" w:rsidRDefault="00253C21" w:rsidP="00E90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EC" w:rsidRDefault="00E902EC">
    <w:pPr>
      <w:pStyle w:val="Header"/>
    </w:pPr>
    <w:r w:rsidRPr="00E902EC">
      <w:rPr>
        <w:noProof/>
        <w:lang w:val="en-GB" w:eastAsia="en-GB"/>
      </w:rPr>
      <w:drawing>
        <wp:anchor distT="0" distB="0" distL="114300" distR="114300" simplePos="0" relativeHeight="251663360" behindDoc="0" locked="0" layoutInCell="1" allowOverlap="1" wp14:anchorId="26892F98" wp14:editId="77F3A7B1">
          <wp:simplePos x="0" y="0"/>
          <wp:positionH relativeFrom="page">
            <wp:posOffset>647700</wp:posOffset>
          </wp:positionH>
          <wp:positionV relativeFrom="page">
            <wp:posOffset>752475</wp:posOffset>
          </wp:positionV>
          <wp:extent cx="969010" cy="742950"/>
          <wp:effectExtent l="19050" t="0" r="3022" b="0"/>
          <wp:wrapNone/>
          <wp:docPr id="3"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68528" cy="7391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571" w:rsidRDefault="00D80571">
    <w:pPr>
      <w:pStyle w:val="Header"/>
    </w:pPr>
    <w:r w:rsidRPr="00D80571">
      <w:rPr>
        <w:noProof/>
        <w:lang w:val="en-GB" w:eastAsia="en-GB"/>
      </w:rPr>
      <w:drawing>
        <wp:anchor distT="0" distB="0" distL="114300" distR="114300" simplePos="0" relativeHeight="251668480" behindDoc="0" locked="0" layoutInCell="1" allowOverlap="1" wp14:anchorId="59752A75" wp14:editId="7EEABFC3">
          <wp:simplePos x="0" y="0"/>
          <wp:positionH relativeFrom="page">
            <wp:posOffset>800100</wp:posOffset>
          </wp:positionH>
          <wp:positionV relativeFrom="page">
            <wp:posOffset>904875</wp:posOffset>
          </wp:positionV>
          <wp:extent cx="971550" cy="742950"/>
          <wp:effectExtent l="19050" t="0" r="0" b="0"/>
          <wp:wrapNone/>
          <wp:docPr id="1"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72721" cy="7391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A91"/>
    <w:multiLevelType w:val="hybridMultilevel"/>
    <w:tmpl w:val="81921C0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85A7E"/>
    <w:multiLevelType w:val="hybridMultilevel"/>
    <w:tmpl w:val="D9A896B0"/>
    <w:lvl w:ilvl="0" w:tplc="B308B4B4">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8C1F13"/>
    <w:multiLevelType w:val="hybridMultilevel"/>
    <w:tmpl w:val="3D9C14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F5639C"/>
    <w:multiLevelType w:val="hybridMultilevel"/>
    <w:tmpl w:val="63EE39EC"/>
    <w:lvl w:ilvl="0" w:tplc="0809000F">
      <w:start w:val="1"/>
      <w:numFmt w:val="decimal"/>
      <w:lvlText w:val="%1."/>
      <w:lvlJc w:val="left"/>
      <w:pPr>
        <w:ind w:left="1788" w:hanging="360"/>
      </w:pPr>
    </w:lvl>
    <w:lvl w:ilvl="1" w:tplc="08090019" w:tentative="1">
      <w:start w:val="1"/>
      <w:numFmt w:val="lowerLetter"/>
      <w:lvlText w:val="%2."/>
      <w:lvlJc w:val="left"/>
      <w:pPr>
        <w:ind w:left="2508" w:hanging="360"/>
      </w:pPr>
    </w:lvl>
    <w:lvl w:ilvl="2" w:tplc="0809001B" w:tentative="1">
      <w:start w:val="1"/>
      <w:numFmt w:val="lowerRoman"/>
      <w:lvlText w:val="%3."/>
      <w:lvlJc w:val="right"/>
      <w:pPr>
        <w:ind w:left="3228" w:hanging="180"/>
      </w:pPr>
    </w:lvl>
    <w:lvl w:ilvl="3" w:tplc="0809000F" w:tentative="1">
      <w:start w:val="1"/>
      <w:numFmt w:val="decimal"/>
      <w:lvlText w:val="%4."/>
      <w:lvlJc w:val="left"/>
      <w:pPr>
        <w:ind w:left="3948" w:hanging="360"/>
      </w:pPr>
    </w:lvl>
    <w:lvl w:ilvl="4" w:tplc="08090019" w:tentative="1">
      <w:start w:val="1"/>
      <w:numFmt w:val="lowerLetter"/>
      <w:lvlText w:val="%5."/>
      <w:lvlJc w:val="left"/>
      <w:pPr>
        <w:ind w:left="4668" w:hanging="360"/>
      </w:pPr>
    </w:lvl>
    <w:lvl w:ilvl="5" w:tplc="0809001B" w:tentative="1">
      <w:start w:val="1"/>
      <w:numFmt w:val="lowerRoman"/>
      <w:lvlText w:val="%6."/>
      <w:lvlJc w:val="right"/>
      <w:pPr>
        <w:ind w:left="5388" w:hanging="180"/>
      </w:pPr>
    </w:lvl>
    <w:lvl w:ilvl="6" w:tplc="0809000F" w:tentative="1">
      <w:start w:val="1"/>
      <w:numFmt w:val="decimal"/>
      <w:lvlText w:val="%7."/>
      <w:lvlJc w:val="left"/>
      <w:pPr>
        <w:ind w:left="6108" w:hanging="360"/>
      </w:pPr>
    </w:lvl>
    <w:lvl w:ilvl="7" w:tplc="08090019" w:tentative="1">
      <w:start w:val="1"/>
      <w:numFmt w:val="lowerLetter"/>
      <w:lvlText w:val="%8."/>
      <w:lvlJc w:val="left"/>
      <w:pPr>
        <w:ind w:left="6828" w:hanging="360"/>
      </w:pPr>
    </w:lvl>
    <w:lvl w:ilvl="8" w:tplc="0809001B" w:tentative="1">
      <w:start w:val="1"/>
      <w:numFmt w:val="lowerRoman"/>
      <w:lvlText w:val="%9."/>
      <w:lvlJc w:val="right"/>
      <w:pPr>
        <w:ind w:left="7548" w:hanging="180"/>
      </w:pPr>
    </w:lvl>
  </w:abstractNum>
  <w:abstractNum w:abstractNumId="4">
    <w:nsid w:val="10455169"/>
    <w:multiLevelType w:val="hybridMultilevel"/>
    <w:tmpl w:val="C59681F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9FF7D7A"/>
    <w:multiLevelType w:val="hybridMultilevel"/>
    <w:tmpl w:val="2320CF36"/>
    <w:lvl w:ilvl="0" w:tplc="0809000F">
      <w:start w:val="1"/>
      <w:numFmt w:val="decimal"/>
      <w:lvlText w:val="%1."/>
      <w:lvlJc w:val="left"/>
      <w:pPr>
        <w:ind w:left="1788" w:hanging="360"/>
      </w:pPr>
    </w:lvl>
    <w:lvl w:ilvl="1" w:tplc="08090019" w:tentative="1">
      <w:start w:val="1"/>
      <w:numFmt w:val="lowerLetter"/>
      <w:lvlText w:val="%2."/>
      <w:lvlJc w:val="left"/>
      <w:pPr>
        <w:ind w:left="2508" w:hanging="360"/>
      </w:pPr>
    </w:lvl>
    <w:lvl w:ilvl="2" w:tplc="0809001B" w:tentative="1">
      <w:start w:val="1"/>
      <w:numFmt w:val="lowerRoman"/>
      <w:lvlText w:val="%3."/>
      <w:lvlJc w:val="right"/>
      <w:pPr>
        <w:ind w:left="3228" w:hanging="180"/>
      </w:pPr>
    </w:lvl>
    <w:lvl w:ilvl="3" w:tplc="0809000F" w:tentative="1">
      <w:start w:val="1"/>
      <w:numFmt w:val="decimal"/>
      <w:lvlText w:val="%4."/>
      <w:lvlJc w:val="left"/>
      <w:pPr>
        <w:ind w:left="3948" w:hanging="360"/>
      </w:pPr>
    </w:lvl>
    <w:lvl w:ilvl="4" w:tplc="08090019" w:tentative="1">
      <w:start w:val="1"/>
      <w:numFmt w:val="lowerLetter"/>
      <w:lvlText w:val="%5."/>
      <w:lvlJc w:val="left"/>
      <w:pPr>
        <w:ind w:left="4668" w:hanging="360"/>
      </w:pPr>
    </w:lvl>
    <w:lvl w:ilvl="5" w:tplc="0809001B" w:tentative="1">
      <w:start w:val="1"/>
      <w:numFmt w:val="lowerRoman"/>
      <w:lvlText w:val="%6."/>
      <w:lvlJc w:val="right"/>
      <w:pPr>
        <w:ind w:left="5388" w:hanging="180"/>
      </w:pPr>
    </w:lvl>
    <w:lvl w:ilvl="6" w:tplc="0809000F" w:tentative="1">
      <w:start w:val="1"/>
      <w:numFmt w:val="decimal"/>
      <w:lvlText w:val="%7."/>
      <w:lvlJc w:val="left"/>
      <w:pPr>
        <w:ind w:left="6108" w:hanging="360"/>
      </w:pPr>
    </w:lvl>
    <w:lvl w:ilvl="7" w:tplc="08090019" w:tentative="1">
      <w:start w:val="1"/>
      <w:numFmt w:val="lowerLetter"/>
      <w:lvlText w:val="%8."/>
      <w:lvlJc w:val="left"/>
      <w:pPr>
        <w:ind w:left="6828" w:hanging="360"/>
      </w:pPr>
    </w:lvl>
    <w:lvl w:ilvl="8" w:tplc="0809001B" w:tentative="1">
      <w:start w:val="1"/>
      <w:numFmt w:val="lowerRoman"/>
      <w:lvlText w:val="%9."/>
      <w:lvlJc w:val="right"/>
      <w:pPr>
        <w:ind w:left="7548" w:hanging="180"/>
      </w:pPr>
    </w:lvl>
  </w:abstractNum>
  <w:abstractNum w:abstractNumId="6">
    <w:nsid w:val="3A3B1867"/>
    <w:multiLevelType w:val="hybridMultilevel"/>
    <w:tmpl w:val="CDB8BE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06B1AA1"/>
    <w:multiLevelType w:val="hybridMultilevel"/>
    <w:tmpl w:val="300EE0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73C165E"/>
    <w:multiLevelType w:val="hybridMultilevel"/>
    <w:tmpl w:val="86D2B5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663250A0"/>
    <w:multiLevelType w:val="hybridMultilevel"/>
    <w:tmpl w:val="9AC4D7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F5B39CC"/>
    <w:multiLevelType w:val="hybridMultilevel"/>
    <w:tmpl w:val="A936FA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9F91FB1"/>
    <w:multiLevelType w:val="hybridMultilevel"/>
    <w:tmpl w:val="F4F4F26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10"/>
  </w:num>
  <w:num w:numId="5">
    <w:abstractNumId w:val="2"/>
  </w:num>
  <w:num w:numId="6">
    <w:abstractNumId w:val="9"/>
  </w:num>
  <w:num w:numId="7">
    <w:abstractNumId w:val="5"/>
  </w:num>
  <w:num w:numId="8">
    <w:abstractNumId w:val="3"/>
  </w:num>
  <w:num w:numId="9">
    <w:abstractNumId w:val="6"/>
  </w:num>
  <w:num w:numId="10">
    <w:abstractNumId w:val="4"/>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098E"/>
    <w:rsid w:val="00034AAA"/>
    <w:rsid w:val="000454C1"/>
    <w:rsid w:val="000726D2"/>
    <w:rsid w:val="000876FA"/>
    <w:rsid w:val="000B5045"/>
    <w:rsid w:val="000B5E05"/>
    <w:rsid w:val="000D7B00"/>
    <w:rsid w:val="000E34EA"/>
    <w:rsid w:val="000E3A67"/>
    <w:rsid w:val="00113EBA"/>
    <w:rsid w:val="0011450C"/>
    <w:rsid w:val="001427B2"/>
    <w:rsid w:val="00166C97"/>
    <w:rsid w:val="001A7F25"/>
    <w:rsid w:val="001B0C74"/>
    <w:rsid w:val="001C73EA"/>
    <w:rsid w:val="00253C21"/>
    <w:rsid w:val="00256F02"/>
    <w:rsid w:val="00276819"/>
    <w:rsid w:val="0029508C"/>
    <w:rsid w:val="002C12B4"/>
    <w:rsid w:val="002D074B"/>
    <w:rsid w:val="002D2C1A"/>
    <w:rsid w:val="002E573B"/>
    <w:rsid w:val="0031457A"/>
    <w:rsid w:val="003225AF"/>
    <w:rsid w:val="003427D4"/>
    <w:rsid w:val="003A2002"/>
    <w:rsid w:val="003B68C4"/>
    <w:rsid w:val="00410A1D"/>
    <w:rsid w:val="00430237"/>
    <w:rsid w:val="004763F0"/>
    <w:rsid w:val="00480DCC"/>
    <w:rsid w:val="004C14F4"/>
    <w:rsid w:val="004C34DA"/>
    <w:rsid w:val="004D7127"/>
    <w:rsid w:val="004D7485"/>
    <w:rsid w:val="004E4C9A"/>
    <w:rsid w:val="004E6A1E"/>
    <w:rsid w:val="004F30EE"/>
    <w:rsid w:val="00517C75"/>
    <w:rsid w:val="00526445"/>
    <w:rsid w:val="00543C82"/>
    <w:rsid w:val="00543E37"/>
    <w:rsid w:val="00545851"/>
    <w:rsid w:val="005738A0"/>
    <w:rsid w:val="005900BB"/>
    <w:rsid w:val="00595642"/>
    <w:rsid w:val="005D7878"/>
    <w:rsid w:val="00601878"/>
    <w:rsid w:val="0062502B"/>
    <w:rsid w:val="00643247"/>
    <w:rsid w:val="00664B5C"/>
    <w:rsid w:val="00670B19"/>
    <w:rsid w:val="006738B4"/>
    <w:rsid w:val="00685270"/>
    <w:rsid w:val="006C18BF"/>
    <w:rsid w:val="006D0E8D"/>
    <w:rsid w:val="006F6CF7"/>
    <w:rsid w:val="007237C8"/>
    <w:rsid w:val="00726B6B"/>
    <w:rsid w:val="007308F8"/>
    <w:rsid w:val="00743D67"/>
    <w:rsid w:val="0076101A"/>
    <w:rsid w:val="007871AC"/>
    <w:rsid w:val="007E1809"/>
    <w:rsid w:val="007E72BC"/>
    <w:rsid w:val="007F10B1"/>
    <w:rsid w:val="007F3D46"/>
    <w:rsid w:val="00804499"/>
    <w:rsid w:val="00820259"/>
    <w:rsid w:val="00821E83"/>
    <w:rsid w:val="00832BC6"/>
    <w:rsid w:val="00872F06"/>
    <w:rsid w:val="008A07D2"/>
    <w:rsid w:val="008A07FC"/>
    <w:rsid w:val="008D52D5"/>
    <w:rsid w:val="00906BB5"/>
    <w:rsid w:val="009601B2"/>
    <w:rsid w:val="00963953"/>
    <w:rsid w:val="009F5C8B"/>
    <w:rsid w:val="00A11E96"/>
    <w:rsid w:val="00A4050D"/>
    <w:rsid w:val="00A71817"/>
    <w:rsid w:val="00A71B22"/>
    <w:rsid w:val="00A76F5F"/>
    <w:rsid w:val="00AE13DB"/>
    <w:rsid w:val="00AE5F8B"/>
    <w:rsid w:val="00B203F2"/>
    <w:rsid w:val="00B361E5"/>
    <w:rsid w:val="00B426D3"/>
    <w:rsid w:val="00B56CE4"/>
    <w:rsid w:val="00B65E2E"/>
    <w:rsid w:val="00B71736"/>
    <w:rsid w:val="00BA1E0B"/>
    <w:rsid w:val="00BC2564"/>
    <w:rsid w:val="00BD22D0"/>
    <w:rsid w:val="00C01C78"/>
    <w:rsid w:val="00C70C33"/>
    <w:rsid w:val="00C916F7"/>
    <w:rsid w:val="00CA160A"/>
    <w:rsid w:val="00CB098E"/>
    <w:rsid w:val="00D03031"/>
    <w:rsid w:val="00D12621"/>
    <w:rsid w:val="00D2330E"/>
    <w:rsid w:val="00D3742D"/>
    <w:rsid w:val="00D6223C"/>
    <w:rsid w:val="00D80571"/>
    <w:rsid w:val="00E004BC"/>
    <w:rsid w:val="00E00EB5"/>
    <w:rsid w:val="00E14776"/>
    <w:rsid w:val="00E20164"/>
    <w:rsid w:val="00E36DBD"/>
    <w:rsid w:val="00E65354"/>
    <w:rsid w:val="00E814DB"/>
    <w:rsid w:val="00E902EC"/>
    <w:rsid w:val="00EA6C98"/>
    <w:rsid w:val="00F13202"/>
    <w:rsid w:val="00F17276"/>
    <w:rsid w:val="00F42D3F"/>
    <w:rsid w:val="00F634C4"/>
    <w:rsid w:val="00F74615"/>
    <w:rsid w:val="00F97A88"/>
    <w:rsid w:val="00FA2CEB"/>
    <w:rsid w:val="00FA4F47"/>
    <w:rsid w:val="00FB5EE7"/>
    <w:rsid w:val="00FF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E902EC"/>
    <w:pPr>
      <w:spacing w:after="240" w:line="240" w:lineRule="atLeast"/>
    </w:pPr>
    <w:rPr>
      <w:rFonts w:ascii="Georgia" w:hAnsi="Georgia" w:cstheme="minorBidi"/>
      <w:lang w:val="en-GB"/>
    </w:rPr>
  </w:style>
  <w:style w:type="paragraph" w:styleId="Heading1">
    <w:name w:val="heading 1"/>
    <w:basedOn w:val="Normal"/>
    <w:next w:val="Normal"/>
    <w:link w:val="Heading1Char"/>
    <w:uiPriority w:val="9"/>
    <w:qFormat/>
    <w:rsid w:val="00D2330E"/>
    <w:pPr>
      <w:keepNext/>
      <w:spacing w:after="0" w:line="276" w:lineRule="auto"/>
      <w:outlineLvl w:val="0"/>
    </w:pPr>
    <w:rPr>
      <w:b/>
      <w:sz w:val="22"/>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HeaderChar">
    <w:name w:val="Header Char"/>
    <w:basedOn w:val="DefaultParagraphFont"/>
    <w:link w:val="Header"/>
    <w:uiPriority w:val="99"/>
    <w:rsid w:val="00E902EC"/>
  </w:style>
  <w:style w:type="paragraph" w:styleId="Footer">
    <w:name w:val="footer"/>
    <w:basedOn w:val="Normal"/>
    <w:link w:val="Foot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FooterChar">
    <w:name w:val="Footer Char"/>
    <w:basedOn w:val="DefaultParagraphFont"/>
    <w:link w:val="Footer"/>
    <w:uiPriority w:val="99"/>
    <w:rsid w:val="00E902EC"/>
  </w:style>
  <w:style w:type="paragraph" w:customStyle="1" w:styleId="Disclaimer">
    <w:name w:val="Disclaimer"/>
    <w:basedOn w:val="Normal"/>
    <w:link w:val="DisclaimerChar"/>
    <w:qFormat/>
    <w:rsid w:val="00E902EC"/>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E902EC"/>
    <w:rPr>
      <w:rFonts w:asciiTheme="minorHAnsi" w:hAnsiTheme="minorHAnsi"/>
      <w:noProof/>
      <w:sz w:val="12"/>
      <w:szCs w:val="22"/>
      <w:lang w:val="en-GB" w:eastAsia="en-GB"/>
    </w:rPr>
  </w:style>
  <w:style w:type="paragraph" w:customStyle="1" w:styleId="Address">
    <w:name w:val="Address"/>
    <w:basedOn w:val="Normal"/>
    <w:link w:val="AddressChar"/>
    <w:qFormat/>
    <w:rsid w:val="00E902EC"/>
    <w:pPr>
      <w:spacing w:after="0" w:line="200" w:lineRule="atLeast"/>
    </w:pPr>
    <w:rPr>
      <w:i/>
      <w:noProof/>
      <w:sz w:val="18"/>
      <w:szCs w:val="22"/>
      <w:lang w:eastAsia="en-GB"/>
    </w:rPr>
  </w:style>
  <w:style w:type="character" w:customStyle="1" w:styleId="AddressChar">
    <w:name w:val="Address Char"/>
    <w:basedOn w:val="DefaultParagraphFont"/>
    <w:link w:val="Address"/>
    <w:rsid w:val="00E902EC"/>
    <w:rPr>
      <w:rFonts w:ascii="Georgia" w:hAnsi="Georgia" w:cstheme="minorBidi"/>
      <w:i/>
      <w:noProof/>
      <w:sz w:val="18"/>
      <w:szCs w:val="22"/>
      <w:lang w:val="en-GB" w:eastAsia="en-GB"/>
    </w:rPr>
  </w:style>
  <w:style w:type="paragraph" w:styleId="BodyText">
    <w:name w:val="Body Text"/>
    <w:basedOn w:val="Normal"/>
    <w:link w:val="BodyTextChar"/>
    <w:unhideWhenUsed/>
    <w:qFormat/>
    <w:rsid w:val="00E902EC"/>
  </w:style>
  <w:style w:type="character" w:customStyle="1" w:styleId="BodyTextChar">
    <w:name w:val="Body Text Char"/>
    <w:basedOn w:val="DefaultParagraphFont"/>
    <w:link w:val="BodyText"/>
    <w:rsid w:val="00E902EC"/>
    <w:rPr>
      <w:rFonts w:ascii="Georgia" w:hAnsi="Georgia" w:cstheme="minorBidi"/>
      <w:lang w:val="en-GB"/>
    </w:rPr>
  </w:style>
  <w:style w:type="character" w:styleId="Hyperlink">
    <w:name w:val="Hyperlink"/>
    <w:basedOn w:val="DefaultParagraphFont"/>
    <w:uiPriority w:val="99"/>
    <w:unhideWhenUsed/>
    <w:rsid w:val="00545851"/>
    <w:rPr>
      <w:color w:val="auto"/>
      <w:u w:val="none"/>
    </w:rPr>
  </w:style>
  <w:style w:type="paragraph" w:styleId="ListParagraph">
    <w:name w:val="List Paragraph"/>
    <w:basedOn w:val="Normal"/>
    <w:uiPriority w:val="34"/>
    <w:qFormat/>
    <w:rsid w:val="004C14F4"/>
    <w:pPr>
      <w:ind w:left="720"/>
      <w:contextualSpacing/>
    </w:pPr>
  </w:style>
  <w:style w:type="table" w:styleId="LightList-Accent5">
    <w:name w:val="Light List Accent 5"/>
    <w:basedOn w:val="TableNormal"/>
    <w:uiPriority w:val="61"/>
    <w:rsid w:val="00543C82"/>
    <w:pPr>
      <w:spacing w:after="0" w:line="240" w:lineRule="auto"/>
    </w:pPr>
    <w:tblPr>
      <w:tblStyleRowBandSize w:val="1"/>
      <w:tblStyleColBandSize w:val="1"/>
      <w:tblInd w:w="0" w:type="dxa"/>
      <w:tblBorders>
        <w:top w:val="single" w:sz="8" w:space="0" w:color="DC6900" w:themeColor="accent5"/>
        <w:left w:val="single" w:sz="8" w:space="0" w:color="DC6900" w:themeColor="accent5"/>
        <w:bottom w:val="single" w:sz="8" w:space="0" w:color="DC6900" w:themeColor="accent5"/>
        <w:right w:val="single" w:sz="8" w:space="0" w:color="DC690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C6900" w:themeFill="accent5"/>
      </w:tcPr>
    </w:tblStylePr>
    <w:tblStylePr w:type="lastRow">
      <w:pPr>
        <w:spacing w:before="0" w:after="0" w:line="240" w:lineRule="auto"/>
      </w:pPr>
      <w:rPr>
        <w:b/>
        <w:bCs/>
      </w:rPr>
      <w:tblPr/>
      <w:tcPr>
        <w:tcBorders>
          <w:top w:val="double" w:sz="6" w:space="0" w:color="DC6900" w:themeColor="accent5"/>
          <w:left w:val="single" w:sz="8" w:space="0" w:color="DC6900" w:themeColor="accent5"/>
          <w:bottom w:val="single" w:sz="8" w:space="0" w:color="DC6900" w:themeColor="accent5"/>
          <w:right w:val="single" w:sz="8" w:space="0" w:color="DC6900" w:themeColor="accent5"/>
        </w:tcBorders>
      </w:tcPr>
    </w:tblStylePr>
    <w:tblStylePr w:type="firstCol">
      <w:rPr>
        <w:b/>
        <w:bCs/>
      </w:rPr>
    </w:tblStylePr>
    <w:tblStylePr w:type="lastCol">
      <w:rPr>
        <w:b/>
        <w:bCs/>
      </w:rPr>
    </w:tblStylePr>
    <w:tblStylePr w:type="band1Vert">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tblStylePr w:type="band1Horz">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style>
  <w:style w:type="character" w:customStyle="1" w:styleId="Heading1Char">
    <w:name w:val="Heading 1 Char"/>
    <w:basedOn w:val="DefaultParagraphFont"/>
    <w:link w:val="Heading1"/>
    <w:uiPriority w:val="9"/>
    <w:rsid w:val="00D2330E"/>
    <w:rPr>
      <w:rFonts w:ascii="Georgia" w:hAnsi="Georgia" w:cstheme="minorBidi"/>
      <w:b/>
      <w:sz w:val="22"/>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PwC%20Letter%20Latvian.dotx" TargetMode="External"/></Relationships>
</file>

<file path=word/theme/theme1.xml><?xml version="1.0" encoding="utf-8"?>
<a:theme xmlns:a="http://schemas.openxmlformats.org/drawingml/2006/main" name="Office Theme">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PwC Letter Latvian.dotx</Template>
  <TotalTime>96</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Mezapuke</dc:creator>
  <cp:lastModifiedBy>Ilze Pukite</cp:lastModifiedBy>
  <cp:revision>11</cp:revision>
  <dcterms:created xsi:type="dcterms:W3CDTF">2014-05-26T14:41:00Z</dcterms:created>
  <dcterms:modified xsi:type="dcterms:W3CDTF">2014-05-30T12:52:00Z</dcterms:modified>
</cp:coreProperties>
</file>