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71" w:rsidRPr="00AE5F8B" w:rsidRDefault="00CB098E" w:rsidP="008D52D5">
      <w:pPr>
        <w:spacing w:after="0" w:line="276" w:lineRule="auto"/>
        <w:rPr>
          <w:b/>
          <w:lang w:val="lv-LV"/>
        </w:rPr>
      </w:pPr>
      <w:r w:rsidRPr="00AE5F8B">
        <w:rPr>
          <w:b/>
          <w:lang w:val="lv-LV"/>
        </w:rPr>
        <w:t>Ekspertu diskusijas protokols</w:t>
      </w:r>
    </w:p>
    <w:p w:rsidR="00670B19" w:rsidRDefault="00670B19" w:rsidP="008D52D5">
      <w:pPr>
        <w:spacing w:after="0" w:line="276" w:lineRule="auto"/>
        <w:rPr>
          <w:lang w:val="lv-LV"/>
        </w:rPr>
      </w:pPr>
    </w:p>
    <w:p w:rsidR="000454C1" w:rsidRDefault="000454C1" w:rsidP="008D52D5">
      <w:pPr>
        <w:spacing w:after="0" w:line="276" w:lineRule="auto"/>
        <w:rPr>
          <w:lang w:val="lv-LV"/>
        </w:rPr>
      </w:pPr>
      <w:r>
        <w:rPr>
          <w:lang w:val="lv-LV"/>
        </w:rPr>
        <w:t xml:space="preserve">2014. gada 19. </w:t>
      </w:r>
      <w:r w:rsidR="00FA4F47">
        <w:rPr>
          <w:lang w:val="lv-LV"/>
        </w:rPr>
        <w:t>m</w:t>
      </w:r>
      <w:r>
        <w:rPr>
          <w:lang w:val="lv-LV"/>
        </w:rPr>
        <w:t>aijā</w:t>
      </w:r>
    </w:p>
    <w:p w:rsidR="0011450C" w:rsidRDefault="0011450C" w:rsidP="008D52D5">
      <w:pPr>
        <w:spacing w:after="0" w:line="276" w:lineRule="auto"/>
        <w:rPr>
          <w:lang w:val="lv-LV"/>
        </w:rPr>
      </w:pPr>
    </w:p>
    <w:p w:rsidR="000454C1" w:rsidRDefault="000454C1" w:rsidP="008D52D5">
      <w:pPr>
        <w:spacing w:after="0" w:line="276" w:lineRule="auto"/>
        <w:rPr>
          <w:lang w:val="lv-LV"/>
        </w:rPr>
      </w:pPr>
      <w:r>
        <w:rPr>
          <w:lang w:val="lv-LV"/>
        </w:rPr>
        <w:t xml:space="preserve">Norises vieta: Ekonomikas ministrija, </w:t>
      </w:r>
      <w:r w:rsidR="00FA4F47">
        <w:rPr>
          <w:lang w:val="lv-LV"/>
        </w:rPr>
        <w:t>Brīvības iela 55, LV-1519</w:t>
      </w:r>
    </w:p>
    <w:p w:rsidR="000454C1" w:rsidRDefault="000454C1" w:rsidP="008D52D5">
      <w:pPr>
        <w:spacing w:after="0" w:line="276" w:lineRule="auto"/>
        <w:rPr>
          <w:lang w:val="lv-LV"/>
        </w:rPr>
      </w:pPr>
      <w:r>
        <w:rPr>
          <w:lang w:val="lv-LV"/>
        </w:rPr>
        <w:t>Sēdes sākums: 12.00</w:t>
      </w:r>
    </w:p>
    <w:p w:rsidR="006A3532" w:rsidRDefault="000454C1" w:rsidP="008D52D5">
      <w:pPr>
        <w:spacing w:after="0" w:line="240" w:lineRule="auto"/>
        <w:rPr>
          <w:lang w:val="lv-LV"/>
        </w:rPr>
      </w:pPr>
      <w:r>
        <w:rPr>
          <w:lang w:val="lv-LV"/>
        </w:rPr>
        <w:t xml:space="preserve">Sēdē piedalās: </w:t>
      </w:r>
    </w:p>
    <w:p w:rsidR="006A3532" w:rsidRDefault="006A3532" w:rsidP="008D52D5">
      <w:pPr>
        <w:spacing w:after="0" w:line="240" w:lineRule="auto"/>
        <w:rPr>
          <w:lang w:val="lv-LV"/>
        </w:rPr>
      </w:pPr>
    </w:p>
    <w:tbl>
      <w:tblPr>
        <w:tblStyle w:val="LightList-Accent5"/>
        <w:tblW w:w="0" w:type="auto"/>
        <w:tblLook w:val="04A0" w:firstRow="1" w:lastRow="0" w:firstColumn="1" w:lastColumn="0" w:noHBand="0" w:noVBand="1"/>
      </w:tblPr>
      <w:tblGrid>
        <w:gridCol w:w="534"/>
        <w:gridCol w:w="1842"/>
        <w:gridCol w:w="2694"/>
        <w:gridCol w:w="4216"/>
      </w:tblGrid>
      <w:tr w:rsidR="006A3532" w:rsidRPr="00C32D60" w:rsidTr="009C0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6A3532" w:rsidRPr="00C32D60" w:rsidRDefault="006A3532" w:rsidP="009C0A05">
            <w:pPr>
              <w:spacing w:after="0" w:line="240" w:lineRule="auto"/>
              <w:rPr>
                <w:sz w:val="18"/>
                <w:szCs w:val="18"/>
                <w:lang w:val="lv-LV"/>
              </w:rPr>
            </w:pPr>
            <w:proofErr w:type="spellStart"/>
            <w:r w:rsidRPr="00C32D60">
              <w:rPr>
                <w:sz w:val="18"/>
                <w:szCs w:val="18"/>
                <w:lang w:val="lv-LV"/>
              </w:rPr>
              <w:t>Nr</w:t>
            </w:r>
            <w:proofErr w:type="spellEnd"/>
            <w:r w:rsidRPr="00C32D60">
              <w:rPr>
                <w:sz w:val="18"/>
                <w:szCs w:val="18"/>
                <w:lang w:val="lv-LV"/>
              </w:rPr>
              <w:t>.</w:t>
            </w:r>
          </w:p>
        </w:tc>
        <w:tc>
          <w:tcPr>
            <w:tcW w:w="1842" w:type="dxa"/>
          </w:tcPr>
          <w:p w:rsidR="006A3532" w:rsidRPr="00C32D60" w:rsidRDefault="006A3532"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Dalībnieka Vārds, Uzvārds</w:t>
            </w:r>
          </w:p>
        </w:tc>
        <w:tc>
          <w:tcPr>
            <w:tcW w:w="2694" w:type="dxa"/>
          </w:tcPr>
          <w:p w:rsidR="006A3532" w:rsidRPr="00C32D60" w:rsidRDefault="006A3532"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Pārstāvētā iestāde/organizācija</w:t>
            </w:r>
          </w:p>
        </w:tc>
        <w:tc>
          <w:tcPr>
            <w:tcW w:w="4216" w:type="dxa"/>
          </w:tcPr>
          <w:p w:rsidR="006A3532" w:rsidRPr="00C32D60" w:rsidRDefault="006A3532"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Amats</w:t>
            </w:r>
          </w:p>
        </w:tc>
      </w:tr>
      <w:tr w:rsidR="006A3532" w:rsidRPr="007D6865"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sidRPr="007D6865">
              <w:rPr>
                <w:sz w:val="18"/>
                <w:szCs w:val="18"/>
                <w:lang w:val="lv-LV"/>
              </w:rPr>
              <w:t>1.</w:t>
            </w:r>
          </w:p>
        </w:tc>
        <w:tc>
          <w:tcPr>
            <w:tcW w:w="1842"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 xml:space="preserve">Ilze </w:t>
            </w:r>
            <w:proofErr w:type="spellStart"/>
            <w:r w:rsidRPr="007D6865">
              <w:rPr>
                <w:sz w:val="18"/>
                <w:szCs w:val="18"/>
                <w:lang w:val="lv-LV"/>
              </w:rPr>
              <w:t>Beināre</w:t>
            </w:r>
            <w:proofErr w:type="spellEnd"/>
          </w:p>
        </w:tc>
        <w:tc>
          <w:tcPr>
            <w:tcW w:w="2694"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LR Ekonomikas ministrija</w:t>
            </w:r>
          </w:p>
        </w:tc>
        <w:tc>
          <w:tcPr>
            <w:tcW w:w="4216"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Uzņēmējdarbības konkurētspējas departamenta direktore</w:t>
            </w:r>
          </w:p>
        </w:tc>
      </w:tr>
      <w:tr w:rsidR="006A3532" w:rsidRPr="003C38B6" w:rsidTr="009C0A05">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sidRPr="007D6865">
              <w:rPr>
                <w:sz w:val="18"/>
                <w:szCs w:val="18"/>
                <w:lang w:val="lv-LV"/>
              </w:rPr>
              <w:t>2.</w:t>
            </w:r>
          </w:p>
        </w:tc>
        <w:tc>
          <w:tcPr>
            <w:tcW w:w="1842"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 xml:space="preserve">Ilze </w:t>
            </w:r>
            <w:proofErr w:type="spellStart"/>
            <w:r w:rsidRPr="007D6865">
              <w:rPr>
                <w:sz w:val="18"/>
                <w:szCs w:val="18"/>
                <w:lang w:val="lv-LV"/>
              </w:rPr>
              <w:t>Lore</w:t>
            </w:r>
            <w:proofErr w:type="spellEnd"/>
            <w:r w:rsidRPr="007D6865">
              <w:rPr>
                <w:sz w:val="18"/>
                <w:szCs w:val="18"/>
                <w:lang w:val="lv-LV"/>
              </w:rPr>
              <w:t xml:space="preserve"> </w:t>
            </w:r>
          </w:p>
        </w:tc>
        <w:tc>
          <w:tcPr>
            <w:tcW w:w="2694"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LR Ekonomikas ministrija</w:t>
            </w:r>
          </w:p>
        </w:tc>
        <w:tc>
          <w:tcPr>
            <w:tcW w:w="4216"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Uzņēmējdarbības vides uzlabošanas nodaļas vadītāja</w:t>
            </w:r>
            <w:r w:rsidRPr="007D6865">
              <w:rPr>
                <w:sz w:val="18"/>
                <w:szCs w:val="18"/>
                <w:lang w:val="lv-LV"/>
              </w:rPr>
              <w:tab/>
            </w:r>
          </w:p>
        </w:tc>
      </w:tr>
      <w:tr w:rsidR="006A3532" w:rsidRPr="007D6865"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sidRPr="007D6865">
              <w:rPr>
                <w:sz w:val="18"/>
                <w:szCs w:val="18"/>
                <w:lang w:val="lv-LV"/>
              </w:rPr>
              <w:t>3.</w:t>
            </w:r>
          </w:p>
        </w:tc>
        <w:tc>
          <w:tcPr>
            <w:tcW w:w="1842"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Anita Kalniņa</w:t>
            </w:r>
          </w:p>
        </w:tc>
        <w:tc>
          <w:tcPr>
            <w:tcW w:w="2694"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PricewaterhouseCoopers SIA</w:t>
            </w:r>
          </w:p>
        </w:tc>
        <w:tc>
          <w:tcPr>
            <w:tcW w:w="4216"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Projektu vadītāja</w:t>
            </w:r>
          </w:p>
        </w:tc>
      </w:tr>
      <w:tr w:rsidR="006A3532" w:rsidRPr="007D6865" w:rsidTr="009C0A05">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sidRPr="007D6865">
              <w:rPr>
                <w:sz w:val="18"/>
                <w:szCs w:val="18"/>
                <w:lang w:val="lv-LV"/>
              </w:rPr>
              <w:t>4.</w:t>
            </w:r>
          </w:p>
        </w:tc>
        <w:tc>
          <w:tcPr>
            <w:tcW w:w="1842"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Ilze Puķīte</w:t>
            </w:r>
          </w:p>
        </w:tc>
        <w:tc>
          <w:tcPr>
            <w:tcW w:w="2694"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PricewaterhouseCoopers SIA</w:t>
            </w:r>
          </w:p>
        </w:tc>
        <w:tc>
          <w:tcPr>
            <w:tcW w:w="4216"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Konsultante</w:t>
            </w:r>
          </w:p>
        </w:tc>
      </w:tr>
      <w:tr w:rsidR="006A3532" w:rsidRPr="007D6865"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sidRPr="007D6865">
              <w:rPr>
                <w:sz w:val="18"/>
                <w:szCs w:val="18"/>
                <w:lang w:val="lv-LV"/>
              </w:rPr>
              <w:t>5.</w:t>
            </w:r>
          </w:p>
        </w:tc>
        <w:tc>
          <w:tcPr>
            <w:tcW w:w="1842"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 xml:space="preserve">Līna </w:t>
            </w:r>
            <w:proofErr w:type="spellStart"/>
            <w:r w:rsidRPr="007D6865">
              <w:rPr>
                <w:sz w:val="18"/>
                <w:szCs w:val="18"/>
                <w:lang w:val="lv-LV"/>
              </w:rPr>
              <w:t>Mežapuķe</w:t>
            </w:r>
            <w:proofErr w:type="spellEnd"/>
          </w:p>
        </w:tc>
        <w:tc>
          <w:tcPr>
            <w:tcW w:w="2694"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PricewaterhouseCoopers SIA</w:t>
            </w:r>
          </w:p>
        </w:tc>
        <w:tc>
          <w:tcPr>
            <w:tcW w:w="4216"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Jaunākā konsultante</w:t>
            </w:r>
          </w:p>
        </w:tc>
      </w:tr>
      <w:tr w:rsidR="006A3532" w:rsidRPr="007D6865" w:rsidTr="009C0A05">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Pr>
                <w:sz w:val="18"/>
                <w:szCs w:val="18"/>
                <w:lang w:val="lv-LV"/>
              </w:rPr>
              <w:t>6.</w:t>
            </w:r>
          </w:p>
        </w:tc>
        <w:tc>
          <w:tcPr>
            <w:tcW w:w="1842"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lang w:val="lv-LV"/>
              </w:rPr>
              <w:t xml:space="preserve">Rota </w:t>
            </w:r>
            <w:proofErr w:type="spellStart"/>
            <w:r>
              <w:rPr>
                <w:lang w:val="lv-LV"/>
              </w:rPr>
              <w:t>Šņuka</w:t>
            </w:r>
            <w:proofErr w:type="spellEnd"/>
          </w:p>
        </w:tc>
        <w:tc>
          <w:tcPr>
            <w:tcW w:w="2694"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LR Ekonomikas ministrija</w:t>
            </w:r>
          </w:p>
        </w:tc>
        <w:tc>
          <w:tcPr>
            <w:tcW w:w="4216"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Enerģētikas departamenta direktore</w:t>
            </w:r>
          </w:p>
        </w:tc>
      </w:tr>
      <w:tr w:rsidR="006A3532" w:rsidRPr="003C38B6"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Pr>
                <w:sz w:val="18"/>
                <w:szCs w:val="18"/>
                <w:lang w:val="lv-LV"/>
              </w:rPr>
              <w:t>7.</w:t>
            </w:r>
          </w:p>
        </w:tc>
        <w:tc>
          <w:tcPr>
            <w:tcW w:w="1842"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lang w:val="lv-LV"/>
              </w:rPr>
              <w:t>Indra Niedrīte</w:t>
            </w:r>
          </w:p>
        </w:tc>
        <w:tc>
          <w:tcPr>
            <w:tcW w:w="2694"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LR Ekonomikas ministrija</w:t>
            </w:r>
          </w:p>
        </w:tc>
        <w:tc>
          <w:tcPr>
            <w:tcW w:w="4216" w:type="dxa"/>
          </w:tcPr>
          <w:p w:rsidR="006A3532" w:rsidRPr="007D6865" w:rsidRDefault="00A4471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Enerģijas tirgu n</w:t>
            </w:r>
            <w:r w:rsidR="006A3532">
              <w:rPr>
                <w:sz w:val="18"/>
                <w:szCs w:val="18"/>
                <w:lang w:val="lv-LV"/>
              </w:rPr>
              <w:t>odaļas vadītāja vietniece</w:t>
            </w:r>
          </w:p>
        </w:tc>
      </w:tr>
      <w:tr w:rsidR="006A3532" w:rsidRPr="003C38B6" w:rsidTr="009C0A05">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Pr>
                <w:sz w:val="18"/>
                <w:szCs w:val="18"/>
                <w:lang w:val="lv-LV"/>
              </w:rPr>
              <w:t>8.</w:t>
            </w:r>
          </w:p>
        </w:tc>
        <w:tc>
          <w:tcPr>
            <w:tcW w:w="1842"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lang w:val="lv-LV"/>
              </w:rPr>
              <w:t xml:space="preserve">Olga </w:t>
            </w:r>
            <w:proofErr w:type="spellStart"/>
            <w:r>
              <w:rPr>
                <w:lang w:val="lv-LV"/>
              </w:rPr>
              <w:t>Bogdanova</w:t>
            </w:r>
            <w:proofErr w:type="spellEnd"/>
          </w:p>
        </w:tc>
        <w:tc>
          <w:tcPr>
            <w:tcW w:w="2694"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LR Ekonomikas ministrija</w:t>
            </w:r>
          </w:p>
        </w:tc>
        <w:tc>
          <w:tcPr>
            <w:tcW w:w="4216" w:type="dxa"/>
          </w:tcPr>
          <w:p w:rsidR="00A44715" w:rsidRPr="00A44715" w:rsidRDefault="00A44715" w:rsidP="00A44715">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Arial-ItalicMT"/>
                <w:iCs/>
                <w:color w:val="00020E"/>
                <w:sz w:val="18"/>
                <w:lang w:val="lv-LV"/>
              </w:rPr>
            </w:pPr>
            <w:r>
              <w:rPr>
                <w:rFonts w:cs="Arial-ItalicMT"/>
                <w:iCs/>
                <w:color w:val="00020E"/>
                <w:sz w:val="18"/>
                <w:lang w:val="lv-LV"/>
              </w:rPr>
              <w:t>E</w:t>
            </w:r>
            <w:r w:rsidRPr="00A44715">
              <w:rPr>
                <w:rFonts w:cs="Arial-ItalicMT"/>
                <w:iCs/>
                <w:color w:val="00020E"/>
                <w:sz w:val="18"/>
                <w:lang w:val="lv-LV"/>
              </w:rPr>
              <w:t>nerģētikas departamenta enerģijas tirgu,</w:t>
            </w:r>
          </w:p>
          <w:p w:rsidR="006A3532" w:rsidRPr="007D6865" w:rsidRDefault="00A44715" w:rsidP="00A4471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A44715">
              <w:rPr>
                <w:rFonts w:cs="Arial-ItalicMT"/>
                <w:iCs/>
                <w:color w:val="00020E"/>
                <w:sz w:val="18"/>
                <w:lang w:val="lv-LV"/>
              </w:rPr>
              <w:t xml:space="preserve">infrastruktūras un sadarbības koordinācijas </w:t>
            </w:r>
            <w:r>
              <w:rPr>
                <w:rFonts w:cs="Arial-ItalicMT"/>
                <w:iCs/>
                <w:color w:val="00020E"/>
                <w:sz w:val="18"/>
                <w:lang w:val="lv-LV"/>
              </w:rPr>
              <w:t>d</w:t>
            </w:r>
            <w:r w:rsidR="006A3532">
              <w:rPr>
                <w:sz w:val="18"/>
                <w:szCs w:val="18"/>
                <w:lang w:val="lv-LV"/>
              </w:rPr>
              <w:t>ep</w:t>
            </w:r>
            <w:r>
              <w:rPr>
                <w:sz w:val="18"/>
                <w:szCs w:val="18"/>
                <w:lang w:val="lv-LV"/>
              </w:rPr>
              <w:t>artamenta direktora vietniece, n</w:t>
            </w:r>
            <w:r w:rsidR="006A3532">
              <w:rPr>
                <w:sz w:val="18"/>
                <w:szCs w:val="18"/>
                <w:lang w:val="lv-LV"/>
              </w:rPr>
              <w:t>odaļas vadītāja</w:t>
            </w:r>
          </w:p>
        </w:tc>
      </w:tr>
      <w:tr w:rsidR="006A3532" w:rsidRPr="007D6865"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Pr>
                <w:sz w:val="18"/>
                <w:szCs w:val="18"/>
                <w:lang w:val="lv-LV"/>
              </w:rPr>
              <w:t>9.</w:t>
            </w:r>
          </w:p>
        </w:tc>
        <w:tc>
          <w:tcPr>
            <w:tcW w:w="1842"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lang w:val="lv-LV"/>
              </w:rPr>
              <w:t>Imants Krūmiņš</w:t>
            </w:r>
          </w:p>
        </w:tc>
        <w:tc>
          <w:tcPr>
            <w:tcW w:w="2694"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AS „Sadales tīkls”</w:t>
            </w:r>
          </w:p>
        </w:tc>
        <w:tc>
          <w:tcPr>
            <w:tcW w:w="4216"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Klientu vadības direktors</w:t>
            </w:r>
          </w:p>
        </w:tc>
      </w:tr>
      <w:tr w:rsidR="006A3532" w:rsidRPr="007D6865" w:rsidTr="009C0A05">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Pr>
                <w:sz w:val="18"/>
                <w:szCs w:val="18"/>
                <w:lang w:val="lv-LV"/>
              </w:rPr>
              <w:t>10.</w:t>
            </w:r>
          </w:p>
        </w:tc>
        <w:tc>
          <w:tcPr>
            <w:tcW w:w="1842" w:type="dxa"/>
          </w:tcPr>
          <w:p w:rsidR="006A3532"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lang w:val="lv-LV"/>
              </w:rPr>
            </w:pPr>
            <w:r>
              <w:rPr>
                <w:lang w:val="lv-LV"/>
              </w:rPr>
              <w:t xml:space="preserve">Rolands </w:t>
            </w:r>
            <w:proofErr w:type="spellStart"/>
            <w:r>
              <w:rPr>
                <w:lang w:val="lv-LV"/>
              </w:rPr>
              <w:t>Lūsveris</w:t>
            </w:r>
            <w:proofErr w:type="spellEnd"/>
          </w:p>
        </w:tc>
        <w:tc>
          <w:tcPr>
            <w:tcW w:w="2694"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AS „Sadales tīkls”</w:t>
            </w:r>
          </w:p>
        </w:tc>
        <w:tc>
          <w:tcPr>
            <w:tcW w:w="4216" w:type="dxa"/>
          </w:tcPr>
          <w:p w:rsidR="006A3532" w:rsidRPr="007D6865" w:rsidRDefault="006A353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Attīstības direktors</w:t>
            </w:r>
          </w:p>
        </w:tc>
      </w:tr>
      <w:tr w:rsidR="006A3532" w:rsidRPr="007D6865"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6A3532" w:rsidRPr="007D6865" w:rsidRDefault="006A3532" w:rsidP="009C0A05">
            <w:pPr>
              <w:spacing w:after="0" w:line="240" w:lineRule="auto"/>
              <w:rPr>
                <w:sz w:val="18"/>
                <w:szCs w:val="18"/>
                <w:lang w:val="lv-LV"/>
              </w:rPr>
            </w:pPr>
            <w:r>
              <w:rPr>
                <w:sz w:val="18"/>
                <w:szCs w:val="18"/>
                <w:lang w:val="lv-LV"/>
              </w:rPr>
              <w:t>11.</w:t>
            </w:r>
          </w:p>
        </w:tc>
        <w:tc>
          <w:tcPr>
            <w:tcW w:w="1842" w:type="dxa"/>
          </w:tcPr>
          <w:p w:rsidR="006A3532"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lang w:val="lv-LV"/>
              </w:rPr>
            </w:pPr>
            <w:r>
              <w:rPr>
                <w:lang w:val="lv-LV"/>
              </w:rPr>
              <w:t>Aigars Freimanis</w:t>
            </w:r>
          </w:p>
        </w:tc>
        <w:tc>
          <w:tcPr>
            <w:tcW w:w="2694"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Latvijas Fakti</w:t>
            </w:r>
          </w:p>
        </w:tc>
        <w:tc>
          <w:tcPr>
            <w:tcW w:w="4216" w:type="dxa"/>
          </w:tcPr>
          <w:p w:rsidR="006A3532" w:rsidRPr="007D6865" w:rsidRDefault="006A3532"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Vadītājs</w:t>
            </w:r>
          </w:p>
        </w:tc>
      </w:tr>
    </w:tbl>
    <w:p w:rsidR="006A3532" w:rsidRDefault="006A3532" w:rsidP="008D52D5">
      <w:pPr>
        <w:spacing w:after="0" w:line="240" w:lineRule="auto"/>
        <w:rPr>
          <w:lang w:val="lv-LV"/>
        </w:rPr>
      </w:pPr>
    </w:p>
    <w:p w:rsidR="008D52D5" w:rsidRDefault="008D52D5" w:rsidP="006A3532">
      <w:pPr>
        <w:spacing w:after="0" w:line="240" w:lineRule="auto"/>
        <w:rPr>
          <w:lang w:val="lv-LV"/>
        </w:rPr>
      </w:pPr>
      <w:r>
        <w:rPr>
          <w:lang w:val="lv-LV"/>
        </w:rPr>
        <w:tab/>
      </w:r>
      <w:r>
        <w:rPr>
          <w:lang w:val="lv-LV"/>
        </w:rPr>
        <w:tab/>
        <w:t xml:space="preserve"> </w:t>
      </w:r>
    </w:p>
    <w:p w:rsidR="000454C1" w:rsidRDefault="000454C1" w:rsidP="008D52D5">
      <w:pPr>
        <w:spacing w:after="0" w:line="276" w:lineRule="auto"/>
        <w:rPr>
          <w:lang w:val="lv-LV"/>
        </w:rPr>
      </w:pPr>
      <w:r>
        <w:rPr>
          <w:lang w:val="lv-LV"/>
        </w:rPr>
        <w:t xml:space="preserve">Sēdi vada: </w:t>
      </w:r>
      <w:r w:rsidR="008D52D5">
        <w:rPr>
          <w:lang w:val="lv-LV"/>
        </w:rPr>
        <w:t xml:space="preserve">Ilze </w:t>
      </w:r>
      <w:proofErr w:type="spellStart"/>
      <w:r w:rsidR="008D52D5">
        <w:rPr>
          <w:lang w:val="lv-LV"/>
        </w:rPr>
        <w:t>Beināre</w:t>
      </w:r>
      <w:proofErr w:type="spellEnd"/>
      <w:r w:rsidR="00CC0C26">
        <w:rPr>
          <w:lang w:val="lv-LV"/>
        </w:rPr>
        <w:t xml:space="preserve"> (EM)</w:t>
      </w:r>
    </w:p>
    <w:p w:rsidR="000454C1" w:rsidRDefault="000454C1" w:rsidP="008D52D5">
      <w:pPr>
        <w:spacing w:after="0" w:line="276" w:lineRule="auto"/>
        <w:rPr>
          <w:lang w:val="lv-LV"/>
        </w:rPr>
      </w:pPr>
      <w:r>
        <w:rPr>
          <w:lang w:val="lv-LV"/>
        </w:rPr>
        <w:t>Sēdi protokolē:</w:t>
      </w:r>
      <w:r w:rsidR="008D52D5">
        <w:rPr>
          <w:lang w:val="lv-LV"/>
        </w:rPr>
        <w:t xml:space="preserve"> Līna </w:t>
      </w:r>
      <w:proofErr w:type="spellStart"/>
      <w:r w:rsidR="008D52D5">
        <w:rPr>
          <w:lang w:val="lv-LV"/>
        </w:rPr>
        <w:t>Mežapuķe</w:t>
      </w:r>
      <w:proofErr w:type="spellEnd"/>
      <w:r w:rsidR="00CC0C26">
        <w:rPr>
          <w:lang w:val="lv-LV"/>
        </w:rPr>
        <w:t xml:space="preserve"> (PwC)</w:t>
      </w:r>
    </w:p>
    <w:p w:rsidR="0011450C" w:rsidRDefault="0011450C" w:rsidP="00670B19">
      <w:pPr>
        <w:spacing w:after="0" w:line="276" w:lineRule="auto"/>
        <w:rPr>
          <w:lang w:val="lv-LV"/>
        </w:rPr>
      </w:pPr>
    </w:p>
    <w:p w:rsidR="00670B19" w:rsidRDefault="00670B19" w:rsidP="00AE5F8B">
      <w:pPr>
        <w:spacing w:after="0" w:line="276" w:lineRule="auto"/>
        <w:jc w:val="both"/>
        <w:rPr>
          <w:lang w:val="lv-LV"/>
        </w:rPr>
      </w:pPr>
      <w:r>
        <w:rPr>
          <w:lang w:val="lv-LV"/>
        </w:rPr>
        <w:t>Tikšanās mērķis</w:t>
      </w:r>
      <w:r w:rsidR="0011450C">
        <w:rPr>
          <w:lang w:val="lv-LV"/>
        </w:rPr>
        <w:t>: Diskusija par a</w:t>
      </w:r>
      <w:r>
        <w:rPr>
          <w:lang w:val="lv-LV"/>
        </w:rPr>
        <w:t>dministratīvo procedūru ietekme uz uzņēmējdarbības vidi. Ekspertu diskusija par priekšlikumiem attiecībā uz elektroenerģijas pieslēgumu.</w:t>
      </w:r>
    </w:p>
    <w:p w:rsidR="0011450C" w:rsidRDefault="0011450C" w:rsidP="00AE5F8B">
      <w:pPr>
        <w:spacing w:after="0" w:line="276" w:lineRule="auto"/>
        <w:jc w:val="both"/>
        <w:rPr>
          <w:lang w:val="lv-LV"/>
        </w:rPr>
      </w:pPr>
    </w:p>
    <w:p w:rsidR="000454C1" w:rsidRDefault="000454C1" w:rsidP="00AE5F8B">
      <w:pPr>
        <w:spacing w:after="0" w:line="276" w:lineRule="auto"/>
        <w:jc w:val="both"/>
        <w:rPr>
          <w:lang w:val="lv-LV"/>
        </w:rPr>
      </w:pPr>
      <w:r>
        <w:rPr>
          <w:lang w:val="lv-LV"/>
        </w:rPr>
        <w:t>Darba kārtība:</w:t>
      </w:r>
    </w:p>
    <w:p w:rsidR="004C14F4" w:rsidRDefault="00670B19" w:rsidP="00AE5F8B">
      <w:pPr>
        <w:pStyle w:val="ListParagraph"/>
        <w:numPr>
          <w:ilvl w:val="0"/>
          <w:numId w:val="1"/>
        </w:numPr>
        <w:spacing w:after="0" w:line="276" w:lineRule="auto"/>
        <w:jc w:val="both"/>
        <w:rPr>
          <w:lang w:val="lv-LV"/>
        </w:rPr>
      </w:pPr>
      <w:r>
        <w:rPr>
          <w:lang w:val="lv-LV"/>
        </w:rPr>
        <w:t>Prezentācija ekspertu grupai</w:t>
      </w:r>
      <w:r w:rsidR="004C14F4">
        <w:rPr>
          <w:lang w:val="lv-LV"/>
        </w:rPr>
        <w:t xml:space="preserve"> </w:t>
      </w:r>
      <w:r>
        <w:rPr>
          <w:lang w:val="lv-LV"/>
        </w:rPr>
        <w:t>p</w:t>
      </w:r>
      <w:r w:rsidR="004C14F4">
        <w:rPr>
          <w:lang w:val="lv-LV"/>
        </w:rPr>
        <w:t>ar uzņēmēju aptaujas, Doing Business pētījuma un Globālās Konkurētspējas indeksa rezultātiem;</w:t>
      </w:r>
    </w:p>
    <w:p w:rsidR="004C14F4" w:rsidRDefault="00670B19" w:rsidP="00AE5F8B">
      <w:pPr>
        <w:pStyle w:val="ListParagraph"/>
        <w:numPr>
          <w:ilvl w:val="0"/>
          <w:numId w:val="1"/>
        </w:numPr>
        <w:spacing w:after="0" w:line="276" w:lineRule="auto"/>
        <w:jc w:val="both"/>
        <w:rPr>
          <w:lang w:val="lv-LV"/>
        </w:rPr>
      </w:pPr>
      <w:r>
        <w:rPr>
          <w:lang w:val="lv-LV"/>
        </w:rPr>
        <w:t>Diskusij</w:t>
      </w:r>
      <w:r w:rsidR="001A1473">
        <w:rPr>
          <w:lang w:val="lv-LV"/>
        </w:rPr>
        <w:t>a</w:t>
      </w:r>
      <w:r>
        <w:rPr>
          <w:lang w:val="lv-LV"/>
        </w:rPr>
        <w:t xml:space="preserve"> </w:t>
      </w:r>
      <w:r w:rsidR="001A1473">
        <w:rPr>
          <w:lang w:val="lv-LV"/>
        </w:rPr>
        <w:t xml:space="preserve">par </w:t>
      </w:r>
      <w:r w:rsidR="00F97A88">
        <w:rPr>
          <w:lang w:val="lv-LV"/>
        </w:rPr>
        <w:t>priekšlikumi</w:t>
      </w:r>
      <w:r w:rsidR="001A1473">
        <w:rPr>
          <w:lang w:val="lv-LV"/>
        </w:rPr>
        <w:t>em</w:t>
      </w:r>
      <w:r w:rsidR="00F97A88">
        <w:rPr>
          <w:lang w:val="lv-LV"/>
        </w:rPr>
        <w:t xml:space="preserve"> elektroenerģijas pieslēguma jom</w:t>
      </w:r>
      <w:r w:rsidR="001A1473">
        <w:rPr>
          <w:lang w:val="lv-LV"/>
        </w:rPr>
        <w:t>ā</w:t>
      </w:r>
      <w:r>
        <w:rPr>
          <w:lang w:val="lv-LV"/>
        </w:rPr>
        <w:t>.</w:t>
      </w:r>
    </w:p>
    <w:p w:rsidR="00670B19" w:rsidRDefault="00670B19" w:rsidP="00AE5F8B">
      <w:pPr>
        <w:spacing w:after="0" w:line="276" w:lineRule="auto"/>
        <w:jc w:val="both"/>
        <w:rPr>
          <w:lang w:val="lv-LV"/>
        </w:rPr>
      </w:pPr>
    </w:p>
    <w:p w:rsidR="000454C1" w:rsidRPr="00B7364B" w:rsidRDefault="00F97A88" w:rsidP="00AE5F8B">
      <w:pPr>
        <w:spacing w:after="0" w:line="276" w:lineRule="auto"/>
        <w:jc w:val="both"/>
        <w:rPr>
          <w:lang w:val="lv-LV"/>
        </w:rPr>
      </w:pPr>
      <w:r w:rsidRPr="00B7364B">
        <w:rPr>
          <w:lang w:val="lv-LV"/>
        </w:rPr>
        <w:t>Tikšanās rezultāti:</w:t>
      </w:r>
    </w:p>
    <w:p w:rsidR="001A1473" w:rsidRPr="00B7364B" w:rsidRDefault="001A1473" w:rsidP="003C38B6">
      <w:pPr>
        <w:pStyle w:val="ListParagraph"/>
        <w:numPr>
          <w:ilvl w:val="0"/>
          <w:numId w:val="5"/>
        </w:numPr>
        <w:spacing w:after="0" w:line="276" w:lineRule="auto"/>
        <w:jc w:val="both"/>
        <w:rPr>
          <w:lang w:val="lv-LV"/>
        </w:rPr>
      </w:pPr>
      <w:r w:rsidRPr="00B7364B">
        <w:rPr>
          <w:lang w:val="lv-LV"/>
        </w:rPr>
        <w:t>Prezentācija ekspertu grupai par uzņēmēju aptaujas rezultātiem</w:t>
      </w:r>
      <w:r w:rsidR="00EB665B" w:rsidRPr="00B7364B">
        <w:rPr>
          <w:lang w:val="lv-LV"/>
        </w:rPr>
        <w:t xml:space="preserve"> (A.Freimanis izstāsta par tendencēm elektroenerģijas pieslēguma jomā)</w:t>
      </w:r>
      <w:r w:rsidRPr="00B7364B">
        <w:rPr>
          <w:lang w:val="lv-LV"/>
        </w:rPr>
        <w:t>:</w:t>
      </w:r>
    </w:p>
    <w:p w:rsidR="00EB665B" w:rsidRPr="00B7364B" w:rsidRDefault="00F97A88" w:rsidP="003C38B6">
      <w:pPr>
        <w:pStyle w:val="ListParagraph"/>
        <w:numPr>
          <w:ilvl w:val="1"/>
          <w:numId w:val="5"/>
        </w:numPr>
        <w:spacing w:after="0" w:line="276" w:lineRule="auto"/>
        <w:jc w:val="both"/>
        <w:rPr>
          <w:lang w:val="lv-LV"/>
        </w:rPr>
      </w:pPr>
      <w:r w:rsidRPr="00B7364B">
        <w:rPr>
          <w:lang w:val="lv-LV"/>
        </w:rPr>
        <w:t xml:space="preserve"> </w:t>
      </w:r>
      <w:r w:rsidR="00EB665B" w:rsidRPr="00B7364B">
        <w:rPr>
          <w:lang w:val="lv-LV"/>
        </w:rPr>
        <w:t>AS „Sadales Tīkls” pārstāvis norāda, ka topogrāfiskā plāna saņemšana realitātē aizņem vismaz 3 – 4 mēnešus, kas ir ilgāk nekā norāda uzņēmēju aptaujas dati. Tam iemesls ir izmantotie topogrāfiskie plāni, kas neatbilst situācijai dabā. 90% no topogrāfiskā saskaņojuma saņemšanas saistīts tieši ar topogrāfisko plānu problēmām;</w:t>
      </w:r>
    </w:p>
    <w:p w:rsidR="00EB665B" w:rsidRPr="00B7364B" w:rsidRDefault="00EB665B" w:rsidP="003C38B6">
      <w:pPr>
        <w:pStyle w:val="ListParagraph"/>
        <w:numPr>
          <w:ilvl w:val="1"/>
          <w:numId w:val="5"/>
        </w:numPr>
        <w:spacing w:after="0" w:line="276" w:lineRule="auto"/>
        <w:jc w:val="both"/>
        <w:rPr>
          <w:lang w:val="lv-LV"/>
        </w:rPr>
      </w:pPr>
      <w:r w:rsidRPr="00B7364B">
        <w:rPr>
          <w:lang w:val="lv-LV"/>
        </w:rPr>
        <w:lastRenderedPageBreak/>
        <w:t>Tiek secināts, ka lai gan pieteikuma iesniegšana Sadales tīklam un tehnisko noteikumu saņemšana pēc uzņēmuma aptaujas datiem aizņem 38 dienas, parasti tas aizņem 12 – 16 dienas;</w:t>
      </w:r>
    </w:p>
    <w:p w:rsidR="00EB665B" w:rsidRPr="00B7364B" w:rsidRDefault="00FD508F" w:rsidP="003C38B6">
      <w:pPr>
        <w:pStyle w:val="ListParagraph"/>
        <w:numPr>
          <w:ilvl w:val="1"/>
          <w:numId w:val="5"/>
        </w:numPr>
        <w:spacing w:after="0" w:line="276" w:lineRule="auto"/>
        <w:jc w:val="both"/>
        <w:rPr>
          <w:lang w:val="lv-LV"/>
        </w:rPr>
      </w:pPr>
      <w:r w:rsidRPr="00B7364B">
        <w:rPr>
          <w:lang w:val="lv-LV"/>
        </w:rPr>
        <w:t xml:space="preserve">Tiek secināts, ka jautājums „Vai šo procedūru/ vai saskaņojumu iegūšanu veicāt Jūs pats, vai kāds Jūsu uzņēmuma darbinieks vai arī Jūs to uzticējāt kādam ārējam konsultantam?” attiecībā uz vienu no atbildēm: „Sadales tīkla veikta jaunā elektrības pieslēguma inspekcija, skaitītāja un </w:t>
      </w:r>
      <w:proofErr w:type="spellStart"/>
      <w:r w:rsidRPr="00B7364B">
        <w:rPr>
          <w:lang w:val="lv-LV"/>
        </w:rPr>
        <w:t>plombju</w:t>
      </w:r>
      <w:proofErr w:type="spellEnd"/>
      <w:r w:rsidRPr="00B7364B">
        <w:rPr>
          <w:lang w:val="lv-LV"/>
        </w:rPr>
        <w:t xml:space="preserve"> uzlikšana” precizējams, jo šo procedūru veic Sadales tīkls;</w:t>
      </w:r>
    </w:p>
    <w:p w:rsidR="00F97A88" w:rsidRPr="00B7364B" w:rsidRDefault="00F97A88" w:rsidP="003C38B6">
      <w:pPr>
        <w:pStyle w:val="ListParagraph"/>
        <w:numPr>
          <w:ilvl w:val="1"/>
          <w:numId w:val="5"/>
        </w:numPr>
        <w:spacing w:after="0" w:line="276" w:lineRule="auto"/>
        <w:jc w:val="both"/>
        <w:rPr>
          <w:lang w:val="lv-LV"/>
        </w:rPr>
      </w:pPr>
      <w:r w:rsidRPr="00B7364B">
        <w:rPr>
          <w:lang w:val="lv-LV"/>
        </w:rPr>
        <w:t>Tiek nolemts par nepieciešamu turpmākajos gados mainīt metodoloģiju un jautājumu ‘Kā Jūs vērtējat iespēju izvēlēties elektrības piegādātāju?’ uzdot</w:t>
      </w:r>
      <w:r w:rsidR="0011450C" w:rsidRPr="00B7364B">
        <w:rPr>
          <w:lang w:val="lv-LV"/>
        </w:rPr>
        <w:t xml:space="preserve"> visai respondentu kopai</w:t>
      </w:r>
      <w:r w:rsidR="006C18BF" w:rsidRPr="00B7364B">
        <w:rPr>
          <w:lang w:val="lv-LV"/>
        </w:rPr>
        <w:t>;</w:t>
      </w:r>
    </w:p>
    <w:p w:rsidR="00F13202" w:rsidRPr="00B7364B" w:rsidRDefault="000B5E05" w:rsidP="003C38B6">
      <w:pPr>
        <w:pStyle w:val="ListParagraph"/>
        <w:numPr>
          <w:ilvl w:val="0"/>
          <w:numId w:val="5"/>
        </w:numPr>
        <w:spacing w:after="0" w:line="276" w:lineRule="auto"/>
        <w:jc w:val="both"/>
        <w:rPr>
          <w:lang w:val="lv-LV"/>
        </w:rPr>
      </w:pPr>
      <w:r w:rsidRPr="00B7364B">
        <w:rPr>
          <w:lang w:val="lv-LV"/>
        </w:rPr>
        <w:t>Pārrunāti Doing Business pētījuma un Globālās konkurētspējas indeksa rādītāji</w:t>
      </w:r>
      <w:r w:rsidR="00BA1E0B" w:rsidRPr="00B7364B">
        <w:rPr>
          <w:lang w:val="lv-LV"/>
        </w:rPr>
        <w:t xml:space="preserve"> (A. Kalniņa izstāsta par apkopotajiem datiem no minētajiem pētījumiem)</w:t>
      </w:r>
      <w:r w:rsidR="00F13202" w:rsidRPr="00B7364B">
        <w:rPr>
          <w:lang w:val="lv-LV"/>
        </w:rPr>
        <w:t>:</w:t>
      </w:r>
      <w:bookmarkStart w:id="0" w:name="_GoBack"/>
      <w:bookmarkEnd w:id="0"/>
    </w:p>
    <w:p w:rsidR="000B5E05" w:rsidRPr="00B7364B" w:rsidRDefault="00F13202" w:rsidP="003C38B6">
      <w:pPr>
        <w:pStyle w:val="ListParagraph"/>
        <w:numPr>
          <w:ilvl w:val="1"/>
          <w:numId w:val="5"/>
        </w:numPr>
        <w:spacing w:after="0" w:line="276" w:lineRule="auto"/>
        <w:jc w:val="both"/>
        <w:rPr>
          <w:lang w:val="lv-LV"/>
        </w:rPr>
      </w:pPr>
      <w:r w:rsidRPr="00B7364B">
        <w:rPr>
          <w:lang w:val="lv-LV"/>
        </w:rPr>
        <w:t>Tiek secināts, ka lai gan Lietuvā izmaksas ir norādītas kā zemākas, lielai atšķirībai Doing Business rezultātos starp Latviju un Lietuvu nevajadzētu būt.</w:t>
      </w:r>
    </w:p>
    <w:p w:rsidR="006C18BF" w:rsidRPr="00B7364B" w:rsidRDefault="006C18BF" w:rsidP="003C38B6">
      <w:pPr>
        <w:pStyle w:val="ListParagraph"/>
        <w:numPr>
          <w:ilvl w:val="0"/>
          <w:numId w:val="5"/>
        </w:numPr>
        <w:spacing w:after="0" w:line="276" w:lineRule="auto"/>
        <w:jc w:val="both"/>
        <w:rPr>
          <w:lang w:val="lv-LV"/>
        </w:rPr>
      </w:pPr>
      <w:r w:rsidRPr="00B7364B">
        <w:rPr>
          <w:lang w:val="lv-LV"/>
        </w:rPr>
        <w:t>Pārrunātas diskusiju tēmas- galvenās problēmas un iespējamie risinājumi saistībā ar elektroenerģijas pieslēgumu:</w:t>
      </w:r>
    </w:p>
    <w:p w:rsidR="00FD508F" w:rsidRPr="00B7364B" w:rsidRDefault="00FD508F" w:rsidP="003C38B6">
      <w:pPr>
        <w:pStyle w:val="ListParagraph"/>
        <w:numPr>
          <w:ilvl w:val="1"/>
          <w:numId w:val="5"/>
        </w:numPr>
        <w:spacing w:after="0" w:line="276" w:lineRule="auto"/>
        <w:jc w:val="both"/>
        <w:rPr>
          <w:lang w:val="lv-LV"/>
        </w:rPr>
      </w:pPr>
      <w:r w:rsidRPr="00B7364B">
        <w:rPr>
          <w:lang w:val="lv-LV"/>
        </w:rPr>
        <w:t>Tiek secināts, ka Doing Business rādītājs atspoguļo pilnas sākotnējās izmaksas uzņēmējam, taču šīs izmaksas tiek kompensētas, tādēļ reālās izmaksas ir zemākas par Doing Business rādītāju;</w:t>
      </w:r>
    </w:p>
    <w:p w:rsidR="006C18BF" w:rsidRPr="00B7364B" w:rsidRDefault="00F13202" w:rsidP="003C38B6">
      <w:pPr>
        <w:pStyle w:val="ListParagraph"/>
        <w:numPr>
          <w:ilvl w:val="1"/>
          <w:numId w:val="5"/>
        </w:numPr>
        <w:spacing w:after="0" w:line="276" w:lineRule="auto"/>
        <w:jc w:val="both"/>
        <w:rPr>
          <w:lang w:val="lv-LV"/>
        </w:rPr>
      </w:pPr>
      <w:r w:rsidRPr="00B7364B">
        <w:rPr>
          <w:lang w:val="lv-LV"/>
        </w:rPr>
        <w:t>Kā galvenā problēma tiek minēta nepieciešamība saskaņot elektroenerģijas pieslēguma izveidi ar apkārtējiem zemju īpašniekiem</w:t>
      </w:r>
      <w:r w:rsidR="00BA1E0B" w:rsidRPr="00B7364B">
        <w:rPr>
          <w:lang w:val="lv-LV"/>
        </w:rPr>
        <w:t xml:space="preserve"> (tiek  norādīts, ka ir vajadzīgs mainīt likumdošanu attiecībā uz šo jautājumu, jo šobrīd saskaņošanas iespējas ir apgrūtinātas, piemēram, īpaši daudzdzīvokļu ēkās)</w:t>
      </w:r>
      <w:r w:rsidR="00FD508F" w:rsidRPr="00B7364B">
        <w:rPr>
          <w:lang w:val="lv-LV"/>
        </w:rPr>
        <w:t>;</w:t>
      </w:r>
    </w:p>
    <w:p w:rsidR="00BA1E0B" w:rsidRPr="00B7364B" w:rsidRDefault="00FD508F" w:rsidP="003C38B6">
      <w:pPr>
        <w:pStyle w:val="ListParagraph"/>
        <w:numPr>
          <w:ilvl w:val="1"/>
          <w:numId w:val="5"/>
        </w:numPr>
        <w:spacing w:after="0" w:line="276" w:lineRule="auto"/>
        <w:jc w:val="both"/>
        <w:rPr>
          <w:lang w:val="lv-LV"/>
        </w:rPr>
      </w:pPr>
      <w:r w:rsidRPr="00B7364B">
        <w:rPr>
          <w:lang w:val="lv-LV"/>
        </w:rPr>
        <w:t>Tiek nolemts, ka Doing Business datiem varētu turpmāk iesniegt teorētisku aprēķinu par Rīgu nevis Jelgavu</w:t>
      </w:r>
      <w:r w:rsidR="00BA1E0B" w:rsidRPr="00B7364B">
        <w:rPr>
          <w:lang w:val="lv-LV"/>
        </w:rPr>
        <w:t>.</w:t>
      </w:r>
    </w:p>
    <w:p w:rsidR="0011450C" w:rsidRPr="00B7364B" w:rsidRDefault="0011450C" w:rsidP="003C38B6">
      <w:pPr>
        <w:pStyle w:val="ListParagraph"/>
        <w:numPr>
          <w:ilvl w:val="0"/>
          <w:numId w:val="5"/>
        </w:numPr>
        <w:spacing w:after="0" w:line="276" w:lineRule="auto"/>
        <w:jc w:val="both"/>
        <w:rPr>
          <w:lang w:val="lv-LV"/>
        </w:rPr>
      </w:pPr>
      <w:r w:rsidRPr="00B7364B">
        <w:rPr>
          <w:lang w:val="lv-LV"/>
        </w:rPr>
        <w:t>Tiek norunāts, ka AS „Sadales tīkls” apkopos papildus priekšlikumus elektroenerģijas pieslēguma procesa uzlabošanai un tos iesniegs Ekonomikas ministrijai.</w:t>
      </w:r>
    </w:p>
    <w:sectPr w:rsidR="0011450C" w:rsidRPr="00B7364B" w:rsidSect="00D80571">
      <w:headerReference w:type="default" r:id="rId8"/>
      <w:footerReference w:type="default" r:id="rId9"/>
      <w:headerReference w:type="first" r:id="rId10"/>
      <w:footerReference w:type="first" r:id="rId11"/>
      <w:pgSz w:w="11906" w:h="16838" w:code="9"/>
      <w:pgMar w:top="3130" w:right="851" w:bottom="201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98E" w:rsidRDefault="00CB098E" w:rsidP="00E902EC">
      <w:pPr>
        <w:spacing w:after="0" w:line="240" w:lineRule="auto"/>
      </w:pPr>
      <w:r>
        <w:separator/>
      </w:r>
    </w:p>
  </w:endnote>
  <w:endnote w:type="continuationSeparator" w:id="0">
    <w:p w:rsidR="00CB098E" w:rsidRDefault="00CB098E" w:rsidP="00E90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Italic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1141"/>
      <w:docPartObj>
        <w:docPartGallery w:val="Page Numbers (Bottom of Page)"/>
        <w:docPartUnique/>
      </w:docPartObj>
    </w:sdtPr>
    <w:sdtEndPr/>
    <w:sdtContent>
      <w:p w:rsidR="00D80571" w:rsidRDefault="00E20164">
        <w:pPr>
          <w:pStyle w:val="Footer"/>
        </w:pPr>
        <w:r>
          <w:fldChar w:fldCharType="begin"/>
        </w:r>
        <w:r>
          <w:instrText xml:space="preserve"> PAGE   \* MERGEFORMAT </w:instrText>
        </w:r>
        <w:r>
          <w:fldChar w:fldCharType="separate"/>
        </w:r>
        <w:r w:rsidR="002F4EE8">
          <w:rPr>
            <w:noProof/>
          </w:rPr>
          <w:t>2</w:t>
        </w:r>
        <w:r>
          <w:rPr>
            <w:noProof/>
          </w:rPr>
          <w:fldChar w:fldCharType="end"/>
        </w:r>
      </w:p>
    </w:sdtContent>
  </w:sdt>
  <w:p w:rsidR="00D80571" w:rsidRDefault="00D805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8C4" w:rsidRPr="00E65354" w:rsidRDefault="002F4EE8" w:rsidP="003B68C4">
    <w:pPr>
      <w:pStyle w:val="Address"/>
    </w:pPr>
    <w:bookmarkStart w:id="1" w:name="address"/>
    <w:r>
      <w:pict>
        <v:shape id="_x0000_s2058" style="position:absolute;margin-left:87.9pt;margin-top:-3.5pt;width:464.9pt;height:11.35pt;z-index:251670528;mso-position-horizontal-relative:page;mso-position-vertical-relative:text" coordsize="9299,228" path="m,228l,,9299,e" filled="f" strokecolor="#dc6900" strokeweight="1pt">
          <v:stroke dashstyle="1 1"/>
          <v:path arrowok="t"/>
          <w10:wrap anchorx="page"/>
          <w10:anchorlock/>
        </v:shape>
      </w:pict>
    </w:r>
    <w:r w:rsidR="003B68C4" w:rsidRPr="00E65354">
      <w:t>PricewaterhouseCoopers SIA, Kr. Valdem</w:t>
    </w:r>
    <w:r w:rsidR="003B68C4">
      <w:t>ā</w:t>
    </w:r>
    <w:r w:rsidR="003B68C4" w:rsidRPr="00E65354">
      <w:t xml:space="preserve">ra iela </w:t>
    </w:r>
    <w:r w:rsidR="003B68C4">
      <w:t>21-21</w:t>
    </w:r>
    <w:r w:rsidR="003B68C4" w:rsidRPr="00E65354">
      <w:t>, R</w:t>
    </w:r>
    <w:r w:rsidR="003B68C4">
      <w:t>ī</w:t>
    </w:r>
    <w:r w:rsidR="003B68C4" w:rsidRPr="00E65354">
      <w:t>ga</w:t>
    </w:r>
    <w:r w:rsidR="003B68C4">
      <w:t>,</w:t>
    </w:r>
    <w:r w:rsidR="003B68C4" w:rsidRPr="00E65354">
      <w:t xml:space="preserve"> LV-1010, Latvi</w:t>
    </w:r>
    <w:r w:rsidR="003B68C4">
      <w:t>j</w:t>
    </w:r>
    <w:r w:rsidR="003B68C4" w:rsidRPr="00E65354">
      <w:t>a</w:t>
    </w:r>
    <w:r w:rsidR="003B68C4">
      <w:t>,</w:t>
    </w:r>
    <w:r w:rsidR="003B68C4" w:rsidRPr="00E65354">
      <w:t xml:space="preserve"> </w:t>
    </w:r>
    <w:r w:rsidR="003B68C4">
      <w:t>LV40003142793</w:t>
    </w:r>
  </w:p>
  <w:p w:rsidR="003B68C4" w:rsidRPr="00E65354" w:rsidRDefault="003B68C4" w:rsidP="003B68C4">
    <w:pPr>
      <w:pStyle w:val="Address"/>
    </w:pPr>
    <w:r w:rsidRPr="00E65354">
      <w:t xml:space="preserve">T: +371 6709 4400, F: +371 </w:t>
    </w:r>
    <w:r>
      <w:t>6</w:t>
    </w:r>
    <w:r w:rsidRPr="00E65354">
      <w:t>783 0055, www.pwc.</w:t>
    </w:r>
    <w:r>
      <w:t>lv</w:t>
    </w:r>
    <w:r w:rsidRPr="00E65354">
      <w:t xml:space="preserve"> </w:t>
    </w:r>
    <w:bookmarkEnd w:id="1"/>
  </w:p>
  <w:p w:rsidR="003B68C4" w:rsidRPr="00B361E5" w:rsidRDefault="003B68C4" w:rsidP="003B68C4">
    <w:pPr>
      <w:pStyle w:val="Disclaimer"/>
      <w:rPr>
        <w:rFonts w:ascii="Georgia" w:hAnsi="Georgia"/>
        <w:i/>
        <w:sz w:val="18"/>
        <w:szCs w:val="18"/>
      </w:rPr>
    </w:pP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r w:rsidRPr="00034AAA">
      <w:rPr>
        <w:rFonts w:ascii="Arial" w:hAnsi="Arial" w:cs="Arial"/>
        <w:color w:val="000000"/>
        <w:sz w:val="12"/>
        <w:szCs w:val="12"/>
        <w:lang w:val="lv-LV"/>
      </w:rPr>
      <w:t xml:space="preserve">PwC uzņēmumi palīdz juridiskām un fiziskām personām radīt tām nepieciešamo vērtību. Mūsu uzņēmumu tīklā 157 valstīs strādā vairāk nekā 184 000 speciālistu, kuru uzdevums ir sniegt kvalitatīvus revīzijas pakalpojumus, kā arī nodokļu un biznesa konsultācijas. Pastāstiet mums par sev svarīgo un uzziniet vairāk, apmeklējot </w:t>
    </w:r>
    <w:proofErr w:type="spellStart"/>
    <w:r w:rsidRPr="00034AAA">
      <w:rPr>
        <w:rFonts w:ascii="Arial" w:hAnsi="Arial" w:cs="Arial"/>
        <w:color w:val="000000"/>
        <w:sz w:val="12"/>
        <w:szCs w:val="12"/>
        <w:lang w:val="lv-LV"/>
      </w:rPr>
      <w:t>www.pwc.lv</w:t>
    </w:r>
    <w:proofErr w:type="spellEnd"/>
    <w:r w:rsidRPr="00034AAA">
      <w:rPr>
        <w:rFonts w:ascii="Arial" w:hAnsi="Arial" w:cs="Arial"/>
        <w:color w:val="000000"/>
        <w:sz w:val="12"/>
        <w:szCs w:val="12"/>
        <w:lang w:val="lv-LV"/>
      </w:rPr>
      <w:t>.</w:t>
    </w: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p>
  <w:p w:rsidR="00034AAA" w:rsidRPr="00034AAA" w:rsidRDefault="00034AAA" w:rsidP="00034AAA">
    <w:pPr>
      <w:autoSpaceDE w:val="0"/>
      <w:autoSpaceDN w:val="0"/>
      <w:adjustRightInd w:val="0"/>
      <w:spacing w:after="0" w:line="240" w:lineRule="auto"/>
      <w:rPr>
        <w:rFonts w:ascii="Arial" w:hAnsi="Arial" w:cs="Arial"/>
        <w:sz w:val="12"/>
        <w:szCs w:val="12"/>
        <w:lang w:val="lv-LV"/>
      </w:rPr>
    </w:pPr>
    <w:r w:rsidRPr="00034AAA">
      <w:rPr>
        <w:rFonts w:ascii="Arial" w:hAnsi="Arial" w:cs="Arial"/>
        <w:color w:val="000000"/>
        <w:sz w:val="12"/>
        <w:szCs w:val="12"/>
        <w:lang w:val="lv-LV"/>
      </w:rPr>
      <w:t>©2014 PwC. ”PwC” apzīmē PwC uzņēmumu tīklu un/vai vienu vai vairākus tā dalībniekus, kurā katrai dalīborganizācijai ir atsevišķas juridiskās personas statuss. Sīkāka informācija pieejama www.pwc.com/structure.</w:t>
    </w:r>
  </w:p>
  <w:p w:rsidR="00B361E5" w:rsidRPr="00517C75" w:rsidRDefault="00B361E5" w:rsidP="003B68C4">
    <w:pPr>
      <w:pStyle w:val="Address"/>
      <w:spacing w:line="140" w:lineRule="atLeast"/>
      <w:rPr>
        <w:rFonts w:ascii="Arial" w:hAnsi="Arial" w:cs="Arial"/>
        <w:i w:val="0"/>
        <w:sz w:val="12"/>
        <w:szCs w:val="12"/>
      </w:rPr>
    </w:pPr>
  </w:p>
  <w:p w:rsidR="00D80571" w:rsidRPr="00B361E5" w:rsidRDefault="00D80571">
    <w:pPr>
      <w:pStyle w:val="Footer"/>
      <w:rPr>
        <w:sz w:val="12"/>
        <w:szCs w:val="1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98E" w:rsidRDefault="00CB098E" w:rsidP="00E902EC">
      <w:pPr>
        <w:spacing w:after="0" w:line="240" w:lineRule="auto"/>
      </w:pPr>
      <w:r>
        <w:separator/>
      </w:r>
    </w:p>
  </w:footnote>
  <w:footnote w:type="continuationSeparator" w:id="0">
    <w:p w:rsidR="00CB098E" w:rsidRDefault="00CB098E" w:rsidP="00E90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EC" w:rsidRDefault="00E902EC">
    <w:pPr>
      <w:pStyle w:val="Header"/>
    </w:pPr>
    <w:r w:rsidRPr="00E902EC">
      <w:rPr>
        <w:noProof/>
        <w:lang w:val="en-GB" w:eastAsia="en-GB"/>
      </w:rPr>
      <w:drawing>
        <wp:anchor distT="0" distB="0" distL="114300" distR="114300" simplePos="0" relativeHeight="251663360" behindDoc="0" locked="0" layoutInCell="1" allowOverlap="1">
          <wp:simplePos x="0" y="0"/>
          <wp:positionH relativeFrom="page">
            <wp:posOffset>647700</wp:posOffset>
          </wp:positionH>
          <wp:positionV relativeFrom="page">
            <wp:posOffset>752475</wp:posOffset>
          </wp:positionV>
          <wp:extent cx="969010" cy="742950"/>
          <wp:effectExtent l="19050" t="0" r="3022" b="0"/>
          <wp:wrapNone/>
          <wp:docPr id="3"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68528" cy="7391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571" w:rsidRDefault="00D80571">
    <w:pPr>
      <w:pStyle w:val="Header"/>
    </w:pPr>
    <w:r w:rsidRPr="00D80571">
      <w:rPr>
        <w:noProof/>
        <w:lang w:val="en-GB" w:eastAsia="en-GB"/>
      </w:rPr>
      <w:drawing>
        <wp:anchor distT="0" distB="0" distL="114300" distR="114300" simplePos="0" relativeHeight="251668480" behindDoc="0" locked="0" layoutInCell="1" allowOverlap="1">
          <wp:simplePos x="0" y="0"/>
          <wp:positionH relativeFrom="page">
            <wp:posOffset>800100</wp:posOffset>
          </wp:positionH>
          <wp:positionV relativeFrom="page">
            <wp:posOffset>904875</wp:posOffset>
          </wp:positionV>
          <wp:extent cx="971550" cy="742950"/>
          <wp:effectExtent l="19050" t="0" r="0" b="0"/>
          <wp:wrapNone/>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72721" cy="7391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A9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2DB3C71"/>
    <w:multiLevelType w:val="hybridMultilevel"/>
    <w:tmpl w:val="139E0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06B1AA1"/>
    <w:multiLevelType w:val="hybridMultilevel"/>
    <w:tmpl w:val="300EE0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563188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F91FB1"/>
    <w:multiLevelType w:val="hybridMultilevel"/>
    <w:tmpl w:val="F4F4F26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098E"/>
    <w:rsid w:val="00034AAA"/>
    <w:rsid w:val="000454C1"/>
    <w:rsid w:val="000B5045"/>
    <w:rsid w:val="000B5E05"/>
    <w:rsid w:val="000D7B00"/>
    <w:rsid w:val="000E3A67"/>
    <w:rsid w:val="0011450C"/>
    <w:rsid w:val="00166C97"/>
    <w:rsid w:val="001A1473"/>
    <w:rsid w:val="00256F02"/>
    <w:rsid w:val="00276819"/>
    <w:rsid w:val="002C12B4"/>
    <w:rsid w:val="002F4EE8"/>
    <w:rsid w:val="0031457A"/>
    <w:rsid w:val="003427D4"/>
    <w:rsid w:val="0038273E"/>
    <w:rsid w:val="003B68C4"/>
    <w:rsid w:val="003B6AC5"/>
    <w:rsid w:val="003C38B6"/>
    <w:rsid w:val="00410A1D"/>
    <w:rsid w:val="00430237"/>
    <w:rsid w:val="004763F0"/>
    <w:rsid w:val="00480DCC"/>
    <w:rsid w:val="004C14F4"/>
    <w:rsid w:val="004C34DA"/>
    <w:rsid w:val="004E4C9A"/>
    <w:rsid w:val="004E6A1E"/>
    <w:rsid w:val="004F30EE"/>
    <w:rsid w:val="00517C75"/>
    <w:rsid w:val="00526445"/>
    <w:rsid w:val="00543E37"/>
    <w:rsid w:val="00545851"/>
    <w:rsid w:val="005900BB"/>
    <w:rsid w:val="005D7878"/>
    <w:rsid w:val="00670B19"/>
    <w:rsid w:val="006738B4"/>
    <w:rsid w:val="006A3532"/>
    <w:rsid w:val="006C18BF"/>
    <w:rsid w:val="006D0E8D"/>
    <w:rsid w:val="006F6CF7"/>
    <w:rsid w:val="00726B6B"/>
    <w:rsid w:val="007308F8"/>
    <w:rsid w:val="00743D67"/>
    <w:rsid w:val="0076101A"/>
    <w:rsid w:val="007871AC"/>
    <w:rsid w:val="00804499"/>
    <w:rsid w:val="00832BC6"/>
    <w:rsid w:val="0084503C"/>
    <w:rsid w:val="00872F06"/>
    <w:rsid w:val="008A07D2"/>
    <w:rsid w:val="008A07FC"/>
    <w:rsid w:val="008D52D5"/>
    <w:rsid w:val="00A44715"/>
    <w:rsid w:val="00A71817"/>
    <w:rsid w:val="00A71B22"/>
    <w:rsid w:val="00AE5F8B"/>
    <w:rsid w:val="00B361E5"/>
    <w:rsid w:val="00B426D3"/>
    <w:rsid w:val="00B56CE4"/>
    <w:rsid w:val="00B65E2E"/>
    <w:rsid w:val="00B7364B"/>
    <w:rsid w:val="00BA1E0B"/>
    <w:rsid w:val="00BC2564"/>
    <w:rsid w:val="00C80F5E"/>
    <w:rsid w:val="00CB098E"/>
    <w:rsid w:val="00CC0C26"/>
    <w:rsid w:val="00D03031"/>
    <w:rsid w:val="00D6223C"/>
    <w:rsid w:val="00D80571"/>
    <w:rsid w:val="00E004BC"/>
    <w:rsid w:val="00E20164"/>
    <w:rsid w:val="00E36DBD"/>
    <w:rsid w:val="00E65354"/>
    <w:rsid w:val="00E814DB"/>
    <w:rsid w:val="00E902EC"/>
    <w:rsid w:val="00EA6C98"/>
    <w:rsid w:val="00EB665B"/>
    <w:rsid w:val="00EF2C62"/>
    <w:rsid w:val="00F13202"/>
    <w:rsid w:val="00F17276"/>
    <w:rsid w:val="00F97A88"/>
    <w:rsid w:val="00FA4F47"/>
    <w:rsid w:val="00FD508F"/>
    <w:rsid w:val="00FF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E902EC"/>
    <w:pPr>
      <w:spacing w:after="240" w:line="240" w:lineRule="atLeast"/>
    </w:pPr>
    <w:rPr>
      <w:rFonts w:ascii="Georgia" w:hAnsi="Georgia" w:cstheme="minorBid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HeaderChar">
    <w:name w:val="Header Char"/>
    <w:basedOn w:val="DefaultParagraphFont"/>
    <w:link w:val="Header"/>
    <w:uiPriority w:val="99"/>
    <w:rsid w:val="00E902EC"/>
  </w:style>
  <w:style w:type="paragraph" w:styleId="Footer">
    <w:name w:val="footer"/>
    <w:basedOn w:val="Normal"/>
    <w:link w:val="Foot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FooterChar">
    <w:name w:val="Footer Char"/>
    <w:basedOn w:val="DefaultParagraphFont"/>
    <w:link w:val="Footer"/>
    <w:uiPriority w:val="99"/>
    <w:rsid w:val="00E902EC"/>
  </w:style>
  <w:style w:type="paragraph" w:customStyle="1" w:styleId="Disclaimer">
    <w:name w:val="Disclaimer"/>
    <w:basedOn w:val="Normal"/>
    <w:link w:val="DisclaimerChar"/>
    <w:qFormat/>
    <w:rsid w:val="00E902EC"/>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E902EC"/>
    <w:rPr>
      <w:rFonts w:asciiTheme="minorHAnsi" w:hAnsiTheme="minorHAnsi"/>
      <w:noProof/>
      <w:sz w:val="12"/>
      <w:szCs w:val="22"/>
      <w:lang w:val="en-GB" w:eastAsia="en-GB"/>
    </w:rPr>
  </w:style>
  <w:style w:type="paragraph" w:customStyle="1" w:styleId="Address">
    <w:name w:val="Address"/>
    <w:basedOn w:val="Normal"/>
    <w:link w:val="AddressChar"/>
    <w:qFormat/>
    <w:rsid w:val="00E902EC"/>
    <w:pPr>
      <w:spacing w:after="0" w:line="200" w:lineRule="atLeast"/>
    </w:pPr>
    <w:rPr>
      <w:i/>
      <w:noProof/>
      <w:sz w:val="18"/>
      <w:szCs w:val="22"/>
      <w:lang w:eastAsia="en-GB"/>
    </w:rPr>
  </w:style>
  <w:style w:type="character" w:customStyle="1" w:styleId="AddressChar">
    <w:name w:val="Address Char"/>
    <w:basedOn w:val="DefaultParagraphFont"/>
    <w:link w:val="Address"/>
    <w:rsid w:val="00E902EC"/>
    <w:rPr>
      <w:rFonts w:ascii="Georgia" w:hAnsi="Georgia" w:cstheme="minorBidi"/>
      <w:i/>
      <w:noProof/>
      <w:sz w:val="18"/>
      <w:szCs w:val="22"/>
      <w:lang w:val="en-GB" w:eastAsia="en-GB"/>
    </w:rPr>
  </w:style>
  <w:style w:type="paragraph" w:styleId="BodyText">
    <w:name w:val="Body Text"/>
    <w:basedOn w:val="Normal"/>
    <w:link w:val="BodyTextChar"/>
    <w:unhideWhenUsed/>
    <w:qFormat/>
    <w:rsid w:val="00E902EC"/>
  </w:style>
  <w:style w:type="character" w:customStyle="1" w:styleId="BodyTextChar">
    <w:name w:val="Body Text Char"/>
    <w:basedOn w:val="DefaultParagraphFont"/>
    <w:link w:val="BodyText"/>
    <w:rsid w:val="00E902EC"/>
    <w:rPr>
      <w:rFonts w:ascii="Georgia" w:hAnsi="Georgia" w:cstheme="minorBidi"/>
      <w:lang w:val="en-GB"/>
    </w:rPr>
  </w:style>
  <w:style w:type="character" w:styleId="Hyperlink">
    <w:name w:val="Hyperlink"/>
    <w:basedOn w:val="DefaultParagraphFont"/>
    <w:uiPriority w:val="99"/>
    <w:unhideWhenUsed/>
    <w:rsid w:val="00545851"/>
    <w:rPr>
      <w:color w:val="auto"/>
      <w:u w:val="none"/>
    </w:rPr>
  </w:style>
  <w:style w:type="paragraph" w:styleId="ListParagraph">
    <w:name w:val="List Paragraph"/>
    <w:basedOn w:val="Normal"/>
    <w:uiPriority w:val="34"/>
    <w:qFormat/>
    <w:rsid w:val="004C14F4"/>
    <w:pPr>
      <w:ind w:left="720"/>
      <w:contextualSpacing/>
    </w:pPr>
  </w:style>
  <w:style w:type="paragraph" w:styleId="BalloonText">
    <w:name w:val="Balloon Text"/>
    <w:basedOn w:val="Normal"/>
    <w:link w:val="BalloonTextChar"/>
    <w:uiPriority w:val="99"/>
    <w:semiHidden/>
    <w:unhideWhenUsed/>
    <w:rsid w:val="00CC0C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C26"/>
    <w:rPr>
      <w:rFonts w:ascii="Tahoma" w:hAnsi="Tahoma" w:cs="Tahoma"/>
      <w:sz w:val="16"/>
      <w:szCs w:val="16"/>
      <w:lang w:val="en-GB"/>
    </w:rPr>
  </w:style>
  <w:style w:type="character" w:styleId="CommentReference">
    <w:name w:val="annotation reference"/>
    <w:basedOn w:val="DefaultParagraphFont"/>
    <w:uiPriority w:val="99"/>
    <w:semiHidden/>
    <w:unhideWhenUsed/>
    <w:rsid w:val="00CC0C26"/>
    <w:rPr>
      <w:sz w:val="16"/>
      <w:szCs w:val="16"/>
    </w:rPr>
  </w:style>
  <w:style w:type="paragraph" w:styleId="CommentText">
    <w:name w:val="annotation text"/>
    <w:basedOn w:val="Normal"/>
    <w:link w:val="CommentTextChar"/>
    <w:uiPriority w:val="99"/>
    <w:semiHidden/>
    <w:unhideWhenUsed/>
    <w:rsid w:val="00CC0C26"/>
    <w:pPr>
      <w:spacing w:line="240" w:lineRule="auto"/>
    </w:pPr>
  </w:style>
  <w:style w:type="character" w:customStyle="1" w:styleId="CommentTextChar">
    <w:name w:val="Comment Text Char"/>
    <w:basedOn w:val="DefaultParagraphFont"/>
    <w:link w:val="CommentText"/>
    <w:uiPriority w:val="99"/>
    <w:semiHidden/>
    <w:rsid w:val="00CC0C26"/>
    <w:rPr>
      <w:rFonts w:ascii="Georgia" w:hAnsi="Georgia" w:cstheme="minorBidi"/>
      <w:lang w:val="en-GB"/>
    </w:rPr>
  </w:style>
  <w:style w:type="paragraph" w:styleId="CommentSubject">
    <w:name w:val="annotation subject"/>
    <w:basedOn w:val="CommentText"/>
    <w:next w:val="CommentText"/>
    <w:link w:val="CommentSubjectChar"/>
    <w:uiPriority w:val="99"/>
    <w:semiHidden/>
    <w:unhideWhenUsed/>
    <w:rsid w:val="00CC0C26"/>
    <w:rPr>
      <w:b/>
      <w:bCs/>
    </w:rPr>
  </w:style>
  <w:style w:type="character" w:customStyle="1" w:styleId="CommentSubjectChar">
    <w:name w:val="Comment Subject Char"/>
    <w:basedOn w:val="CommentTextChar"/>
    <w:link w:val="CommentSubject"/>
    <w:uiPriority w:val="99"/>
    <w:semiHidden/>
    <w:rsid w:val="00CC0C26"/>
    <w:rPr>
      <w:rFonts w:ascii="Georgia" w:hAnsi="Georgia" w:cstheme="minorBidi"/>
      <w:b/>
      <w:bCs/>
      <w:lang w:val="en-GB"/>
    </w:rPr>
  </w:style>
  <w:style w:type="table" w:styleId="LightList-Accent5">
    <w:name w:val="Light List Accent 5"/>
    <w:basedOn w:val="TableNormal"/>
    <w:uiPriority w:val="61"/>
    <w:rsid w:val="006A3532"/>
    <w:pPr>
      <w:spacing w:after="0" w:line="240" w:lineRule="auto"/>
    </w:pPr>
    <w:tblPr>
      <w:tblStyleRowBandSize w:val="1"/>
      <w:tblStyleColBandSize w:val="1"/>
      <w:tblInd w:w="0" w:type="dxa"/>
      <w:tblBorders>
        <w:top w:val="single" w:sz="8" w:space="0" w:color="DC6900" w:themeColor="accent5"/>
        <w:left w:val="single" w:sz="8" w:space="0" w:color="DC6900" w:themeColor="accent5"/>
        <w:bottom w:val="single" w:sz="8" w:space="0" w:color="DC6900" w:themeColor="accent5"/>
        <w:right w:val="single" w:sz="8" w:space="0" w:color="DC690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C6900" w:themeFill="accent5"/>
      </w:tcPr>
    </w:tblStylePr>
    <w:tblStylePr w:type="lastRow">
      <w:pPr>
        <w:spacing w:before="0" w:after="0" w:line="240" w:lineRule="auto"/>
      </w:pPr>
      <w:rPr>
        <w:b/>
        <w:bCs/>
      </w:rPr>
      <w:tblPr/>
      <w:tcPr>
        <w:tcBorders>
          <w:top w:val="double" w:sz="6" w:space="0" w:color="DC6900" w:themeColor="accent5"/>
          <w:left w:val="single" w:sz="8" w:space="0" w:color="DC6900" w:themeColor="accent5"/>
          <w:bottom w:val="single" w:sz="8" w:space="0" w:color="DC6900" w:themeColor="accent5"/>
          <w:right w:val="single" w:sz="8" w:space="0" w:color="DC6900" w:themeColor="accent5"/>
        </w:tcBorders>
      </w:tcPr>
    </w:tblStylePr>
    <w:tblStylePr w:type="firstCol">
      <w:rPr>
        <w:b/>
        <w:bCs/>
      </w:rPr>
    </w:tblStylePr>
    <w:tblStylePr w:type="lastCol">
      <w:rPr>
        <w:b/>
        <w:bCs/>
      </w:rPr>
    </w:tblStylePr>
    <w:tblStylePr w:type="band1Vert">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tblStylePr w:type="band1Horz">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PwC%20Letter%20Latvian.dotx" TargetMode="External"/></Relationships>
</file>

<file path=word/theme/theme1.xml><?xml version="1.0" encoding="utf-8"?>
<a:theme xmlns:a="http://schemas.openxmlformats.org/drawingml/2006/main" name="Office Theme">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PwC Letter Latvian.dotx</Template>
  <TotalTime>24</TotalTime>
  <Pages>2</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Mezapuke</dc:creator>
  <cp:lastModifiedBy>Maris Jansons</cp:lastModifiedBy>
  <cp:revision>9</cp:revision>
  <dcterms:created xsi:type="dcterms:W3CDTF">2014-05-26T14:28:00Z</dcterms:created>
  <dcterms:modified xsi:type="dcterms:W3CDTF">2014-05-30T08:09:00Z</dcterms:modified>
</cp:coreProperties>
</file>