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71" w:rsidRPr="00AE5F8B" w:rsidRDefault="00CB098E" w:rsidP="008D52D5">
      <w:pPr>
        <w:spacing w:after="0" w:line="276" w:lineRule="auto"/>
        <w:rPr>
          <w:b/>
          <w:lang w:val="lv-LV"/>
        </w:rPr>
      </w:pPr>
      <w:r w:rsidRPr="00AE5F8B">
        <w:rPr>
          <w:b/>
          <w:lang w:val="lv-LV"/>
        </w:rPr>
        <w:t>Ekspertu diskusijas protokols</w:t>
      </w:r>
    </w:p>
    <w:p w:rsidR="00670B19" w:rsidRDefault="00670B19" w:rsidP="008D52D5">
      <w:pPr>
        <w:spacing w:after="0" w:line="276" w:lineRule="auto"/>
        <w:rPr>
          <w:lang w:val="lv-LV"/>
        </w:rPr>
      </w:pPr>
    </w:p>
    <w:p w:rsidR="000454C1" w:rsidRDefault="00595642" w:rsidP="008D52D5">
      <w:pPr>
        <w:spacing w:after="0" w:line="276" w:lineRule="auto"/>
        <w:rPr>
          <w:lang w:val="lv-LV"/>
        </w:rPr>
      </w:pPr>
      <w:r>
        <w:rPr>
          <w:lang w:val="lv-LV"/>
        </w:rPr>
        <w:t>2014. gada 2</w:t>
      </w:r>
      <w:r w:rsidR="00D3742D">
        <w:rPr>
          <w:lang w:val="lv-LV"/>
        </w:rPr>
        <w:t>3</w:t>
      </w:r>
      <w:r w:rsidR="000454C1">
        <w:rPr>
          <w:lang w:val="lv-LV"/>
        </w:rPr>
        <w:t xml:space="preserve">. </w:t>
      </w:r>
      <w:r w:rsidR="00FA4F47">
        <w:rPr>
          <w:lang w:val="lv-LV"/>
        </w:rPr>
        <w:t>m</w:t>
      </w:r>
      <w:r w:rsidR="000454C1">
        <w:rPr>
          <w:lang w:val="lv-LV"/>
        </w:rPr>
        <w:t>aijā</w:t>
      </w:r>
    </w:p>
    <w:p w:rsidR="0011450C" w:rsidRDefault="0011450C" w:rsidP="008D52D5">
      <w:pPr>
        <w:spacing w:after="0" w:line="276" w:lineRule="auto"/>
        <w:rPr>
          <w:lang w:val="lv-LV"/>
        </w:rPr>
      </w:pPr>
    </w:p>
    <w:p w:rsidR="000454C1" w:rsidRDefault="000454C1" w:rsidP="008D52D5">
      <w:pPr>
        <w:spacing w:after="0" w:line="276" w:lineRule="auto"/>
        <w:rPr>
          <w:lang w:val="lv-LV"/>
        </w:rPr>
      </w:pPr>
      <w:r>
        <w:rPr>
          <w:lang w:val="lv-LV"/>
        </w:rPr>
        <w:t xml:space="preserve">Norises vieta: Ekonomikas ministrija, </w:t>
      </w:r>
      <w:r w:rsidR="00FA4F47">
        <w:rPr>
          <w:lang w:val="lv-LV"/>
        </w:rPr>
        <w:t>Brīvības iela 55, LV-1519</w:t>
      </w:r>
    </w:p>
    <w:p w:rsidR="000454C1" w:rsidRDefault="00595642" w:rsidP="008D52D5">
      <w:pPr>
        <w:spacing w:after="0" w:line="276" w:lineRule="auto"/>
        <w:rPr>
          <w:lang w:val="lv-LV"/>
        </w:rPr>
      </w:pPr>
      <w:r>
        <w:rPr>
          <w:lang w:val="lv-LV"/>
        </w:rPr>
        <w:t>Sēdes sākums: 11.</w:t>
      </w:r>
      <w:r w:rsidR="000726D2">
        <w:rPr>
          <w:lang w:val="lv-LV"/>
        </w:rPr>
        <w:t>0</w:t>
      </w:r>
      <w:r w:rsidR="000454C1">
        <w:rPr>
          <w:lang w:val="lv-LV"/>
        </w:rPr>
        <w:t>0</w:t>
      </w:r>
    </w:p>
    <w:p w:rsidR="00543C82" w:rsidRDefault="000454C1" w:rsidP="008D52D5">
      <w:pPr>
        <w:spacing w:after="0" w:line="240" w:lineRule="auto"/>
        <w:rPr>
          <w:lang w:val="lv-LV"/>
        </w:rPr>
      </w:pPr>
      <w:r w:rsidRPr="00D3742D">
        <w:rPr>
          <w:lang w:val="lv-LV"/>
        </w:rPr>
        <w:t xml:space="preserve">Sēdē piedalās: </w:t>
      </w:r>
      <w:r w:rsidR="008D52D5" w:rsidRPr="00D3742D">
        <w:rPr>
          <w:lang w:val="lv-LV"/>
        </w:rPr>
        <w:tab/>
      </w:r>
      <w:r w:rsidR="008D52D5" w:rsidRPr="00D3742D">
        <w:rPr>
          <w:lang w:val="lv-LV"/>
        </w:rPr>
        <w:tab/>
      </w:r>
    </w:p>
    <w:p w:rsidR="00543C82" w:rsidRDefault="00543C82" w:rsidP="008D52D5">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543C82" w:rsidRPr="00C32D60" w:rsidTr="00B977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proofErr w:type="spellStart"/>
            <w:r w:rsidRPr="00543C82">
              <w:rPr>
                <w:sz w:val="18"/>
                <w:szCs w:val="18"/>
                <w:lang w:val="lv-LV"/>
              </w:rPr>
              <w:t>Nr</w:t>
            </w:r>
            <w:proofErr w:type="spellEnd"/>
            <w:r w:rsidRPr="00543C82">
              <w:rPr>
                <w:sz w:val="18"/>
                <w:szCs w:val="18"/>
                <w:lang w:val="lv-LV"/>
              </w:rPr>
              <w:t>.</w:t>
            </w:r>
          </w:p>
        </w:tc>
        <w:tc>
          <w:tcPr>
            <w:tcW w:w="1842" w:type="dxa"/>
          </w:tcPr>
          <w:p w:rsidR="00543C82" w:rsidRPr="00543C82" w:rsidRDefault="00543C82"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Dalībnieka Vārds, Uzvārds</w:t>
            </w:r>
          </w:p>
        </w:tc>
        <w:tc>
          <w:tcPr>
            <w:tcW w:w="2694" w:type="dxa"/>
          </w:tcPr>
          <w:p w:rsidR="00543C82" w:rsidRPr="00543C82" w:rsidRDefault="00543C82"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Pārstāvētā iestāde/organizācija</w:t>
            </w:r>
          </w:p>
        </w:tc>
        <w:tc>
          <w:tcPr>
            <w:tcW w:w="4216" w:type="dxa"/>
          </w:tcPr>
          <w:p w:rsidR="00543C82" w:rsidRPr="00543C82" w:rsidRDefault="00543C82"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Amats</w:t>
            </w:r>
          </w:p>
        </w:tc>
      </w:tr>
      <w:tr w:rsidR="00543C82"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1.</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 xml:space="preserve">Ilze </w:t>
            </w:r>
            <w:proofErr w:type="spellStart"/>
            <w:r w:rsidRPr="00543C82">
              <w:rPr>
                <w:sz w:val="18"/>
                <w:szCs w:val="18"/>
                <w:lang w:val="lv-LV"/>
              </w:rPr>
              <w:t>Beināre</w:t>
            </w:r>
            <w:proofErr w:type="spellEnd"/>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LR Ekonomikas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Uzņēmējdarbības konkurētspējas departamenta direktore</w:t>
            </w:r>
          </w:p>
        </w:tc>
      </w:tr>
      <w:tr w:rsidR="00543C82" w:rsidRPr="00B01147"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2.</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 xml:space="preserve">Ilze </w:t>
            </w:r>
            <w:proofErr w:type="spellStart"/>
            <w:r w:rsidRPr="00543C82">
              <w:rPr>
                <w:sz w:val="18"/>
                <w:szCs w:val="18"/>
                <w:lang w:val="lv-LV"/>
              </w:rPr>
              <w:t>Lore</w:t>
            </w:r>
            <w:proofErr w:type="spellEnd"/>
            <w:r w:rsidRPr="00543C82">
              <w:rPr>
                <w:sz w:val="18"/>
                <w:szCs w:val="18"/>
                <w:lang w:val="lv-LV"/>
              </w:rPr>
              <w:t xml:space="preserve"> </w:t>
            </w:r>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LR Ekonomikas ministrija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Uzņēmējdarbības vides uzlabošanas nodaļas vadītāja</w:t>
            </w:r>
            <w:r w:rsidRPr="00543C82">
              <w:rPr>
                <w:sz w:val="18"/>
                <w:szCs w:val="18"/>
                <w:lang w:val="lv-LV"/>
              </w:rPr>
              <w:tab/>
            </w:r>
          </w:p>
        </w:tc>
      </w:tr>
      <w:tr w:rsidR="00543C82"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3.</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Anita Kalniņa</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PricewaterhouseCoopers SIA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Projektu vadītāja</w:t>
            </w:r>
          </w:p>
        </w:tc>
      </w:tr>
      <w:tr w:rsidR="00543C82"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4.</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Ilze Puķīte</w:t>
            </w:r>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PricewaterhouseCoopers SIA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Konsultante</w:t>
            </w:r>
          </w:p>
        </w:tc>
      </w:tr>
      <w:tr w:rsidR="00543C82"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5.</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Māris Jansons</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PricewaterhouseCoopers SIA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Jaunākais konsultants</w:t>
            </w:r>
          </w:p>
        </w:tc>
      </w:tr>
      <w:tr w:rsidR="00543C82"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6.</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Aigars Freimanis</w:t>
            </w:r>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Latvijas Fakti SIA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Valdes priekšsēdētājs</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7.</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 xml:space="preserve">Aivars </w:t>
            </w:r>
            <w:proofErr w:type="spellStart"/>
            <w:r w:rsidRPr="00543C82">
              <w:rPr>
                <w:sz w:val="18"/>
                <w:szCs w:val="18"/>
                <w:lang w:val="lv-LV"/>
              </w:rPr>
              <w:t>Latkovskis</w:t>
            </w:r>
            <w:proofErr w:type="spellEnd"/>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LR Tieslietu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Tieslietu ministrijas Civiltiesību departamenta Komerctiesību nodaļas juriskonsults</w:t>
            </w:r>
          </w:p>
        </w:tc>
      </w:tr>
      <w:tr w:rsidR="00543C82" w:rsidRPr="00B01147"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8.</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 xml:space="preserve">Jana </w:t>
            </w:r>
            <w:proofErr w:type="spellStart"/>
            <w:r w:rsidRPr="00543C82">
              <w:rPr>
                <w:sz w:val="18"/>
                <w:szCs w:val="18"/>
                <w:lang w:val="lv-LV"/>
              </w:rPr>
              <w:t>Janotne</w:t>
            </w:r>
            <w:proofErr w:type="spellEnd"/>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Uzņēmumu reģistrs</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Uzņēmumu reģistra Funkciju vadības nodaļas vadītāja</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543C82" w:rsidP="00B9775F">
            <w:pPr>
              <w:spacing w:after="0" w:line="240" w:lineRule="auto"/>
              <w:rPr>
                <w:sz w:val="18"/>
                <w:szCs w:val="18"/>
                <w:lang w:val="lv-LV"/>
              </w:rPr>
            </w:pPr>
            <w:r w:rsidRPr="00543C82">
              <w:rPr>
                <w:sz w:val="18"/>
                <w:szCs w:val="18"/>
                <w:lang w:val="lv-LV"/>
              </w:rPr>
              <w:t>9.</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 xml:space="preserve">Ilze </w:t>
            </w:r>
            <w:proofErr w:type="spellStart"/>
            <w:r w:rsidRPr="00543C82">
              <w:rPr>
                <w:sz w:val="18"/>
                <w:szCs w:val="18"/>
                <w:lang w:val="lv-LV"/>
              </w:rPr>
              <w:t>Jankova</w:t>
            </w:r>
            <w:proofErr w:type="spellEnd"/>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Valsts ieņēmumu dienests</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VID Nodokļu pārvaldes direktora vietniece</w:t>
            </w:r>
          </w:p>
        </w:tc>
      </w:tr>
      <w:tr w:rsidR="00543C82" w:rsidRPr="00B01147"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10</w:t>
            </w:r>
            <w:r w:rsidR="00543C82" w:rsidRPr="00543C82">
              <w:rPr>
                <w:sz w:val="18"/>
                <w:szCs w:val="18"/>
                <w:lang w:val="lv-LV"/>
              </w:rPr>
              <w:t>.</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proofErr w:type="spellStart"/>
            <w:r w:rsidRPr="00543C82">
              <w:rPr>
                <w:sz w:val="18"/>
                <w:szCs w:val="18"/>
                <w:lang w:val="lv-LV"/>
              </w:rPr>
              <w:t>Ilmars</w:t>
            </w:r>
            <w:proofErr w:type="spellEnd"/>
            <w:r w:rsidRPr="00543C82">
              <w:rPr>
                <w:sz w:val="18"/>
                <w:szCs w:val="18"/>
                <w:lang w:val="lv-LV"/>
              </w:rPr>
              <w:t xml:space="preserve"> </w:t>
            </w:r>
            <w:proofErr w:type="spellStart"/>
            <w:r w:rsidRPr="00543C82">
              <w:rPr>
                <w:sz w:val="18"/>
                <w:szCs w:val="18"/>
                <w:lang w:val="lv-LV"/>
              </w:rPr>
              <w:t>Kukurs</w:t>
            </w:r>
            <w:proofErr w:type="spellEnd"/>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Valsts ieņēmumu dienests</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VID Akcīzes pārvaldes Licenču un nodrošinājumu daļas Licenču un nodrošinājumu reģistrācijas nodaļas vadītājs</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11</w:t>
            </w:r>
            <w:r w:rsidR="00543C82" w:rsidRPr="00543C82">
              <w:rPr>
                <w:sz w:val="18"/>
                <w:szCs w:val="18"/>
                <w:lang w:val="lv-LV"/>
              </w:rPr>
              <w:t>.</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 xml:space="preserve">Diāna </w:t>
            </w:r>
            <w:proofErr w:type="spellStart"/>
            <w:r w:rsidRPr="00543C82">
              <w:rPr>
                <w:sz w:val="18"/>
                <w:szCs w:val="18"/>
                <w:lang w:val="lv-LV"/>
              </w:rPr>
              <w:t>Andžāne</w:t>
            </w:r>
            <w:proofErr w:type="spellEnd"/>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Vides aizsardzības un reģionālās attīstības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VARAM Elektroniskās pārvaldes departamenta Valsts informācijas sistēmu nodaļas vadītāja</w:t>
            </w:r>
          </w:p>
        </w:tc>
      </w:tr>
      <w:tr w:rsidR="00543C82"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12</w:t>
            </w:r>
            <w:r w:rsidR="00543C82" w:rsidRPr="00543C82">
              <w:rPr>
                <w:sz w:val="18"/>
                <w:szCs w:val="18"/>
                <w:lang w:val="lv-LV"/>
              </w:rPr>
              <w:t>.</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Katrīna Zariņa</w:t>
            </w:r>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Latvijas Tirdzniecības un rūpniecības kamera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Politikas daļas vadītāja</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13</w:t>
            </w:r>
            <w:r w:rsidR="00543C82" w:rsidRPr="00543C82">
              <w:rPr>
                <w:sz w:val="18"/>
                <w:szCs w:val="18"/>
                <w:lang w:val="lv-LV"/>
              </w:rPr>
              <w:t>.</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 xml:space="preserve">Edmunds </w:t>
            </w:r>
            <w:proofErr w:type="spellStart"/>
            <w:r w:rsidRPr="00543C82">
              <w:rPr>
                <w:sz w:val="18"/>
                <w:szCs w:val="18"/>
                <w:lang w:val="lv-LV"/>
              </w:rPr>
              <w:t>Beļskis</w:t>
            </w:r>
            <w:proofErr w:type="spellEnd"/>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Satiksmes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nb-NO"/>
              </w:rPr>
              <w:t>Satiksmes ministrijas Sakaru departamenta direktors</w:t>
            </w:r>
          </w:p>
        </w:tc>
      </w:tr>
      <w:tr w:rsidR="00543C82"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14</w:t>
            </w:r>
            <w:r w:rsidR="00543C82" w:rsidRPr="00543C82">
              <w:rPr>
                <w:sz w:val="18"/>
                <w:szCs w:val="18"/>
                <w:lang w:val="lv-LV"/>
              </w:rPr>
              <w:t>.</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 xml:space="preserve">Mihails </w:t>
            </w:r>
            <w:proofErr w:type="spellStart"/>
            <w:r w:rsidRPr="00543C82">
              <w:rPr>
                <w:sz w:val="18"/>
                <w:szCs w:val="18"/>
                <w:lang w:val="lv-LV"/>
              </w:rPr>
              <w:t>Galuška</w:t>
            </w:r>
            <w:proofErr w:type="spellEnd"/>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Latvijas Valsts Radio un Televīzijas Centrs  (LVRTC)</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proofErr w:type="spellStart"/>
            <w:r w:rsidRPr="00543C82">
              <w:rPr>
                <w:sz w:val="18"/>
                <w:szCs w:val="18"/>
                <w:lang w:val="lv-LV"/>
              </w:rPr>
              <w:t>Komercdepartamenta</w:t>
            </w:r>
            <w:proofErr w:type="spellEnd"/>
            <w:r w:rsidRPr="00543C82">
              <w:rPr>
                <w:sz w:val="18"/>
                <w:szCs w:val="18"/>
                <w:lang w:val="lv-LV"/>
              </w:rPr>
              <w:t xml:space="preserve"> direktors</w:t>
            </w:r>
          </w:p>
        </w:tc>
      </w:tr>
      <w:tr w:rsidR="00543C82"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15</w:t>
            </w:r>
            <w:r w:rsidR="00543C82" w:rsidRPr="00543C82">
              <w:rPr>
                <w:sz w:val="18"/>
                <w:szCs w:val="18"/>
                <w:lang w:val="lv-LV"/>
              </w:rPr>
              <w:t>.</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Daina Āboliņa</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Valsts kanceleja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Juriskonsulte</w:t>
            </w:r>
          </w:p>
        </w:tc>
      </w:tr>
      <w:tr w:rsidR="00543C82" w:rsidRPr="00B01147"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16</w:t>
            </w:r>
            <w:r w:rsidR="00543C82" w:rsidRPr="00543C82">
              <w:rPr>
                <w:sz w:val="18"/>
                <w:szCs w:val="18"/>
                <w:lang w:val="lv-LV"/>
              </w:rPr>
              <w:t>.</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Ance Pētersone</w:t>
            </w:r>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Valsts kanceleja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Valsts pārvaldes attīstības departamenta konsultante</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17</w:t>
            </w:r>
            <w:r w:rsidR="00543C82" w:rsidRPr="00543C82">
              <w:rPr>
                <w:sz w:val="18"/>
                <w:szCs w:val="18"/>
                <w:lang w:val="lv-LV"/>
              </w:rPr>
              <w:t>.</w:t>
            </w:r>
          </w:p>
        </w:tc>
        <w:tc>
          <w:tcPr>
            <w:tcW w:w="1842"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Inese Gaile</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Vides aizsardzības un reģionālās attīstības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VARAM Publisko pakalpojumu departamenta Elektronisko pakalpojumu nodaļas Vecākais konsultants</w:t>
            </w:r>
          </w:p>
        </w:tc>
      </w:tr>
      <w:tr w:rsidR="00543C82" w:rsidRPr="0078482D"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18</w:t>
            </w:r>
            <w:r w:rsidR="00543C82" w:rsidRPr="00543C82">
              <w:rPr>
                <w:sz w:val="18"/>
                <w:szCs w:val="18"/>
                <w:lang w:val="lv-LV"/>
              </w:rPr>
              <w:t>.</w:t>
            </w:r>
          </w:p>
        </w:tc>
        <w:tc>
          <w:tcPr>
            <w:tcW w:w="1842"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 xml:space="preserve">Inese </w:t>
            </w:r>
            <w:proofErr w:type="spellStart"/>
            <w:r w:rsidRPr="00543C82">
              <w:rPr>
                <w:sz w:val="18"/>
                <w:szCs w:val="18"/>
                <w:lang w:val="lv-LV"/>
              </w:rPr>
              <w:t>Olafsone</w:t>
            </w:r>
            <w:proofErr w:type="spellEnd"/>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Latvijas Darba devēju konfederācija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w:t>
            </w:r>
          </w:p>
        </w:tc>
      </w:tr>
      <w:tr w:rsidR="00543C82"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19</w:t>
            </w:r>
            <w:r w:rsidR="00543C82" w:rsidRPr="00543C82">
              <w:rPr>
                <w:sz w:val="18"/>
                <w:szCs w:val="18"/>
                <w:lang w:val="lv-LV"/>
              </w:rPr>
              <w:t>.</w:t>
            </w:r>
          </w:p>
        </w:tc>
        <w:tc>
          <w:tcPr>
            <w:tcW w:w="1842" w:type="dxa"/>
          </w:tcPr>
          <w:p w:rsidR="00543C82" w:rsidRPr="00543C82" w:rsidRDefault="00543C82" w:rsidP="00B9775F">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Mārtiņš Zemītis</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LR Ekonomikas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w:t>
            </w:r>
          </w:p>
        </w:tc>
      </w:tr>
      <w:tr w:rsidR="00543C82"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20</w:t>
            </w:r>
            <w:r w:rsidR="00543C82" w:rsidRPr="00543C82">
              <w:rPr>
                <w:sz w:val="18"/>
                <w:szCs w:val="18"/>
                <w:lang w:val="lv-LV"/>
              </w:rPr>
              <w:t>.</w:t>
            </w:r>
          </w:p>
        </w:tc>
        <w:tc>
          <w:tcPr>
            <w:tcW w:w="1842" w:type="dxa"/>
          </w:tcPr>
          <w:p w:rsidR="00543C82" w:rsidRPr="00543C82" w:rsidRDefault="00543C82" w:rsidP="00B9775F">
            <w:pPr>
              <w:spacing w:after="0"/>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 xml:space="preserve">Andra </w:t>
            </w:r>
            <w:proofErr w:type="spellStart"/>
            <w:r w:rsidRPr="00543C82">
              <w:rPr>
                <w:sz w:val="18"/>
                <w:szCs w:val="18"/>
                <w:lang w:val="lv-LV"/>
              </w:rPr>
              <w:t>Feldmane</w:t>
            </w:r>
            <w:proofErr w:type="spellEnd"/>
          </w:p>
        </w:tc>
        <w:tc>
          <w:tcPr>
            <w:tcW w:w="2694"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Latvijas Pašvaldību savienība</w:t>
            </w:r>
          </w:p>
        </w:tc>
        <w:tc>
          <w:tcPr>
            <w:tcW w:w="4216" w:type="dxa"/>
          </w:tcPr>
          <w:p w:rsidR="00543C82" w:rsidRPr="00543C82" w:rsidRDefault="00543C8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543C82">
              <w:rPr>
                <w:sz w:val="18"/>
                <w:szCs w:val="18"/>
                <w:lang w:val="lv-LV"/>
              </w:rPr>
              <w:t>Padomniece uzņēmējdarbības jautājumos</w:t>
            </w:r>
          </w:p>
        </w:tc>
      </w:tr>
      <w:tr w:rsidR="00543C82" w:rsidRPr="00B01147"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543C82" w:rsidRPr="00543C82" w:rsidRDefault="000E34EA" w:rsidP="00B9775F">
            <w:pPr>
              <w:spacing w:after="0" w:line="240" w:lineRule="auto"/>
              <w:rPr>
                <w:sz w:val="18"/>
                <w:szCs w:val="18"/>
                <w:lang w:val="lv-LV"/>
              </w:rPr>
            </w:pPr>
            <w:r>
              <w:rPr>
                <w:sz w:val="18"/>
                <w:szCs w:val="18"/>
                <w:lang w:val="lv-LV"/>
              </w:rPr>
              <w:t>21</w:t>
            </w:r>
            <w:r w:rsidR="00543C82" w:rsidRPr="00543C82">
              <w:rPr>
                <w:sz w:val="18"/>
                <w:szCs w:val="18"/>
                <w:lang w:val="lv-LV"/>
              </w:rPr>
              <w:t>.</w:t>
            </w:r>
          </w:p>
        </w:tc>
        <w:tc>
          <w:tcPr>
            <w:tcW w:w="1842" w:type="dxa"/>
          </w:tcPr>
          <w:p w:rsidR="00543C82" w:rsidRPr="00543C82" w:rsidRDefault="00543C82" w:rsidP="00B9775F">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Edgars Spruksts</w:t>
            </w:r>
          </w:p>
        </w:tc>
        <w:tc>
          <w:tcPr>
            <w:tcW w:w="2694"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Vides aizsardzības un reģionālās attīstības ministrija</w:t>
            </w:r>
          </w:p>
        </w:tc>
        <w:tc>
          <w:tcPr>
            <w:tcW w:w="4216" w:type="dxa"/>
          </w:tcPr>
          <w:p w:rsidR="00543C82" w:rsidRPr="00543C82" w:rsidRDefault="00543C8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543C82">
              <w:rPr>
                <w:sz w:val="18"/>
                <w:szCs w:val="18"/>
                <w:lang w:val="lv-LV"/>
              </w:rPr>
              <w:t>Reģionālās ekonomikas nodaļas vecākais eksperts</w:t>
            </w:r>
          </w:p>
        </w:tc>
      </w:tr>
    </w:tbl>
    <w:p w:rsidR="00D3742D" w:rsidRPr="00D3742D" w:rsidRDefault="00D3742D" w:rsidP="00543C82">
      <w:pPr>
        <w:spacing w:after="0" w:line="276" w:lineRule="auto"/>
        <w:rPr>
          <w:lang w:val="lv-LV"/>
        </w:rPr>
      </w:pPr>
    </w:p>
    <w:p w:rsidR="000454C1" w:rsidRDefault="000454C1" w:rsidP="008D52D5">
      <w:pPr>
        <w:spacing w:after="0" w:line="276" w:lineRule="auto"/>
        <w:rPr>
          <w:lang w:val="lv-LV"/>
        </w:rPr>
      </w:pPr>
      <w:r w:rsidRPr="00D3742D">
        <w:rPr>
          <w:lang w:val="lv-LV"/>
        </w:rPr>
        <w:t xml:space="preserve">Sēdi vada: </w:t>
      </w:r>
      <w:r w:rsidR="008D52D5" w:rsidRPr="00D3742D">
        <w:rPr>
          <w:lang w:val="lv-LV"/>
        </w:rPr>
        <w:t xml:space="preserve">Ilze </w:t>
      </w:r>
      <w:proofErr w:type="spellStart"/>
      <w:r w:rsidR="008D52D5" w:rsidRPr="00D3742D">
        <w:rPr>
          <w:lang w:val="lv-LV"/>
        </w:rPr>
        <w:t>Beināre</w:t>
      </w:r>
      <w:proofErr w:type="spellEnd"/>
    </w:p>
    <w:p w:rsidR="000454C1" w:rsidRDefault="000454C1" w:rsidP="008D52D5">
      <w:pPr>
        <w:spacing w:after="0" w:line="276" w:lineRule="auto"/>
        <w:rPr>
          <w:lang w:val="lv-LV"/>
        </w:rPr>
      </w:pPr>
      <w:r>
        <w:rPr>
          <w:lang w:val="lv-LV"/>
        </w:rPr>
        <w:t>Sēdi protokolē:</w:t>
      </w:r>
      <w:r w:rsidR="008D52D5">
        <w:rPr>
          <w:lang w:val="lv-LV"/>
        </w:rPr>
        <w:t xml:space="preserve"> </w:t>
      </w:r>
      <w:r w:rsidR="00595642">
        <w:rPr>
          <w:lang w:val="lv-LV"/>
        </w:rPr>
        <w:t>Māris Jansons</w:t>
      </w:r>
    </w:p>
    <w:p w:rsidR="0011450C" w:rsidRDefault="0011450C" w:rsidP="00670B19">
      <w:pPr>
        <w:spacing w:after="0" w:line="276" w:lineRule="auto"/>
        <w:rPr>
          <w:lang w:val="lv-LV"/>
        </w:rPr>
      </w:pPr>
    </w:p>
    <w:p w:rsidR="00670B19" w:rsidRDefault="00670B19" w:rsidP="00AE5F8B">
      <w:pPr>
        <w:spacing w:after="0" w:line="276" w:lineRule="auto"/>
        <w:jc w:val="both"/>
        <w:rPr>
          <w:lang w:val="lv-LV"/>
        </w:rPr>
      </w:pPr>
      <w:r>
        <w:rPr>
          <w:lang w:val="lv-LV"/>
        </w:rPr>
        <w:t>Tikšanās mērķis</w:t>
      </w:r>
      <w:r w:rsidR="0011450C">
        <w:rPr>
          <w:lang w:val="lv-LV"/>
        </w:rPr>
        <w:t xml:space="preserve">: </w:t>
      </w:r>
      <w:r w:rsidR="00D3742D">
        <w:rPr>
          <w:lang w:val="lv-LV"/>
        </w:rPr>
        <w:t>Ekspertu diskusija par administratīvo procedūru ietekmi uz uzņēmējdarbības vidi</w:t>
      </w:r>
      <w:r w:rsidR="00821E83">
        <w:rPr>
          <w:lang w:val="lv-LV"/>
        </w:rPr>
        <w:t xml:space="preserve"> attiecībā uz </w:t>
      </w:r>
      <w:r w:rsidR="00D3742D">
        <w:rPr>
          <w:lang w:val="lv-LV"/>
        </w:rPr>
        <w:t xml:space="preserve">priekšlikumiem </w:t>
      </w:r>
      <w:r w:rsidR="00A11E96">
        <w:rPr>
          <w:lang w:val="lv-LV"/>
        </w:rPr>
        <w:t>par</w:t>
      </w:r>
      <w:r w:rsidR="00D3742D">
        <w:rPr>
          <w:lang w:val="lv-LV"/>
        </w:rPr>
        <w:t xml:space="preserve"> uzņēmē</w:t>
      </w:r>
      <w:r w:rsidR="00A11E96">
        <w:rPr>
          <w:lang w:val="lv-LV"/>
        </w:rPr>
        <w:t>jdarbības uzsākšanas</w:t>
      </w:r>
      <w:r w:rsidR="00D3742D">
        <w:rPr>
          <w:lang w:val="lv-LV"/>
        </w:rPr>
        <w:t>, e-pakalpojumu pieejamīb</w:t>
      </w:r>
      <w:r w:rsidR="00A11E96">
        <w:rPr>
          <w:lang w:val="lv-LV"/>
        </w:rPr>
        <w:t>as, kā arī licenču un atļauju iegūšanas jomām</w:t>
      </w:r>
      <w:r w:rsidR="00D3742D">
        <w:rPr>
          <w:lang w:val="lv-LV"/>
        </w:rPr>
        <w:t xml:space="preserve">. </w:t>
      </w:r>
      <w:r w:rsidR="0011450C">
        <w:rPr>
          <w:lang w:val="lv-LV"/>
        </w:rPr>
        <w:t xml:space="preserve"> </w:t>
      </w:r>
    </w:p>
    <w:p w:rsidR="0011450C" w:rsidRDefault="0011450C" w:rsidP="00AE5F8B">
      <w:pPr>
        <w:spacing w:after="0" w:line="276" w:lineRule="auto"/>
        <w:jc w:val="both"/>
        <w:rPr>
          <w:lang w:val="lv-LV"/>
        </w:rPr>
      </w:pPr>
    </w:p>
    <w:p w:rsidR="000454C1" w:rsidRDefault="000454C1" w:rsidP="00AE5F8B">
      <w:pPr>
        <w:spacing w:after="0" w:line="276" w:lineRule="auto"/>
        <w:jc w:val="both"/>
        <w:rPr>
          <w:lang w:val="lv-LV"/>
        </w:rPr>
      </w:pPr>
      <w:r>
        <w:rPr>
          <w:lang w:val="lv-LV"/>
        </w:rPr>
        <w:t>Darba kārtība:</w:t>
      </w:r>
    </w:p>
    <w:p w:rsidR="004C14F4" w:rsidRDefault="00670B19" w:rsidP="00AE5F8B">
      <w:pPr>
        <w:pStyle w:val="ListParagraph"/>
        <w:numPr>
          <w:ilvl w:val="0"/>
          <w:numId w:val="1"/>
        </w:numPr>
        <w:spacing w:after="0" w:line="276" w:lineRule="auto"/>
        <w:jc w:val="both"/>
        <w:rPr>
          <w:lang w:val="lv-LV"/>
        </w:rPr>
      </w:pPr>
      <w:r>
        <w:rPr>
          <w:lang w:val="lv-LV"/>
        </w:rPr>
        <w:t>Prezentācija ekspertu grupai</w:t>
      </w:r>
      <w:r w:rsidR="004C14F4">
        <w:rPr>
          <w:lang w:val="lv-LV"/>
        </w:rPr>
        <w:t xml:space="preserve"> </w:t>
      </w:r>
      <w:r>
        <w:rPr>
          <w:lang w:val="lv-LV"/>
        </w:rPr>
        <w:t>p</w:t>
      </w:r>
      <w:r w:rsidR="004C14F4">
        <w:rPr>
          <w:lang w:val="lv-LV"/>
        </w:rPr>
        <w:t>ar uzņēmēju aptaujas, Doing Business pētījuma un Globālās Konkurētspējas indeksa rezultātiem;</w:t>
      </w:r>
    </w:p>
    <w:p w:rsidR="004C14F4" w:rsidRDefault="00670B19" w:rsidP="00AE5F8B">
      <w:pPr>
        <w:pStyle w:val="ListParagraph"/>
        <w:numPr>
          <w:ilvl w:val="0"/>
          <w:numId w:val="1"/>
        </w:numPr>
        <w:spacing w:after="0" w:line="276" w:lineRule="auto"/>
        <w:jc w:val="both"/>
        <w:rPr>
          <w:lang w:val="lv-LV"/>
        </w:rPr>
      </w:pPr>
      <w:r>
        <w:rPr>
          <w:lang w:val="lv-LV"/>
        </w:rPr>
        <w:t>Diskusiju tēmas</w:t>
      </w:r>
      <w:r w:rsidR="00F97A88">
        <w:rPr>
          <w:lang w:val="lv-LV"/>
        </w:rPr>
        <w:t xml:space="preserve"> un priekšlikumi par </w:t>
      </w:r>
      <w:r w:rsidR="00A11E96">
        <w:rPr>
          <w:lang w:val="lv-LV"/>
        </w:rPr>
        <w:t>uzņēmējdarbības uzsākšanas, e-pakalpojumu pieejamības un licenču un atļauju iegūšanas jomām</w:t>
      </w:r>
      <w:r>
        <w:rPr>
          <w:lang w:val="lv-LV"/>
        </w:rPr>
        <w:t>.</w:t>
      </w:r>
    </w:p>
    <w:p w:rsidR="00670B19" w:rsidRDefault="00670B19" w:rsidP="00AE5F8B">
      <w:pPr>
        <w:spacing w:after="0" w:line="276" w:lineRule="auto"/>
        <w:jc w:val="both"/>
        <w:rPr>
          <w:lang w:val="lv-LV"/>
        </w:rPr>
      </w:pPr>
    </w:p>
    <w:p w:rsidR="000454C1" w:rsidRDefault="0062502B" w:rsidP="00AE5F8B">
      <w:pPr>
        <w:spacing w:after="0" w:line="276" w:lineRule="auto"/>
        <w:jc w:val="both"/>
        <w:rPr>
          <w:lang w:val="lv-LV"/>
        </w:rPr>
      </w:pPr>
      <w:r>
        <w:rPr>
          <w:lang w:val="lv-LV"/>
        </w:rPr>
        <w:t>Tikšanās rezultāti</w:t>
      </w:r>
    </w:p>
    <w:p w:rsidR="00113EBA" w:rsidRDefault="00113EBA" w:rsidP="00113EBA">
      <w:pPr>
        <w:pStyle w:val="ListParagraph"/>
        <w:numPr>
          <w:ilvl w:val="0"/>
          <w:numId w:val="2"/>
        </w:numPr>
        <w:spacing w:after="0" w:line="276" w:lineRule="auto"/>
        <w:jc w:val="both"/>
        <w:rPr>
          <w:lang w:val="lv-LV"/>
        </w:rPr>
      </w:pPr>
      <w:r>
        <w:rPr>
          <w:lang w:val="lv-LV"/>
        </w:rPr>
        <w:t>Pārrunāti uzņēmēju aptaujas rezultāti (A.Freimanis izstāsta par tendencēm uzņēmējdarbības uzsākšanas, e-pakalpojumu pieejamības un licenču un atļauju iegūšanas</w:t>
      </w:r>
      <w:r w:rsidRPr="00113EBA">
        <w:rPr>
          <w:lang w:val="lv-LV"/>
        </w:rPr>
        <w:t xml:space="preserve"> jomā</w:t>
      </w:r>
      <w:r>
        <w:rPr>
          <w:lang w:val="lv-LV"/>
        </w:rPr>
        <w:t>s)</w:t>
      </w:r>
      <w:r w:rsidR="00963953">
        <w:rPr>
          <w:lang w:val="lv-LV"/>
        </w:rPr>
        <w:t>:</w:t>
      </w:r>
    </w:p>
    <w:p w:rsidR="00963953" w:rsidRDefault="00963953" w:rsidP="00963953">
      <w:pPr>
        <w:pStyle w:val="ListParagraph"/>
        <w:numPr>
          <w:ilvl w:val="1"/>
          <w:numId w:val="2"/>
        </w:numPr>
        <w:spacing w:after="0" w:line="276" w:lineRule="auto"/>
        <w:ind w:hanging="447"/>
        <w:jc w:val="both"/>
        <w:rPr>
          <w:lang w:val="lv-LV"/>
        </w:rPr>
      </w:pPr>
      <w:r>
        <w:rPr>
          <w:lang w:val="lv-LV"/>
        </w:rPr>
        <w:t>Tiek ierosināts nākamajā aptaujā precizēt, kas tiek saprasts ar e-pakalpojumiem.</w:t>
      </w:r>
    </w:p>
    <w:p w:rsidR="007E72BC" w:rsidRDefault="007E72BC" w:rsidP="00963953">
      <w:pPr>
        <w:pStyle w:val="ListParagraph"/>
        <w:numPr>
          <w:ilvl w:val="1"/>
          <w:numId w:val="2"/>
        </w:numPr>
        <w:spacing w:after="0" w:line="276" w:lineRule="auto"/>
        <w:ind w:hanging="447"/>
        <w:jc w:val="both"/>
        <w:rPr>
          <w:lang w:val="lv-LV"/>
        </w:rPr>
      </w:pPr>
      <w:r>
        <w:rPr>
          <w:lang w:val="lv-LV"/>
        </w:rPr>
        <w:t xml:space="preserve">Attiecībā uz datiem par korupcijas izplatību saistībā ar licenču un atļauju saņemšanu tiek skaidrots, ka respondentu skaits, kas atbildējuši apstiprinoši par komercpārvadājumu licencēm, ir viens cilvēks un attiecībā uz </w:t>
      </w:r>
      <w:proofErr w:type="spellStart"/>
      <w:r>
        <w:rPr>
          <w:lang w:val="lv-LV"/>
        </w:rPr>
        <w:t>būvkomersantu</w:t>
      </w:r>
      <w:proofErr w:type="spellEnd"/>
      <w:r>
        <w:rPr>
          <w:lang w:val="lv-LV"/>
        </w:rPr>
        <w:t xml:space="preserve"> reģistru – 2 cilvēki.</w:t>
      </w:r>
    </w:p>
    <w:p w:rsidR="00113EBA" w:rsidRDefault="00113EBA" w:rsidP="00113EBA">
      <w:pPr>
        <w:pStyle w:val="ListParagraph"/>
        <w:numPr>
          <w:ilvl w:val="0"/>
          <w:numId w:val="2"/>
        </w:numPr>
        <w:spacing w:after="0" w:line="276" w:lineRule="auto"/>
        <w:jc w:val="both"/>
        <w:rPr>
          <w:lang w:val="lv-LV"/>
        </w:rPr>
      </w:pPr>
      <w:r w:rsidRPr="00113EBA">
        <w:rPr>
          <w:lang w:val="lv-LV"/>
        </w:rPr>
        <w:t>Pārrunāti izvirzītie priekšlikumi saistībā ar</w:t>
      </w:r>
      <w:r>
        <w:rPr>
          <w:lang w:val="lv-LV"/>
        </w:rPr>
        <w:t xml:space="preserve"> uzņēmējdarbības uzsākšanu:</w:t>
      </w:r>
    </w:p>
    <w:p w:rsidR="0029508C" w:rsidRDefault="0029508C" w:rsidP="00601878">
      <w:pPr>
        <w:pStyle w:val="ListParagraph"/>
        <w:numPr>
          <w:ilvl w:val="1"/>
          <w:numId w:val="2"/>
        </w:numPr>
        <w:spacing w:after="0" w:line="276" w:lineRule="auto"/>
        <w:ind w:left="1418" w:hanging="425"/>
        <w:jc w:val="both"/>
        <w:rPr>
          <w:lang w:val="lv-LV"/>
        </w:rPr>
      </w:pPr>
      <w:r w:rsidRPr="0029508C">
        <w:rPr>
          <w:lang w:val="lv-LV"/>
        </w:rPr>
        <w:t>P</w:t>
      </w:r>
      <w:r w:rsidR="00B203F2" w:rsidRPr="0029508C">
        <w:rPr>
          <w:lang w:val="lv-LV"/>
        </w:rPr>
        <w:t>rasības par pamatkapitāla iemaksāšanu (nodrošināšanu) reģistrācijas brīd</w:t>
      </w:r>
      <w:r w:rsidRPr="0029508C">
        <w:rPr>
          <w:lang w:val="lv-LV"/>
        </w:rPr>
        <w:t>ī likvidēšanu un tā pamatojumu:</w:t>
      </w:r>
    </w:p>
    <w:p w:rsidR="0029508C" w:rsidRDefault="00B203F2" w:rsidP="0029508C">
      <w:pPr>
        <w:pStyle w:val="ListParagraph"/>
        <w:numPr>
          <w:ilvl w:val="2"/>
          <w:numId w:val="2"/>
        </w:numPr>
        <w:spacing w:after="0" w:line="276" w:lineRule="auto"/>
        <w:jc w:val="both"/>
        <w:rPr>
          <w:lang w:val="lv-LV"/>
        </w:rPr>
      </w:pPr>
      <w:r w:rsidRPr="0029508C">
        <w:rPr>
          <w:lang w:val="lv-LV"/>
        </w:rPr>
        <w:t xml:space="preserve">Aivars </w:t>
      </w:r>
      <w:proofErr w:type="spellStart"/>
      <w:r w:rsidRPr="0029508C">
        <w:rPr>
          <w:lang w:val="lv-LV"/>
        </w:rPr>
        <w:t>Latkovskis</w:t>
      </w:r>
      <w:proofErr w:type="spellEnd"/>
      <w:r w:rsidR="003225AF" w:rsidRPr="0029508C">
        <w:rPr>
          <w:lang w:val="lv-LV"/>
        </w:rPr>
        <w:t xml:space="preserve"> (TM) </w:t>
      </w:r>
      <w:r w:rsidR="0029508C">
        <w:rPr>
          <w:lang w:val="lv-LV"/>
        </w:rPr>
        <w:t>informē</w:t>
      </w:r>
      <w:r w:rsidRPr="0029508C">
        <w:rPr>
          <w:lang w:val="lv-LV"/>
        </w:rPr>
        <w:t xml:space="preserve"> par TM iekšienē jau uzsāktajām sarunām par viena īpašnieka SIA izveidi (SUP) un pamatkapitāla atcelšanu. </w:t>
      </w:r>
      <w:r w:rsidR="001427B2">
        <w:rPr>
          <w:lang w:val="lv-LV"/>
        </w:rPr>
        <w:t>R</w:t>
      </w:r>
      <w:r w:rsidRPr="0029508C">
        <w:rPr>
          <w:lang w:val="lv-LV"/>
        </w:rPr>
        <w:t xml:space="preserve">ezultātā </w:t>
      </w:r>
      <w:r w:rsidR="0029508C">
        <w:rPr>
          <w:lang w:val="lv-LV"/>
        </w:rPr>
        <w:t>notiek</w:t>
      </w:r>
      <w:r w:rsidRPr="0029508C">
        <w:rPr>
          <w:lang w:val="lv-LV"/>
        </w:rPr>
        <w:t xml:space="preserve"> diskusijas par pamatkapitāla nepieciešamību, esošo un nākotnes regulējumu.</w:t>
      </w:r>
    </w:p>
    <w:p w:rsidR="00113EBA" w:rsidRPr="00963953" w:rsidRDefault="0029508C" w:rsidP="0029508C">
      <w:pPr>
        <w:pStyle w:val="ListParagraph"/>
        <w:numPr>
          <w:ilvl w:val="2"/>
          <w:numId w:val="2"/>
        </w:numPr>
        <w:spacing w:after="0" w:line="276" w:lineRule="auto"/>
        <w:jc w:val="both"/>
        <w:rPr>
          <w:lang w:val="lv-LV"/>
        </w:rPr>
      </w:pPr>
      <w:r w:rsidRPr="00963953">
        <w:rPr>
          <w:lang w:val="lv-LV"/>
        </w:rPr>
        <w:t xml:space="preserve">Diskusiju rezultātā tiek </w:t>
      </w:r>
      <w:r w:rsidR="00B203F2" w:rsidRPr="00963953">
        <w:rPr>
          <w:lang w:val="lv-LV"/>
        </w:rPr>
        <w:t>nolemts priekšlikumu</w:t>
      </w:r>
      <w:r w:rsidR="00963953" w:rsidRPr="00963953">
        <w:rPr>
          <w:lang w:val="lv-LV"/>
        </w:rPr>
        <w:t xml:space="preserve"> </w:t>
      </w:r>
      <w:r w:rsidR="00F42D3F">
        <w:rPr>
          <w:lang w:val="lv-LV"/>
        </w:rPr>
        <w:t>ne</w:t>
      </w:r>
      <w:r w:rsidR="00963953" w:rsidRPr="00963953">
        <w:rPr>
          <w:lang w:val="lv-LV"/>
        </w:rPr>
        <w:t>iekļaut</w:t>
      </w:r>
      <w:r w:rsidR="00F42D3F">
        <w:rPr>
          <w:lang w:val="lv-LV"/>
        </w:rPr>
        <w:t xml:space="preserve"> uzņēmējdarbības uzlabošanas pasākumu plānā</w:t>
      </w:r>
      <w:r w:rsidR="00963953" w:rsidRPr="00963953">
        <w:rPr>
          <w:lang w:val="lv-LV"/>
        </w:rPr>
        <w:t>, paredzot nākotnē veidot virzību uz pa</w:t>
      </w:r>
      <w:r w:rsidR="00F42D3F">
        <w:rPr>
          <w:lang w:val="lv-LV"/>
        </w:rPr>
        <w:t>matkapitāla iemaksas atcelšanu.</w:t>
      </w:r>
    </w:p>
    <w:p w:rsidR="0029508C" w:rsidRPr="0029508C" w:rsidRDefault="0029508C" w:rsidP="0029508C">
      <w:pPr>
        <w:pStyle w:val="ListParagraph"/>
        <w:numPr>
          <w:ilvl w:val="1"/>
          <w:numId w:val="2"/>
        </w:numPr>
        <w:spacing w:after="0" w:line="276" w:lineRule="auto"/>
        <w:jc w:val="both"/>
        <w:rPr>
          <w:u w:val="single"/>
          <w:lang w:val="lv-LV"/>
        </w:rPr>
      </w:pPr>
      <w:r>
        <w:rPr>
          <w:lang w:val="lv-LV"/>
        </w:rPr>
        <w:t>U</w:t>
      </w:r>
      <w:r w:rsidR="00B203F2" w:rsidRPr="00113EBA">
        <w:rPr>
          <w:lang w:val="lv-LV"/>
        </w:rPr>
        <w:t>zņēmēju izpratnes par uzņēmējdarbības veidiem un ar to saist</w:t>
      </w:r>
      <w:r>
        <w:rPr>
          <w:lang w:val="lv-LV"/>
        </w:rPr>
        <w:t>ītajiem pienākumiem veicināšanu:</w:t>
      </w:r>
    </w:p>
    <w:p w:rsidR="0029508C" w:rsidRPr="0029508C" w:rsidRDefault="00B203F2" w:rsidP="0029508C">
      <w:pPr>
        <w:pStyle w:val="ListParagraph"/>
        <w:numPr>
          <w:ilvl w:val="2"/>
          <w:numId w:val="2"/>
        </w:numPr>
        <w:spacing w:after="0" w:line="276" w:lineRule="auto"/>
        <w:jc w:val="both"/>
        <w:rPr>
          <w:u w:val="single"/>
          <w:lang w:val="lv-LV"/>
        </w:rPr>
      </w:pPr>
      <w:r w:rsidRPr="0029508C">
        <w:rPr>
          <w:lang w:val="lv-LV"/>
        </w:rPr>
        <w:t xml:space="preserve">Jana </w:t>
      </w:r>
      <w:proofErr w:type="spellStart"/>
      <w:r w:rsidRPr="0029508C">
        <w:rPr>
          <w:lang w:val="lv-LV"/>
        </w:rPr>
        <w:t>Janotne</w:t>
      </w:r>
      <w:proofErr w:type="spellEnd"/>
      <w:r w:rsidRPr="0029508C">
        <w:rPr>
          <w:lang w:val="lv-LV"/>
        </w:rPr>
        <w:t xml:space="preserve"> </w:t>
      </w:r>
      <w:r w:rsidR="00E00EB5" w:rsidRPr="0029508C">
        <w:rPr>
          <w:lang w:val="lv-LV"/>
        </w:rPr>
        <w:t xml:space="preserve">(UR) </w:t>
      </w:r>
      <w:r w:rsidR="00F74615">
        <w:rPr>
          <w:lang w:val="lv-LV"/>
        </w:rPr>
        <w:t>pauž</w:t>
      </w:r>
      <w:r w:rsidRPr="0029508C">
        <w:rPr>
          <w:lang w:val="lv-LV"/>
        </w:rPr>
        <w:t xml:space="preserve"> atbalstu priekšlikumam, raksturojot problēmas intensitāti un aktualitāti no UR puses.</w:t>
      </w:r>
    </w:p>
    <w:p w:rsidR="00113EBA" w:rsidRPr="00963953" w:rsidRDefault="00F74615" w:rsidP="0029508C">
      <w:pPr>
        <w:pStyle w:val="ListParagraph"/>
        <w:numPr>
          <w:ilvl w:val="2"/>
          <w:numId w:val="2"/>
        </w:numPr>
        <w:spacing w:after="0" w:line="276" w:lineRule="auto"/>
        <w:jc w:val="both"/>
        <w:rPr>
          <w:lang w:val="lv-LV"/>
        </w:rPr>
      </w:pPr>
      <w:r w:rsidRPr="00963953">
        <w:rPr>
          <w:lang w:val="lv-LV"/>
        </w:rPr>
        <w:t>Tiek</w:t>
      </w:r>
      <w:r w:rsidR="00B203F2" w:rsidRPr="00963953">
        <w:rPr>
          <w:lang w:val="lv-LV"/>
        </w:rPr>
        <w:t xml:space="preserve"> nolemts priekšlikumu iekļaut uzņēmējdarbības uzlabošanas plānā.</w:t>
      </w:r>
    </w:p>
    <w:p w:rsidR="00F74615" w:rsidRDefault="00F74615" w:rsidP="00113EBA">
      <w:pPr>
        <w:pStyle w:val="ListParagraph"/>
        <w:numPr>
          <w:ilvl w:val="1"/>
          <w:numId w:val="2"/>
        </w:numPr>
        <w:spacing w:after="0" w:line="276" w:lineRule="auto"/>
        <w:ind w:left="1416"/>
        <w:jc w:val="both"/>
        <w:rPr>
          <w:lang w:val="lv-LV"/>
        </w:rPr>
      </w:pPr>
      <w:r w:rsidRPr="00F74615">
        <w:rPr>
          <w:lang w:val="lv-LV"/>
        </w:rPr>
        <w:t>S</w:t>
      </w:r>
      <w:r w:rsidR="00B203F2" w:rsidRPr="00F74615">
        <w:rPr>
          <w:lang w:val="lv-LV"/>
        </w:rPr>
        <w:t>adarbības veicināšana informācija</w:t>
      </w:r>
      <w:r w:rsidRPr="00F74615">
        <w:rPr>
          <w:lang w:val="lv-LV"/>
        </w:rPr>
        <w:t>s apmaiņā starp valsts iestādēm:</w:t>
      </w:r>
    </w:p>
    <w:p w:rsidR="00F74615" w:rsidRDefault="0062502B" w:rsidP="00F74615">
      <w:pPr>
        <w:pStyle w:val="ListParagraph"/>
        <w:numPr>
          <w:ilvl w:val="2"/>
          <w:numId w:val="2"/>
        </w:numPr>
        <w:spacing w:after="0" w:line="276" w:lineRule="auto"/>
        <w:jc w:val="both"/>
        <w:rPr>
          <w:lang w:val="lv-LV"/>
        </w:rPr>
      </w:pPr>
      <w:r w:rsidRPr="00F74615">
        <w:rPr>
          <w:lang w:val="lv-LV"/>
        </w:rPr>
        <w:t xml:space="preserve">Ilze </w:t>
      </w:r>
      <w:proofErr w:type="spellStart"/>
      <w:r w:rsidRPr="00F74615">
        <w:rPr>
          <w:lang w:val="lv-LV"/>
        </w:rPr>
        <w:t>Jankova</w:t>
      </w:r>
      <w:proofErr w:type="spellEnd"/>
      <w:r w:rsidR="00E00EB5" w:rsidRPr="00F74615">
        <w:rPr>
          <w:lang w:val="lv-LV"/>
        </w:rPr>
        <w:t xml:space="preserve"> (VID)</w:t>
      </w:r>
      <w:r w:rsidR="00F74615">
        <w:rPr>
          <w:lang w:val="lv-LV"/>
        </w:rPr>
        <w:t xml:space="preserve"> informē</w:t>
      </w:r>
      <w:r w:rsidRPr="00F74615">
        <w:rPr>
          <w:lang w:val="lv-LV"/>
        </w:rPr>
        <w:t xml:space="preserve"> par esošo sadarbību starp VID un UR, kā arī par plānotajiem turpmākiem uzlabojumiem (no 1. jūlija uzņēmējiem nebūs jāslēdz līgums par EDS lietošanu papīra formā, to varēs izdarīt caur portālu </w:t>
      </w:r>
      <w:hyperlink r:id="rId8" w:history="1">
        <w:r w:rsidRPr="00F74615">
          <w:rPr>
            <w:rStyle w:val="Hyperlink"/>
            <w:lang w:val="lv-LV"/>
          </w:rPr>
          <w:t>www.latvija.lv</w:t>
        </w:r>
      </w:hyperlink>
      <w:r w:rsidRPr="00F74615">
        <w:rPr>
          <w:lang w:val="lv-LV"/>
        </w:rPr>
        <w:t xml:space="preserve">). </w:t>
      </w:r>
      <w:r w:rsidR="00F74615">
        <w:rPr>
          <w:lang w:val="lv-LV"/>
        </w:rPr>
        <w:t xml:space="preserve">Tiek pārspriests </w:t>
      </w:r>
      <w:r w:rsidRPr="00F74615">
        <w:rPr>
          <w:lang w:val="lv-LV"/>
        </w:rPr>
        <w:t xml:space="preserve">arī jautājums par reģistrācijas funkciju </w:t>
      </w:r>
      <w:r w:rsidR="00F74615">
        <w:rPr>
          <w:lang w:val="lv-LV"/>
        </w:rPr>
        <w:t xml:space="preserve">sadali starp VID un UR, uzsverot, ka </w:t>
      </w:r>
      <w:r w:rsidRPr="00F74615">
        <w:rPr>
          <w:lang w:val="lv-LV"/>
        </w:rPr>
        <w:t>saimnieciskā</w:t>
      </w:r>
      <w:r w:rsidR="00F74615">
        <w:rPr>
          <w:lang w:val="lv-LV"/>
        </w:rPr>
        <w:t>s darbības veicēju reģistrāciju varētu pārņemt UR.</w:t>
      </w:r>
    </w:p>
    <w:p w:rsidR="0062502B" w:rsidRPr="00963953" w:rsidRDefault="00F74615" w:rsidP="00F74615">
      <w:pPr>
        <w:pStyle w:val="ListParagraph"/>
        <w:numPr>
          <w:ilvl w:val="2"/>
          <w:numId w:val="2"/>
        </w:numPr>
        <w:spacing w:after="0" w:line="276" w:lineRule="auto"/>
        <w:jc w:val="both"/>
        <w:rPr>
          <w:lang w:val="lv-LV"/>
        </w:rPr>
      </w:pPr>
      <w:r w:rsidRPr="00963953">
        <w:rPr>
          <w:lang w:val="lv-LV"/>
        </w:rPr>
        <w:t>Tiek</w:t>
      </w:r>
      <w:r w:rsidR="0062502B" w:rsidRPr="00963953">
        <w:rPr>
          <w:lang w:val="lv-LV"/>
        </w:rPr>
        <w:t xml:space="preserve"> nolemts priekšlikumu</w:t>
      </w:r>
      <w:r w:rsidR="00B01147">
        <w:rPr>
          <w:lang w:val="lv-LV"/>
        </w:rPr>
        <w:t xml:space="preserve"> uzņēmējdarbības vides uzlabošanas pasākumu plānā ne</w:t>
      </w:r>
      <w:r w:rsidR="0062502B" w:rsidRPr="00963953">
        <w:rPr>
          <w:lang w:val="lv-LV"/>
        </w:rPr>
        <w:t>iekļaut.</w:t>
      </w:r>
    </w:p>
    <w:p w:rsidR="00113EBA" w:rsidRDefault="00F634C4" w:rsidP="00113EBA">
      <w:pPr>
        <w:pStyle w:val="ListParagraph"/>
        <w:numPr>
          <w:ilvl w:val="0"/>
          <w:numId w:val="2"/>
        </w:numPr>
        <w:spacing w:after="0" w:line="276" w:lineRule="auto"/>
        <w:jc w:val="both"/>
        <w:rPr>
          <w:lang w:val="lv-LV"/>
        </w:rPr>
      </w:pPr>
      <w:r w:rsidRPr="00113EBA">
        <w:rPr>
          <w:lang w:val="lv-LV"/>
        </w:rPr>
        <w:lastRenderedPageBreak/>
        <w:t xml:space="preserve">Pārrunāti izvirzītie priekšlikumi saistībā ar </w:t>
      </w:r>
      <w:r>
        <w:rPr>
          <w:lang w:val="lv-LV"/>
        </w:rPr>
        <w:t xml:space="preserve"> e-pakalpojumu pieejamību</w:t>
      </w:r>
      <w:r w:rsidR="0062502B" w:rsidRPr="00113EBA">
        <w:rPr>
          <w:lang w:val="lv-LV"/>
        </w:rPr>
        <w:t xml:space="preserve"> uzņēmējiem valsts un pašvaldību iestād</w:t>
      </w:r>
      <w:r>
        <w:rPr>
          <w:lang w:val="lv-LV"/>
        </w:rPr>
        <w:t>ēm</w:t>
      </w:r>
      <w:r w:rsidR="0062502B" w:rsidRPr="00113EBA">
        <w:rPr>
          <w:lang w:val="lv-LV"/>
        </w:rPr>
        <w:t>:</w:t>
      </w:r>
    </w:p>
    <w:p w:rsidR="00F634C4" w:rsidRDefault="00F634C4" w:rsidP="00113EBA">
      <w:pPr>
        <w:pStyle w:val="ListParagraph"/>
        <w:numPr>
          <w:ilvl w:val="1"/>
          <w:numId w:val="2"/>
        </w:numPr>
        <w:spacing w:after="0" w:line="276" w:lineRule="auto"/>
        <w:ind w:left="1416"/>
        <w:jc w:val="both"/>
        <w:rPr>
          <w:lang w:val="lv-LV"/>
        </w:rPr>
      </w:pPr>
      <w:r w:rsidRPr="00F634C4">
        <w:rPr>
          <w:lang w:val="lv-LV"/>
        </w:rPr>
        <w:t>E</w:t>
      </w:r>
      <w:r w:rsidR="0062502B" w:rsidRPr="00F634C4">
        <w:rPr>
          <w:lang w:val="lv-LV"/>
        </w:rPr>
        <w:t>-paraksta pieejamības u</w:t>
      </w:r>
      <w:r w:rsidRPr="00F634C4">
        <w:rPr>
          <w:lang w:val="lv-LV"/>
        </w:rPr>
        <w:t>n pielietojamības paplašināšana:</w:t>
      </w:r>
    </w:p>
    <w:p w:rsidR="00F634C4" w:rsidRDefault="0062502B" w:rsidP="00F634C4">
      <w:pPr>
        <w:pStyle w:val="ListParagraph"/>
        <w:numPr>
          <w:ilvl w:val="2"/>
          <w:numId w:val="2"/>
        </w:numPr>
        <w:spacing w:after="0" w:line="276" w:lineRule="auto"/>
        <w:jc w:val="both"/>
        <w:rPr>
          <w:lang w:val="lv-LV"/>
        </w:rPr>
      </w:pPr>
      <w:r w:rsidRPr="00F634C4">
        <w:rPr>
          <w:lang w:val="lv-LV"/>
        </w:rPr>
        <w:t xml:space="preserve">Edmunds </w:t>
      </w:r>
      <w:proofErr w:type="spellStart"/>
      <w:r w:rsidRPr="00F634C4">
        <w:rPr>
          <w:lang w:val="lv-LV"/>
        </w:rPr>
        <w:t>Beļskis</w:t>
      </w:r>
      <w:proofErr w:type="spellEnd"/>
      <w:r w:rsidRPr="00F634C4">
        <w:rPr>
          <w:lang w:val="lv-LV"/>
        </w:rPr>
        <w:t xml:space="preserve"> </w:t>
      </w:r>
      <w:r w:rsidR="00643247" w:rsidRPr="00F634C4">
        <w:rPr>
          <w:lang w:val="lv-LV"/>
        </w:rPr>
        <w:t xml:space="preserve">(SM) </w:t>
      </w:r>
      <w:r w:rsidR="000876FA">
        <w:rPr>
          <w:lang w:val="lv-LV"/>
        </w:rPr>
        <w:t xml:space="preserve">iesaka </w:t>
      </w:r>
      <w:r w:rsidRPr="00F634C4">
        <w:rPr>
          <w:lang w:val="lv-LV"/>
        </w:rPr>
        <w:t>pārformulēt priekšlikumu par e-paraksta pielietošanas un lietošanas paplašināšanu, raksturojot esošo problēmu ar e-paraksta pielietojamību valsts pārvaldē saziņā ar uzņēmējiem un iedzīvotājiem. Minēto apstiprin</w:t>
      </w:r>
      <w:r w:rsidR="000876FA">
        <w:rPr>
          <w:lang w:val="lv-LV"/>
        </w:rPr>
        <w:t>a</w:t>
      </w:r>
      <w:r w:rsidRPr="00F634C4">
        <w:rPr>
          <w:lang w:val="lv-LV"/>
        </w:rPr>
        <w:t xml:space="preserve"> </w:t>
      </w:r>
      <w:r w:rsidR="00643247" w:rsidRPr="00F634C4">
        <w:rPr>
          <w:lang w:val="lv-LV"/>
        </w:rPr>
        <w:t>un papildin</w:t>
      </w:r>
      <w:r w:rsidR="000876FA">
        <w:rPr>
          <w:lang w:val="lv-LV"/>
        </w:rPr>
        <w:t>a</w:t>
      </w:r>
      <w:r w:rsidR="00643247" w:rsidRPr="00F634C4">
        <w:rPr>
          <w:lang w:val="lv-LV"/>
        </w:rPr>
        <w:t xml:space="preserve"> Mihails </w:t>
      </w:r>
      <w:proofErr w:type="spellStart"/>
      <w:r w:rsidR="00643247" w:rsidRPr="00F634C4">
        <w:rPr>
          <w:lang w:val="lv-LV"/>
        </w:rPr>
        <w:t>Galuška</w:t>
      </w:r>
      <w:proofErr w:type="spellEnd"/>
      <w:r w:rsidR="00643247" w:rsidRPr="00F634C4">
        <w:rPr>
          <w:lang w:val="lv-LV"/>
        </w:rPr>
        <w:t xml:space="preserve"> (LVRTC) un Ilze </w:t>
      </w:r>
      <w:proofErr w:type="spellStart"/>
      <w:r w:rsidR="00643247" w:rsidRPr="00F634C4">
        <w:rPr>
          <w:lang w:val="lv-LV"/>
        </w:rPr>
        <w:t>Jankova</w:t>
      </w:r>
      <w:proofErr w:type="spellEnd"/>
      <w:r w:rsidR="00643247" w:rsidRPr="00F634C4">
        <w:rPr>
          <w:lang w:val="lv-LV"/>
        </w:rPr>
        <w:t xml:space="preserve"> (VID).</w:t>
      </w:r>
    </w:p>
    <w:p w:rsidR="00F634C4" w:rsidRDefault="000876FA" w:rsidP="00F634C4">
      <w:pPr>
        <w:pStyle w:val="ListParagraph"/>
        <w:numPr>
          <w:ilvl w:val="2"/>
          <w:numId w:val="2"/>
        </w:numPr>
        <w:spacing w:after="0" w:line="276" w:lineRule="auto"/>
        <w:jc w:val="both"/>
        <w:rPr>
          <w:lang w:val="lv-LV"/>
        </w:rPr>
      </w:pPr>
      <w:r>
        <w:rPr>
          <w:lang w:val="lv-LV"/>
        </w:rPr>
        <w:t>Inese Gaile (VARAM) informē</w:t>
      </w:r>
      <w:r w:rsidR="00643247" w:rsidRPr="00F634C4">
        <w:rPr>
          <w:lang w:val="lv-LV"/>
        </w:rPr>
        <w:t xml:space="preserve"> par turpmākiem VARAM projektiem saistībā ar e-pakalpojumiem (deklarētās e-pasta adreses izveide līdz 2017. gada 1. janvārim).</w:t>
      </w:r>
    </w:p>
    <w:p w:rsidR="004D7485" w:rsidRPr="00963953" w:rsidRDefault="000876FA" w:rsidP="00F634C4">
      <w:pPr>
        <w:pStyle w:val="ListParagraph"/>
        <w:numPr>
          <w:ilvl w:val="2"/>
          <w:numId w:val="2"/>
        </w:numPr>
        <w:spacing w:after="0" w:line="276" w:lineRule="auto"/>
        <w:jc w:val="both"/>
        <w:rPr>
          <w:lang w:val="lv-LV"/>
        </w:rPr>
      </w:pPr>
      <w:r w:rsidRPr="00963953">
        <w:rPr>
          <w:lang w:val="lv-LV"/>
        </w:rPr>
        <w:t>Tiek</w:t>
      </w:r>
      <w:r w:rsidR="001C73EA" w:rsidRPr="00963953">
        <w:rPr>
          <w:lang w:val="lv-LV"/>
        </w:rPr>
        <w:t xml:space="preserve"> </w:t>
      </w:r>
      <w:r w:rsidR="00643247" w:rsidRPr="00963953">
        <w:rPr>
          <w:lang w:val="lv-LV"/>
        </w:rPr>
        <w:t>nolemts priekš</w:t>
      </w:r>
      <w:r w:rsidR="0029508C" w:rsidRPr="00963953">
        <w:rPr>
          <w:lang w:val="lv-LV"/>
        </w:rPr>
        <w:t>likumu iekļaut labotā redakcijā</w:t>
      </w:r>
      <w:r w:rsidRPr="00963953">
        <w:rPr>
          <w:lang w:val="lv-LV"/>
        </w:rPr>
        <w:t>.</w:t>
      </w:r>
    </w:p>
    <w:p w:rsidR="00113EBA" w:rsidRDefault="000876FA" w:rsidP="00113EBA">
      <w:pPr>
        <w:pStyle w:val="ListParagraph"/>
        <w:numPr>
          <w:ilvl w:val="0"/>
          <w:numId w:val="2"/>
        </w:numPr>
        <w:spacing w:after="0" w:line="276" w:lineRule="auto"/>
        <w:jc w:val="both"/>
        <w:rPr>
          <w:lang w:val="lv-LV"/>
        </w:rPr>
      </w:pPr>
      <w:r w:rsidRPr="00113EBA">
        <w:rPr>
          <w:lang w:val="lv-LV"/>
        </w:rPr>
        <w:t>Pārrunāti izvirzītie priekšlikumi saistībā ar</w:t>
      </w:r>
      <w:r>
        <w:rPr>
          <w:lang w:val="lv-LV"/>
        </w:rPr>
        <w:t xml:space="preserve"> </w:t>
      </w:r>
      <w:r w:rsidR="009F5C8B" w:rsidRPr="00113EBA">
        <w:rPr>
          <w:lang w:val="lv-LV"/>
        </w:rPr>
        <w:t>licencēm un atļaujām, un citām inspekciju izdotām apliecībām / standartiem par atbilstību:</w:t>
      </w:r>
    </w:p>
    <w:p w:rsidR="000876FA" w:rsidRDefault="000876FA" w:rsidP="00113EBA">
      <w:pPr>
        <w:pStyle w:val="ListParagraph"/>
        <w:numPr>
          <w:ilvl w:val="1"/>
          <w:numId w:val="2"/>
        </w:numPr>
        <w:spacing w:after="0" w:line="276" w:lineRule="auto"/>
        <w:ind w:left="1416"/>
        <w:jc w:val="both"/>
        <w:rPr>
          <w:lang w:val="lv-LV"/>
        </w:rPr>
      </w:pPr>
      <w:r w:rsidRPr="000876FA">
        <w:rPr>
          <w:lang w:val="lv-LV"/>
        </w:rPr>
        <w:t>P</w:t>
      </w:r>
      <w:r w:rsidR="009F5C8B" w:rsidRPr="000876FA">
        <w:rPr>
          <w:lang w:val="lv-LV"/>
        </w:rPr>
        <w:t xml:space="preserve">ortāla </w:t>
      </w:r>
      <w:hyperlink r:id="rId9" w:history="1">
        <w:r w:rsidR="009F5C8B" w:rsidRPr="000876FA">
          <w:rPr>
            <w:rStyle w:val="Hyperlink"/>
            <w:lang w:val="lv-LV"/>
          </w:rPr>
          <w:t>www.latvija.lv</w:t>
        </w:r>
      </w:hyperlink>
      <w:r w:rsidR="009F5C8B" w:rsidRPr="000876FA">
        <w:rPr>
          <w:lang w:val="lv-LV"/>
        </w:rPr>
        <w:t xml:space="preserve"> funkcionalitātes paplašināšanu ar informāciju par lice</w:t>
      </w:r>
      <w:r w:rsidRPr="000876FA">
        <w:rPr>
          <w:lang w:val="lv-LV"/>
        </w:rPr>
        <w:t>ncēm un atļaujām:</w:t>
      </w:r>
    </w:p>
    <w:p w:rsidR="000876FA" w:rsidRDefault="007E1809" w:rsidP="000876FA">
      <w:pPr>
        <w:pStyle w:val="ListParagraph"/>
        <w:numPr>
          <w:ilvl w:val="2"/>
          <w:numId w:val="2"/>
        </w:numPr>
        <w:spacing w:after="0" w:line="276" w:lineRule="auto"/>
        <w:jc w:val="both"/>
        <w:rPr>
          <w:lang w:val="lv-LV"/>
        </w:rPr>
      </w:pPr>
      <w:r>
        <w:rPr>
          <w:lang w:val="lv-LV"/>
        </w:rPr>
        <w:t>Tiek</w:t>
      </w:r>
      <w:r w:rsidR="009F5C8B" w:rsidRPr="000876FA">
        <w:rPr>
          <w:lang w:val="lv-LV"/>
        </w:rPr>
        <w:t xml:space="preserve"> pārrunāta tēmas un jautājuma līdzība un sasaiste ar uzņēmējdarbības uzsākšanā jau izvirzīto priekšlikumu par ceļa kartes „</w:t>
      </w:r>
      <w:proofErr w:type="spellStart"/>
      <w:r w:rsidR="009F5C8B" w:rsidRPr="000876FA">
        <w:rPr>
          <w:lang w:val="lv-LV"/>
        </w:rPr>
        <w:t>road</w:t>
      </w:r>
      <w:proofErr w:type="spellEnd"/>
      <w:r w:rsidR="009F5C8B" w:rsidRPr="000876FA">
        <w:rPr>
          <w:lang w:val="lv-LV"/>
        </w:rPr>
        <w:t xml:space="preserve"> </w:t>
      </w:r>
      <w:proofErr w:type="spellStart"/>
      <w:r w:rsidR="009F5C8B" w:rsidRPr="000876FA">
        <w:rPr>
          <w:lang w:val="lv-LV"/>
        </w:rPr>
        <w:t>map</w:t>
      </w:r>
      <w:proofErr w:type="spellEnd"/>
      <w:r w:rsidR="009F5C8B" w:rsidRPr="000876FA">
        <w:rPr>
          <w:lang w:val="lv-LV"/>
        </w:rPr>
        <w:t>” principa izveidošanu uzņēmējiem nepieciešamās informācijas meklēšanā.</w:t>
      </w:r>
    </w:p>
    <w:p w:rsidR="000876FA" w:rsidRDefault="007E1809" w:rsidP="000876FA">
      <w:pPr>
        <w:pStyle w:val="ListParagraph"/>
        <w:numPr>
          <w:ilvl w:val="2"/>
          <w:numId w:val="2"/>
        </w:numPr>
        <w:spacing w:after="0" w:line="276" w:lineRule="auto"/>
        <w:jc w:val="both"/>
        <w:rPr>
          <w:lang w:val="lv-LV"/>
        </w:rPr>
      </w:pPr>
      <w:r>
        <w:rPr>
          <w:lang w:val="lv-LV"/>
        </w:rPr>
        <w:t>Inese Gaile (VARAM) informē</w:t>
      </w:r>
      <w:r w:rsidR="009F5C8B" w:rsidRPr="000876FA">
        <w:rPr>
          <w:lang w:val="lv-LV"/>
        </w:rPr>
        <w:t xml:space="preserve"> par topošo Publisko pakalpojumu likumprojektu un, ka priekšlikums varētu tikt virzīts pēc visu publisko pakalpojumu apzināšanas.</w:t>
      </w:r>
    </w:p>
    <w:p w:rsidR="00113EBA" w:rsidRPr="00963953" w:rsidRDefault="00D12621" w:rsidP="000876FA">
      <w:pPr>
        <w:pStyle w:val="ListParagraph"/>
        <w:numPr>
          <w:ilvl w:val="2"/>
          <w:numId w:val="2"/>
        </w:numPr>
        <w:spacing w:after="0" w:line="276" w:lineRule="auto"/>
        <w:jc w:val="both"/>
        <w:rPr>
          <w:lang w:val="lv-LV"/>
        </w:rPr>
      </w:pPr>
      <w:r w:rsidRPr="00963953">
        <w:rPr>
          <w:lang w:val="lv-LV"/>
        </w:rPr>
        <w:t>Tiek</w:t>
      </w:r>
      <w:r w:rsidR="009F5C8B" w:rsidRPr="00963953">
        <w:rPr>
          <w:lang w:val="lv-LV"/>
        </w:rPr>
        <w:t xml:space="preserve"> nolemts priekšlikumu </w:t>
      </w:r>
      <w:r w:rsidR="007E1809" w:rsidRPr="00963953">
        <w:rPr>
          <w:lang w:val="lv-LV"/>
        </w:rPr>
        <w:t xml:space="preserve">papildināt un </w:t>
      </w:r>
      <w:r w:rsidR="009F5C8B" w:rsidRPr="00963953">
        <w:rPr>
          <w:lang w:val="lv-LV"/>
        </w:rPr>
        <w:t>iekļaut uzņēmējdarbības uzlabošanas plānā.</w:t>
      </w:r>
    </w:p>
    <w:p w:rsidR="000876FA" w:rsidRDefault="009F5C8B" w:rsidP="00113EBA">
      <w:pPr>
        <w:pStyle w:val="ListParagraph"/>
        <w:numPr>
          <w:ilvl w:val="1"/>
          <w:numId w:val="2"/>
        </w:numPr>
        <w:spacing w:after="0" w:line="276" w:lineRule="auto"/>
        <w:ind w:left="1416"/>
        <w:jc w:val="both"/>
        <w:rPr>
          <w:lang w:val="lv-LV"/>
        </w:rPr>
      </w:pPr>
      <w:r w:rsidRPr="000876FA">
        <w:rPr>
          <w:lang w:val="lv-LV"/>
        </w:rPr>
        <w:t>Valsts licenču kravas un pasažieru komercpārvadājumiem Latvijas teritorijā un/vai starp</w:t>
      </w:r>
      <w:r w:rsidR="000876FA" w:rsidRPr="000876FA">
        <w:rPr>
          <w:lang w:val="lv-LV"/>
        </w:rPr>
        <w:t>tautiski izsni</w:t>
      </w:r>
      <w:r w:rsidR="007E72BC">
        <w:rPr>
          <w:lang w:val="lv-LV"/>
        </w:rPr>
        <w:t>e</w:t>
      </w:r>
      <w:r w:rsidR="000876FA" w:rsidRPr="000876FA">
        <w:rPr>
          <w:lang w:val="lv-LV"/>
        </w:rPr>
        <w:t>gšanas uzlabošana:</w:t>
      </w:r>
      <w:bookmarkStart w:id="0" w:name="_GoBack"/>
      <w:bookmarkEnd w:id="0"/>
    </w:p>
    <w:p w:rsidR="000876FA" w:rsidRDefault="007E1809" w:rsidP="000876FA">
      <w:pPr>
        <w:pStyle w:val="ListParagraph"/>
        <w:numPr>
          <w:ilvl w:val="2"/>
          <w:numId w:val="2"/>
        </w:numPr>
        <w:spacing w:after="0" w:line="276" w:lineRule="auto"/>
        <w:jc w:val="both"/>
        <w:rPr>
          <w:lang w:val="lv-LV"/>
        </w:rPr>
      </w:pPr>
      <w:r>
        <w:rPr>
          <w:lang w:val="lv-LV"/>
        </w:rPr>
        <w:t xml:space="preserve">Edmunds </w:t>
      </w:r>
      <w:proofErr w:type="spellStart"/>
      <w:r>
        <w:rPr>
          <w:lang w:val="lv-LV"/>
        </w:rPr>
        <w:t>Beļskis</w:t>
      </w:r>
      <w:proofErr w:type="spellEnd"/>
      <w:r>
        <w:rPr>
          <w:lang w:val="lv-LV"/>
        </w:rPr>
        <w:t xml:space="preserve"> (SM) informē,</w:t>
      </w:r>
      <w:r w:rsidR="00664B5C" w:rsidRPr="000876FA">
        <w:rPr>
          <w:lang w:val="lv-LV"/>
        </w:rPr>
        <w:t xml:space="preserve"> ka priekšlikums nav ņemams vērā</w:t>
      </w:r>
      <w:r w:rsidR="007E72BC">
        <w:rPr>
          <w:lang w:val="lv-LV"/>
        </w:rPr>
        <w:t>,</w:t>
      </w:r>
      <w:r w:rsidR="00664B5C" w:rsidRPr="000876FA">
        <w:rPr>
          <w:lang w:val="lv-LV"/>
        </w:rPr>
        <w:t xml:space="preserve"> norādot uz mazo kopu aptaujā, kas atbildēja par problēmām ar minēto licenču saņemšanu.</w:t>
      </w:r>
      <w:r>
        <w:rPr>
          <w:lang w:val="lv-LV"/>
        </w:rPr>
        <w:t xml:space="preserve"> Papildus </w:t>
      </w:r>
      <w:r w:rsidR="007E72BC">
        <w:rPr>
          <w:lang w:val="lv-LV"/>
        </w:rPr>
        <w:t xml:space="preserve">tiek </w:t>
      </w:r>
      <w:r>
        <w:rPr>
          <w:lang w:val="lv-LV"/>
        </w:rPr>
        <w:t>norād</w:t>
      </w:r>
      <w:r w:rsidR="007E72BC">
        <w:rPr>
          <w:lang w:val="lv-LV"/>
        </w:rPr>
        <w:t>īts</w:t>
      </w:r>
      <w:r>
        <w:rPr>
          <w:lang w:val="lv-LV"/>
        </w:rPr>
        <w:t xml:space="preserve">, ka SM minēto priekšlikumu visticamāk </w:t>
      </w:r>
      <w:r w:rsidR="007E72BC">
        <w:rPr>
          <w:lang w:val="lv-LV"/>
        </w:rPr>
        <w:t>noraidīs</w:t>
      </w:r>
      <w:r>
        <w:rPr>
          <w:lang w:val="lv-LV"/>
        </w:rPr>
        <w:t>.</w:t>
      </w:r>
    </w:p>
    <w:p w:rsidR="00664B5C" w:rsidRPr="00963953" w:rsidRDefault="00D12621" w:rsidP="000876FA">
      <w:pPr>
        <w:pStyle w:val="ListParagraph"/>
        <w:numPr>
          <w:ilvl w:val="2"/>
          <w:numId w:val="2"/>
        </w:numPr>
        <w:spacing w:after="0" w:line="276" w:lineRule="auto"/>
        <w:jc w:val="both"/>
        <w:rPr>
          <w:lang w:val="lv-LV"/>
        </w:rPr>
      </w:pPr>
      <w:r w:rsidRPr="00963953">
        <w:rPr>
          <w:lang w:val="lv-LV"/>
        </w:rPr>
        <w:t>Tiek</w:t>
      </w:r>
      <w:r w:rsidR="00664B5C" w:rsidRPr="00963953">
        <w:rPr>
          <w:lang w:val="lv-LV"/>
        </w:rPr>
        <w:t xml:space="preserve"> nolemts priekšlikumu neiekļaut uzņēmējdarbības uzlabošanas plānā.</w:t>
      </w:r>
    </w:p>
    <w:sectPr w:rsidR="00664B5C" w:rsidRPr="00963953" w:rsidSect="00D80571">
      <w:headerReference w:type="default" r:id="rId10"/>
      <w:footerReference w:type="default" r:id="rId11"/>
      <w:headerReference w:type="first" r:id="rId12"/>
      <w:footerReference w:type="first" r:id="rId13"/>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21" w:rsidRDefault="00253C21" w:rsidP="00E902EC">
      <w:pPr>
        <w:spacing w:after="0" w:line="240" w:lineRule="auto"/>
      </w:pPr>
      <w:r>
        <w:separator/>
      </w:r>
    </w:p>
  </w:endnote>
  <w:endnote w:type="continuationSeparator" w:id="0">
    <w:p w:rsidR="00253C21" w:rsidRDefault="00253C21"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B01147">
          <w:rPr>
            <w:noProof/>
          </w:rPr>
          <w:t>3</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B01147" w:rsidP="003B68C4">
    <w:pPr>
      <w:pStyle w:val="Address"/>
    </w:pPr>
    <w:bookmarkStart w:id="1" w:name="address"/>
    <w:r>
      <w:pict>
        <v:shape id="_x0000_s2058" style="position:absolute;margin-left:87.9pt;margin-top:-3.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 xml:space="preserve">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21" w:rsidRDefault="00253C21" w:rsidP="00E902EC">
      <w:pPr>
        <w:spacing w:after="0" w:line="240" w:lineRule="auto"/>
      </w:pPr>
      <w:r>
        <w:separator/>
      </w:r>
    </w:p>
  </w:footnote>
  <w:footnote w:type="continuationSeparator" w:id="0">
    <w:p w:rsidR="00253C21" w:rsidRDefault="00253C21"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14:anchorId="3333AAC1" wp14:editId="602A6DA7">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14:anchorId="56BD7AB4" wp14:editId="3E193FD4">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81921C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85A7E"/>
    <w:multiLevelType w:val="hybridMultilevel"/>
    <w:tmpl w:val="D9A896B0"/>
    <w:lvl w:ilvl="0" w:tplc="B308B4B4">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8C1F13"/>
    <w:multiLevelType w:val="hybridMultilevel"/>
    <w:tmpl w:val="3D9C1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F5639C"/>
    <w:multiLevelType w:val="hybridMultilevel"/>
    <w:tmpl w:val="63EE39EC"/>
    <w:lvl w:ilvl="0" w:tplc="0809000F">
      <w:start w:val="1"/>
      <w:numFmt w:val="decimal"/>
      <w:lvlText w:val="%1."/>
      <w:lvlJc w:val="left"/>
      <w:pPr>
        <w:ind w:left="1788" w:hanging="360"/>
      </w:pPr>
    </w:lvl>
    <w:lvl w:ilvl="1" w:tplc="08090019" w:tentative="1">
      <w:start w:val="1"/>
      <w:numFmt w:val="lowerLetter"/>
      <w:lvlText w:val="%2."/>
      <w:lvlJc w:val="left"/>
      <w:pPr>
        <w:ind w:left="2508" w:hanging="360"/>
      </w:pPr>
    </w:lvl>
    <w:lvl w:ilvl="2" w:tplc="0809001B" w:tentative="1">
      <w:start w:val="1"/>
      <w:numFmt w:val="lowerRoman"/>
      <w:lvlText w:val="%3."/>
      <w:lvlJc w:val="right"/>
      <w:pPr>
        <w:ind w:left="3228" w:hanging="180"/>
      </w:pPr>
    </w:lvl>
    <w:lvl w:ilvl="3" w:tplc="0809000F" w:tentative="1">
      <w:start w:val="1"/>
      <w:numFmt w:val="decimal"/>
      <w:lvlText w:val="%4."/>
      <w:lvlJc w:val="left"/>
      <w:pPr>
        <w:ind w:left="3948" w:hanging="360"/>
      </w:pPr>
    </w:lvl>
    <w:lvl w:ilvl="4" w:tplc="08090019" w:tentative="1">
      <w:start w:val="1"/>
      <w:numFmt w:val="lowerLetter"/>
      <w:lvlText w:val="%5."/>
      <w:lvlJc w:val="left"/>
      <w:pPr>
        <w:ind w:left="4668" w:hanging="360"/>
      </w:pPr>
    </w:lvl>
    <w:lvl w:ilvl="5" w:tplc="0809001B" w:tentative="1">
      <w:start w:val="1"/>
      <w:numFmt w:val="lowerRoman"/>
      <w:lvlText w:val="%6."/>
      <w:lvlJc w:val="right"/>
      <w:pPr>
        <w:ind w:left="5388" w:hanging="180"/>
      </w:pPr>
    </w:lvl>
    <w:lvl w:ilvl="6" w:tplc="0809000F" w:tentative="1">
      <w:start w:val="1"/>
      <w:numFmt w:val="decimal"/>
      <w:lvlText w:val="%7."/>
      <w:lvlJc w:val="left"/>
      <w:pPr>
        <w:ind w:left="6108" w:hanging="360"/>
      </w:pPr>
    </w:lvl>
    <w:lvl w:ilvl="7" w:tplc="08090019" w:tentative="1">
      <w:start w:val="1"/>
      <w:numFmt w:val="lowerLetter"/>
      <w:lvlText w:val="%8."/>
      <w:lvlJc w:val="left"/>
      <w:pPr>
        <w:ind w:left="6828" w:hanging="360"/>
      </w:pPr>
    </w:lvl>
    <w:lvl w:ilvl="8" w:tplc="0809001B" w:tentative="1">
      <w:start w:val="1"/>
      <w:numFmt w:val="lowerRoman"/>
      <w:lvlText w:val="%9."/>
      <w:lvlJc w:val="right"/>
      <w:pPr>
        <w:ind w:left="7548" w:hanging="180"/>
      </w:pPr>
    </w:lvl>
  </w:abstractNum>
  <w:abstractNum w:abstractNumId="4">
    <w:nsid w:val="19FF7D7A"/>
    <w:multiLevelType w:val="hybridMultilevel"/>
    <w:tmpl w:val="2320CF36"/>
    <w:lvl w:ilvl="0" w:tplc="0809000F">
      <w:start w:val="1"/>
      <w:numFmt w:val="decimal"/>
      <w:lvlText w:val="%1."/>
      <w:lvlJc w:val="left"/>
      <w:pPr>
        <w:ind w:left="1788" w:hanging="360"/>
      </w:pPr>
    </w:lvl>
    <w:lvl w:ilvl="1" w:tplc="08090019" w:tentative="1">
      <w:start w:val="1"/>
      <w:numFmt w:val="lowerLetter"/>
      <w:lvlText w:val="%2."/>
      <w:lvlJc w:val="left"/>
      <w:pPr>
        <w:ind w:left="2508" w:hanging="360"/>
      </w:pPr>
    </w:lvl>
    <w:lvl w:ilvl="2" w:tplc="0809001B" w:tentative="1">
      <w:start w:val="1"/>
      <w:numFmt w:val="lowerRoman"/>
      <w:lvlText w:val="%3."/>
      <w:lvlJc w:val="right"/>
      <w:pPr>
        <w:ind w:left="3228" w:hanging="180"/>
      </w:pPr>
    </w:lvl>
    <w:lvl w:ilvl="3" w:tplc="0809000F" w:tentative="1">
      <w:start w:val="1"/>
      <w:numFmt w:val="decimal"/>
      <w:lvlText w:val="%4."/>
      <w:lvlJc w:val="left"/>
      <w:pPr>
        <w:ind w:left="3948" w:hanging="360"/>
      </w:pPr>
    </w:lvl>
    <w:lvl w:ilvl="4" w:tplc="08090019" w:tentative="1">
      <w:start w:val="1"/>
      <w:numFmt w:val="lowerLetter"/>
      <w:lvlText w:val="%5."/>
      <w:lvlJc w:val="left"/>
      <w:pPr>
        <w:ind w:left="4668" w:hanging="360"/>
      </w:pPr>
    </w:lvl>
    <w:lvl w:ilvl="5" w:tplc="0809001B" w:tentative="1">
      <w:start w:val="1"/>
      <w:numFmt w:val="lowerRoman"/>
      <w:lvlText w:val="%6."/>
      <w:lvlJc w:val="right"/>
      <w:pPr>
        <w:ind w:left="5388" w:hanging="180"/>
      </w:pPr>
    </w:lvl>
    <w:lvl w:ilvl="6" w:tplc="0809000F" w:tentative="1">
      <w:start w:val="1"/>
      <w:numFmt w:val="decimal"/>
      <w:lvlText w:val="%7."/>
      <w:lvlJc w:val="left"/>
      <w:pPr>
        <w:ind w:left="6108" w:hanging="360"/>
      </w:pPr>
    </w:lvl>
    <w:lvl w:ilvl="7" w:tplc="08090019" w:tentative="1">
      <w:start w:val="1"/>
      <w:numFmt w:val="lowerLetter"/>
      <w:lvlText w:val="%8."/>
      <w:lvlJc w:val="left"/>
      <w:pPr>
        <w:ind w:left="6828" w:hanging="360"/>
      </w:pPr>
    </w:lvl>
    <w:lvl w:ilvl="8" w:tplc="0809001B" w:tentative="1">
      <w:start w:val="1"/>
      <w:numFmt w:val="lowerRoman"/>
      <w:lvlText w:val="%9."/>
      <w:lvlJc w:val="right"/>
      <w:pPr>
        <w:ind w:left="7548" w:hanging="180"/>
      </w:pPr>
    </w:lvl>
  </w:abstractNum>
  <w:abstractNum w:abstractNumId="5">
    <w:nsid w:val="3A3B1867"/>
    <w:multiLevelType w:val="hybridMultilevel"/>
    <w:tmpl w:val="CDB8BE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63250A0"/>
    <w:multiLevelType w:val="hybridMultilevel"/>
    <w:tmpl w:val="9AC4D7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F5B39CC"/>
    <w:multiLevelType w:val="hybridMultilevel"/>
    <w:tmpl w:val="A936FA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8"/>
  </w:num>
  <w:num w:numId="5">
    <w:abstractNumId w:val="2"/>
  </w:num>
  <w:num w:numId="6">
    <w:abstractNumId w:val="7"/>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098E"/>
    <w:rsid w:val="00034AAA"/>
    <w:rsid w:val="000454C1"/>
    <w:rsid w:val="000726D2"/>
    <w:rsid w:val="000876FA"/>
    <w:rsid w:val="000B5045"/>
    <w:rsid w:val="000B5E05"/>
    <w:rsid w:val="000D7B00"/>
    <w:rsid w:val="000E34EA"/>
    <w:rsid w:val="000E3A67"/>
    <w:rsid w:val="00113EBA"/>
    <w:rsid w:val="0011450C"/>
    <w:rsid w:val="001427B2"/>
    <w:rsid w:val="00166C97"/>
    <w:rsid w:val="001A7F25"/>
    <w:rsid w:val="001B0C74"/>
    <w:rsid w:val="001C73EA"/>
    <w:rsid w:val="00253C21"/>
    <w:rsid w:val="00256F02"/>
    <w:rsid w:val="00276819"/>
    <w:rsid w:val="0029508C"/>
    <w:rsid w:val="002C12B4"/>
    <w:rsid w:val="002D074B"/>
    <w:rsid w:val="002D2C1A"/>
    <w:rsid w:val="002E573B"/>
    <w:rsid w:val="0031457A"/>
    <w:rsid w:val="003225AF"/>
    <w:rsid w:val="003427D4"/>
    <w:rsid w:val="003A2002"/>
    <w:rsid w:val="003B68C4"/>
    <w:rsid w:val="00410A1D"/>
    <w:rsid w:val="00430237"/>
    <w:rsid w:val="004763F0"/>
    <w:rsid w:val="00480DCC"/>
    <w:rsid w:val="004C14F4"/>
    <w:rsid w:val="004C34DA"/>
    <w:rsid w:val="004D7485"/>
    <w:rsid w:val="004E4C9A"/>
    <w:rsid w:val="004E6A1E"/>
    <w:rsid w:val="004F30EE"/>
    <w:rsid w:val="00517C75"/>
    <w:rsid w:val="00526445"/>
    <w:rsid w:val="00543C82"/>
    <w:rsid w:val="00543E37"/>
    <w:rsid w:val="00545851"/>
    <w:rsid w:val="005738A0"/>
    <w:rsid w:val="005900BB"/>
    <w:rsid w:val="00595642"/>
    <w:rsid w:val="005D7878"/>
    <w:rsid w:val="00601878"/>
    <w:rsid w:val="0062502B"/>
    <w:rsid w:val="00643247"/>
    <w:rsid w:val="00664B5C"/>
    <w:rsid w:val="00670B19"/>
    <w:rsid w:val="006738B4"/>
    <w:rsid w:val="00685270"/>
    <w:rsid w:val="006C18BF"/>
    <w:rsid w:val="006D0E8D"/>
    <w:rsid w:val="006F6CF7"/>
    <w:rsid w:val="007237C8"/>
    <w:rsid w:val="00726B6B"/>
    <w:rsid w:val="007308F8"/>
    <w:rsid w:val="00743D67"/>
    <w:rsid w:val="0076101A"/>
    <w:rsid w:val="007871AC"/>
    <w:rsid w:val="007E1809"/>
    <w:rsid w:val="007E72BC"/>
    <w:rsid w:val="007F10B1"/>
    <w:rsid w:val="00804499"/>
    <w:rsid w:val="00820259"/>
    <w:rsid w:val="00821E83"/>
    <w:rsid w:val="00832BC6"/>
    <w:rsid w:val="00872F06"/>
    <w:rsid w:val="008A07D2"/>
    <w:rsid w:val="008A07FC"/>
    <w:rsid w:val="008D52D5"/>
    <w:rsid w:val="00906BB5"/>
    <w:rsid w:val="00963953"/>
    <w:rsid w:val="009F5C8B"/>
    <w:rsid w:val="00A11E96"/>
    <w:rsid w:val="00A4050D"/>
    <w:rsid w:val="00A71817"/>
    <w:rsid w:val="00A71B22"/>
    <w:rsid w:val="00A76F5F"/>
    <w:rsid w:val="00AE13DB"/>
    <w:rsid w:val="00AE5F8B"/>
    <w:rsid w:val="00B01147"/>
    <w:rsid w:val="00B203F2"/>
    <w:rsid w:val="00B361E5"/>
    <w:rsid w:val="00B426D3"/>
    <w:rsid w:val="00B56CE4"/>
    <w:rsid w:val="00B65E2E"/>
    <w:rsid w:val="00B71736"/>
    <w:rsid w:val="00BA1E0B"/>
    <w:rsid w:val="00BC2564"/>
    <w:rsid w:val="00C01C78"/>
    <w:rsid w:val="00C70C33"/>
    <w:rsid w:val="00CA160A"/>
    <w:rsid w:val="00CB098E"/>
    <w:rsid w:val="00D03031"/>
    <w:rsid w:val="00D12621"/>
    <w:rsid w:val="00D3742D"/>
    <w:rsid w:val="00D6223C"/>
    <w:rsid w:val="00D80571"/>
    <w:rsid w:val="00E004BC"/>
    <w:rsid w:val="00E00EB5"/>
    <w:rsid w:val="00E20164"/>
    <w:rsid w:val="00E36DBD"/>
    <w:rsid w:val="00E65354"/>
    <w:rsid w:val="00E814DB"/>
    <w:rsid w:val="00E902EC"/>
    <w:rsid w:val="00EA6C98"/>
    <w:rsid w:val="00F13202"/>
    <w:rsid w:val="00F17276"/>
    <w:rsid w:val="00F42D3F"/>
    <w:rsid w:val="00F634C4"/>
    <w:rsid w:val="00F74615"/>
    <w:rsid w:val="00F97A88"/>
    <w:rsid w:val="00FA4F47"/>
    <w:rsid w:val="00FB5EE7"/>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902EC"/>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4C14F4"/>
    <w:pPr>
      <w:ind w:left="720"/>
      <w:contextualSpacing/>
    </w:pPr>
  </w:style>
  <w:style w:type="table" w:styleId="LightList-Accent5">
    <w:name w:val="Light List Accent 5"/>
    <w:basedOn w:val="TableNormal"/>
    <w:uiPriority w:val="61"/>
    <w:rsid w:val="00543C82"/>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tvija.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26</TotalTime>
  <Pages>3</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Maris Jansons</cp:lastModifiedBy>
  <cp:revision>5</cp:revision>
  <dcterms:created xsi:type="dcterms:W3CDTF">2014-05-26T14:41:00Z</dcterms:created>
  <dcterms:modified xsi:type="dcterms:W3CDTF">2014-05-30T07:50:00Z</dcterms:modified>
</cp:coreProperties>
</file>