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71" w:rsidRPr="00C32D60" w:rsidRDefault="00CB098E" w:rsidP="008D52D5">
      <w:pPr>
        <w:spacing w:after="0" w:line="276" w:lineRule="auto"/>
        <w:rPr>
          <w:b/>
          <w:sz w:val="22"/>
          <w:lang w:val="lv-LV"/>
        </w:rPr>
      </w:pPr>
      <w:r w:rsidRPr="00C32D60">
        <w:rPr>
          <w:b/>
          <w:sz w:val="22"/>
          <w:lang w:val="lv-LV"/>
        </w:rPr>
        <w:t>Ekspertu diskusijas protokols</w:t>
      </w:r>
    </w:p>
    <w:p w:rsidR="00670B19" w:rsidRDefault="00670B19" w:rsidP="008D52D5">
      <w:pPr>
        <w:spacing w:after="0" w:line="276" w:lineRule="auto"/>
        <w:rPr>
          <w:lang w:val="lv-LV"/>
        </w:rPr>
      </w:pPr>
    </w:p>
    <w:p w:rsidR="000454C1" w:rsidRDefault="00595642" w:rsidP="008D52D5">
      <w:pPr>
        <w:spacing w:after="0" w:line="276" w:lineRule="auto"/>
        <w:rPr>
          <w:lang w:val="lv-LV"/>
        </w:rPr>
      </w:pPr>
      <w:r>
        <w:rPr>
          <w:lang w:val="lv-LV"/>
        </w:rPr>
        <w:t>2014. gada 22</w:t>
      </w:r>
      <w:r w:rsidR="000454C1">
        <w:rPr>
          <w:lang w:val="lv-LV"/>
        </w:rPr>
        <w:t xml:space="preserve">. </w:t>
      </w:r>
      <w:r w:rsidR="00FA4F47">
        <w:rPr>
          <w:lang w:val="lv-LV"/>
        </w:rPr>
        <w:t>m</w:t>
      </w:r>
      <w:r w:rsidR="000454C1">
        <w:rPr>
          <w:lang w:val="lv-LV"/>
        </w:rPr>
        <w:t>aijā</w:t>
      </w:r>
    </w:p>
    <w:p w:rsidR="0011450C" w:rsidRDefault="0011450C" w:rsidP="008D52D5">
      <w:pPr>
        <w:spacing w:after="0" w:line="276" w:lineRule="auto"/>
        <w:rPr>
          <w:lang w:val="lv-LV"/>
        </w:rPr>
      </w:pPr>
    </w:p>
    <w:p w:rsidR="000454C1" w:rsidRDefault="000454C1" w:rsidP="008D52D5">
      <w:pPr>
        <w:spacing w:after="0" w:line="276" w:lineRule="auto"/>
        <w:rPr>
          <w:lang w:val="lv-LV"/>
        </w:rPr>
      </w:pPr>
      <w:r>
        <w:rPr>
          <w:lang w:val="lv-LV"/>
        </w:rPr>
        <w:t xml:space="preserve">Norises vieta: Ekonomikas ministrija, </w:t>
      </w:r>
      <w:r w:rsidR="00FA4F47">
        <w:rPr>
          <w:lang w:val="lv-LV"/>
        </w:rPr>
        <w:t>Brīvības iela 55, LV-1519</w:t>
      </w:r>
    </w:p>
    <w:p w:rsidR="000454C1" w:rsidRDefault="00595642" w:rsidP="008D52D5">
      <w:pPr>
        <w:spacing w:after="0" w:line="276" w:lineRule="auto"/>
        <w:rPr>
          <w:lang w:val="lv-LV"/>
        </w:rPr>
      </w:pPr>
      <w:r>
        <w:rPr>
          <w:lang w:val="lv-LV"/>
        </w:rPr>
        <w:t>Sēdes sākums: 11.3</w:t>
      </w:r>
      <w:r w:rsidR="000454C1">
        <w:rPr>
          <w:lang w:val="lv-LV"/>
        </w:rPr>
        <w:t>0</w:t>
      </w:r>
    </w:p>
    <w:p w:rsidR="00C32D60" w:rsidRDefault="000454C1" w:rsidP="008D52D5">
      <w:pPr>
        <w:spacing w:after="0" w:line="240" w:lineRule="auto"/>
        <w:rPr>
          <w:lang w:val="lv-LV"/>
        </w:rPr>
      </w:pPr>
      <w:r>
        <w:rPr>
          <w:lang w:val="lv-LV"/>
        </w:rPr>
        <w:t xml:space="preserve">Sēdē piedalās: </w:t>
      </w:r>
      <w:r w:rsidR="008D52D5">
        <w:rPr>
          <w:lang w:val="lv-LV"/>
        </w:rPr>
        <w:tab/>
      </w:r>
      <w:r w:rsidR="008D52D5">
        <w:rPr>
          <w:lang w:val="lv-LV"/>
        </w:rPr>
        <w:tab/>
      </w:r>
    </w:p>
    <w:p w:rsidR="00C32D60" w:rsidRDefault="00C32D60" w:rsidP="008D52D5">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C32D60" w:rsidRPr="00C32D60" w:rsidTr="00C32D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proofErr w:type="spellStart"/>
            <w:r w:rsidRPr="00C32D60">
              <w:rPr>
                <w:sz w:val="18"/>
                <w:szCs w:val="18"/>
                <w:lang w:val="lv-LV"/>
              </w:rPr>
              <w:t>Nr</w:t>
            </w:r>
            <w:proofErr w:type="spellEnd"/>
            <w:r w:rsidRPr="00C32D60">
              <w:rPr>
                <w:sz w:val="18"/>
                <w:szCs w:val="18"/>
                <w:lang w:val="lv-LV"/>
              </w:rPr>
              <w:t>.</w:t>
            </w:r>
          </w:p>
        </w:tc>
        <w:tc>
          <w:tcPr>
            <w:tcW w:w="1842" w:type="dxa"/>
          </w:tcPr>
          <w:p w:rsidR="00C32D60" w:rsidRPr="00C32D60" w:rsidRDefault="00C32D60" w:rsidP="008D52D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Dalībnieka Vārds, Uzvārds</w:t>
            </w:r>
          </w:p>
        </w:tc>
        <w:tc>
          <w:tcPr>
            <w:tcW w:w="2694" w:type="dxa"/>
          </w:tcPr>
          <w:p w:rsidR="00C32D60" w:rsidRPr="00C32D60" w:rsidRDefault="00C32D60" w:rsidP="008D52D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Pārstāvētā iestāde/organizācija</w:t>
            </w:r>
          </w:p>
        </w:tc>
        <w:tc>
          <w:tcPr>
            <w:tcW w:w="4216" w:type="dxa"/>
          </w:tcPr>
          <w:p w:rsidR="00C32D60" w:rsidRPr="00C32D60" w:rsidRDefault="00C32D60" w:rsidP="008D52D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Amats</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 xml:space="preserve">Ilze </w:t>
            </w:r>
            <w:proofErr w:type="spellStart"/>
            <w:r w:rsidRPr="00C32D60">
              <w:rPr>
                <w:sz w:val="18"/>
                <w:szCs w:val="18"/>
                <w:lang w:val="lv-LV"/>
              </w:rPr>
              <w:t>Beināre</w:t>
            </w:r>
            <w:proofErr w:type="spellEnd"/>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LR Ekonomikas ministrija</w:t>
            </w:r>
          </w:p>
        </w:tc>
        <w:tc>
          <w:tcPr>
            <w:tcW w:w="4216" w:type="dxa"/>
          </w:tcPr>
          <w:p w:rsidR="00C32D60" w:rsidRPr="00C32D60" w:rsidRDefault="00ED54FE"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ED54FE">
              <w:rPr>
                <w:sz w:val="18"/>
                <w:szCs w:val="18"/>
                <w:lang w:val="lv-LV"/>
              </w:rPr>
              <w:t>Uzņēmējdarbības konkurētspējas departamenta direktore</w:t>
            </w:r>
          </w:p>
        </w:tc>
      </w:tr>
      <w:tr w:rsidR="00C32D60" w:rsidRPr="008D584A"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2.</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Ilze </w:t>
            </w:r>
            <w:proofErr w:type="spellStart"/>
            <w:r w:rsidRPr="00C32D60">
              <w:rPr>
                <w:sz w:val="18"/>
                <w:szCs w:val="18"/>
                <w:lang w:val="lv-LV"/>
              </w:rPr>
              <w:t>Lore</w:t>
            </w:r>
            <w:proofErr w:type="spellEnd"/>
            <w:r w:rsidRPr="00C32D60">
              <w:rPr>
                <w:sz w:val="18"/>
                <w:szCs w:val="18"/>
                <w:lang w:val="lv-LV"/>
              </w:rPr>
              <w:t xml:space="preserve"> </w:t>
            </w:r>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LR Ekonomikas ministrija</w:t>
            </w:r>
          </w:p>
        </w:tc>
        <w:tc>
          <w:tcPr>
            <w:tcW w:w="4216" w:type="dxa"/>
          </w:tcPr>
          <w:p w:rsidR="00C32D60" w:rsidRPr="00ED54FE" w:rsidRDefault="00ED54FE" w:rsidP="00ED54FE">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ED54FE">
              <w:rPr>
                <w:sz w:val="18"/>
                <w:szCs w:val="18"/>
                <w:lang w:val="lv-LV"/>
              </w:rPr>
              <w:t>Uzņēmējdarbības vides uzlabošanas nodaļas vadītāja</w:t>
            </w:r>
            <w:r w:rsidRPr="00ED54FE">
              <w:rPr>
                <w:sz w:val="18"/>
                <w:szCs w:val="18"/>
                <w:lang w:val="lv-LV"/>
              </w:rPr>
              <w:tab/>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3.</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Anita Kalniņa</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PricewaterhouseCoopers SIA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Projektu vadītāja</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4.</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Ilze Puķīte</w:t>
            </w:r>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PricewaterhouseCoopers SIA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Konsultante</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5.</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Māris Jansons</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PricewaterhouseCoopers SIA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Jaunākais konsultants</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6.</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Aigars Freimanis</w:t>
            </w:r>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Latvijas Fakti SIA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Valdes priekšsēdētājs</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7.</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Elīna Rītiņa</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Latvijas Tirdzniecības un rūpniecības kamera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Padomes locekle</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8.</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Ilze </w:t>
            </w:r>
            <w:proofErr w:type="spellStart"/>
            <w:r w:rsidRPr="00C32D60">
              <w:rPr>
                <w:sz w:val="18"/>
                <w:szCs w:val="18"/>
                <w:lang w:val="lv-LV"/>
              </w:rPr>
              <w:t>Skujeniece</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Centrālā statistikas pārvalde</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Uzņēmumu statistikas departamenta direktore</w:t>
            </w:r>
          </w:p>
        </w:tc>
      </w:tr>
      <w:tr w:rsidR="00C32D60" w:rsidRPr="008D584A"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9.</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 xml:space="preserve">Ramona </w:t>
            </w:r>
            <w:proofErr w:type="spellStart"/>
            <w:r w:rsidRPr="00C32D60">
              <w:rPr>
                <w:sz w:val="18"/>
                <w:szCs w:val="18"/>
                <w:lang w:val="lv-LV"/>
              </w:rPr>
              <w:t>Skakunova</w:t>
            </w:r>
            <w:proofErr w:type="spellEnd"/>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Centrālā statistikas pārvalde</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Statistikas datu apstrādes departamenta direktore</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10.</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Kaspars </w:t>
            </w:r>
            <w:proofErr w:type="spellStart"/>
            <w:r w:rsidRPr="00C32D60">
              <w:rPr>
                <w:sz w:val="18"/>
                <w:szCs w:val="18"/>
                <w:lang w:val="lv-LV"/>
              </w:rPr>
              <w:t>Rutkis</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Latvijas Grāmatvedības ārpakalpojumu asociācija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Valdes loceklis</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11.</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 xml:space="preserve">Dana </w:t>
            </w:r>
            <w:proofErr w:type="spellStart"/>
            <w:r w:rsidRPr="00C32D60">
              <w:rPr>
                <w:sz w:val="18"/>
                <w:szCs w:val="18"/>
                <w:lang w:val="lv-LV"/>
              </w:rPr>
              <w:t>Muceniece</w:t>
            </w:r>
            <w:proofErr w:type="spellEnd"/>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Latvijas nodokļu maksātāju tiesību asociācija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Valdes priekšsēdētāja</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12.</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Diāna </w:t>
            </w:r>
            <w:proofErr w:type="spellStart"/>
            <w:r w:rsidRPr="00C32D60">
              <w:rPr>
                <w:sz w:val="18"/>
                <w:szCs w:val="18"/>
                <w:lang w:val="lv-LV"/>
              </w:rPr>
              <w:t>Andžāne</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Latvijas Pašvaldību savienība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Padomniece uzņēmējdarbības jautājumos</w:t>
            </w:r>
          </w:p>
        </w:tc>
      </w:tr>
      <w:tr w:rsidR="00C32D60" w:rsidRPr="008D584A"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13.</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Inese Gaile</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Vides aizsardzības un reģionālās attīstības ministrija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VARAM Publisko pakalpojumu departamenta Elektronisko pakalpojumu nodaļas Vecākais konsultants</w:t>
            </w:r>
          </w:p>
        </w:tc>
      </w:tr>
      <w:tr w:rsidR="00C32D60" w:rsidRPr="008D584A"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14.</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Laura </w:t>
            </w:r>
            <w:proofErr w:type="spellStart"/>
            <w:r w:rsidRPr="00C32D60">
              <w:rPr>
                <w:sz w:val="18"/>
                <w:szCs w:val="18"/>
                <w:lang w:val="lv-LV"/>
              </w:rPr>
              <w:t>Anteina</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Vides aizsardzības un reģionālās attīstības ministrija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Reģionālās politikas departamenta direktora vietniece – Reģionālās ekonomikas nodaļas vadītāja</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15.</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 xml:space="preserve">Olga </w:t>
            </w:r>
            <w:proofErr w:type="spellStart"/>
            <w:r w:rsidRPr="00C32D60">
              <w:rPr>
                <w:sz w:val="18"/>
                <w:szCs w:val="18"/>
                <w:lang w:val="lv-LV"/>
              </w:rPr>
              <w:t>Zadorožnaja</w:t>
            </w:r>
            <w:proofErr w:type="spellEnd"/>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LR</w:t>
            </w:r>
            <w:r w:rsidRPr="00C32D60">
              <w:rPr>
                <w:sz w:val="18"/>
                <w:szCs w:val="18"/>
                <w:lang w:val="lv-LV"/>
              </w:rPr>
              <w:t xml:space="preserve"> Grāmatvežu asociācija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Izpilddirektore</w:t>
            </w:r>
          </w:p>
        </w:tc>
      </w:tr>
      <w:tr w:rsidR="00C32D60" w:rsidRPr="00C32D60"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16.</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Inese </w:t>
            </w:r>
            <w:proofErr w:type="spellStart"/>
            <w:r w:rsidRPr="00C32D60">
              <w:rPr>
                <w:sz w:val="18"/>
                <w:szCs w:val="18"/>
                <w:lang w:val="lv-LV"/>
              </w:rPr>
              <w:t>Olafsone</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Latvijas Darba devēju konfederācija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w:t>
            </w:r>
          </w:p>
        </w:tc>
      </w:tr>
      <w:tr w:rsidR="00C32D60" w:rsidRPr="008D584A"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17.</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Dace Pelēkā</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Valsts ieņēmumu dienests</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VID Nodokļu pārvaldes direktora vietniece</w:t>
            </w:r>
          </w:p>
        </w:tc>
      </w:tr>
      <w:tr w:rsidR="00C32D60" w:rsidRPr="008D584A"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18.</w:t>
            </w:r>
          </w:p>
        </w:tc>
        <w:tc>
          <w:tcPr>
            <w:tcW w:w="1842" w:type="dxa"/>
          </w:tcPr>
          <w:p w:rsidR="00C32D60" w:rsidRPr="00C32D60" w:rsidRDefault="00C32D60" w:rsidP="001E1463">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Ilze Mīļā</w:t>
            </w:r>
          </w:p>
        </w:tc>
        <w:tc>
          <w:tcPr>
            <w:tcW w:w="2694" w:type="dxa"/>
          </w:tcPr>
          <w:p w:rsidR="00C32D60" w:rsidRPr="00C32D60" w:rsidRDefault="00C32D60" w:rsidP="00B9775F">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Valsts ieņēmumu dienests</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VID Nodokļu pārvaldes Informācijas sistēmu atbalsta daļas vadītāja</w:t>
            </w:r>
          </w:p>
        </w:tc>
      </w:tr>
      <w:tr w:rsidR="00C32D60" w:rsidRPr="008D584A"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19.</w:t>
            </w:r>
          </w:p>
        </w:tc>
        <w:tc>
          <w:tcPr>
            <w:tcW w:w="1842" w:type="dxa"/>
          </w:tcPr>
          <w:p w:rsidR="00C32D60" w:rsidRPr="00C32D60" w:rsidRDefault="00C32D60" w:rsidP="001E1463">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 xml:space="preserve">Daina </w:t>
            </w:r>
            <w:proofErr w:type="spellStart"/>
            <w:r w:rsidRPr="00C32D60">
              <w:rPr>
                <w:sz w:val="18"/>
                <w:szCs w:val="18"/>
                <w:lang w:val="lv-LV"/>
              </w:rPr>
              <w:t>Robežniece</w:t>
            </w:r>
            <w:proofErr w:type="spellEnd"/>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LR</w:t>
            </w:r>
            <w:r w:rsidRPr="00C32D60">
              <w:rPr>
                <w:sz w:val="18"/>
                <w:szCs w:val="18"/>
                <w:lang w:val="lv-LV"/>
              </w:rPr>
              <w:t xml:space="preserve"> Finanšu ministrija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Finanšu ministrijas konsultante nodokļu likumdošanas koordinācijas jautājumos</w:t>
            </w:r>
          </w:p>
        </w:tc>
      </w:tr>
      <w:tr w:rsidR="00C32D60" w:rsidRPr="008D584A" w:rsidTr="00C32D60">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20.</w:t>
            </w:r>
          </w:p>
        </w:tc>
        <w:tc>
          <w:tcPr>
            <w:tcW w:w="1842" w:type="dxa"/>
          </w:tcPr>
          <w:p w:rsidR="00C32D60" w:rsidRPr="00C32D60" w:rsidRDefault="00C32D60" w:rsidP="006A2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 xml:space="preserve">Edgars </w:t>
            </w:r>
            <w:proofErr w:type="spellStart"/>
            <w:r w:rsidRPr="00C32D60">
              <w:rPr>
                <w:sz w:val="18"/>
                <w:szCs w:val="18"/>
                <w:lang w:val="lv-LV"/>
              </w:rPr>
              <w:t>Šidlovskis</w:t>
            </w:r>
            <w:proofErr w:type="spellEnd"/>
          </w:p>
        </w:tc>
        <w:tc>
          <w:tcPr>
            <w:tcW w:w="2694"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LR</w:t>
            </w:r>
            <w:r w:rsidRPr="00C32D60">
              <w:rPr>
                <w:sz w:val="18"/>
                <w:szCs w:val="18"/>
                <w:lang w:val="lv-LV"/>
              </w:rPr>
              <w:t xml:space="preserve"> Finanšu ministrija</w:t>
            </w:r>
          </w:p>
        </w:tc>
        <w:tc>
          <w:tcPr>
            <w:tcW w:w="4216" w:type="dxa"/>
          </w:tcPr>
          <w:p w:rsidR="00C32D60" w:rsidRPr="00C32D60" w:rsidRDefault="00C32D60" w:rsidP="008D52D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Finanšu ministrijas Nodokļu administrēšanas un grāmatvedības politikas departamenta vecākais eksperts</w:t>
            </w:r>
          </w:p>
        </w:tc>
      </w:tr>
      <w:tr w:rsidR="00C32D60" w:rsidRPr="00C32D60" w:rsidTr="00C32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C32D60" w:rsidRPr="00C32D60" w:rsidRDefault="00C32D60" w:rsidP="008D52D5">
            <w:pPr>
              <w:spacing w:after="0" w:line="240" w:lineRule="auto"/>
              <w:rPr>
                <w:sz w:val="18"/>
                <w:szCs w:val="18"/>
                <w:lang w:val="lv-LV"/>
              </w:rPr>
            </w:pPr>
            <w:r w:rsidRPr="00C32D60">
              <w:rPr>
                <w:sz w:val="18"/>
                <w:szCs w:val="18"/>
                <w:lang w:val="lv-LV"/>
              </w:rPr>
              <w:t>21.</w:t>
            </w:r>
          </w:p>
        </w:tc>
        <w:tc>
          <w:tcPr>
            <w:tcW w:w="1842" w:type="dxa"/>
          </w:tcPr>
          <w:p w:rsidR="00C32D60" w:rsidRPr="00C32D60" w:rsidRDefault="00C32D60" w:rsidP="006A2A05">
            <w:pPr>
              <w:spacing w:after="0"/>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Mārtiņš Zemītis</w:t>
            </w:r>
          </w:p>
        </w:tc>
        <w:tc>
          <w:tcPr>
            <w:tcW w:w="2694"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 xml:space="preserve">LR </w:t>
            </w:r>
            <w:r w:rsidRPr="00C32D60">
              <w:rPr>
                <w:sz w:val="18"/>
                <w:szCs w:val="18"/>
                <w:lang w:val="lv-LV"/>
              </w:rPr>
              <w:t>Ekonomikas Ministrija</w:t>
            </w:r>
          </w:p>
        </w:tc>
        <w:tc>
          <w:tcPr>
            <w:tcW w:w="4216" w:type="dxa"/>
          </w:tcPr>
          <w:p w:rsidR="00C32D60" w:rsidRPr="00C32D60" w:rsidRDefault="00C32D60" w:rsidP="008D52D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C32D60">
              <w:rPr>
                <w:sz w:val="18"/>
                <w:szCs w:val="18"/>
                <w:lang w:val="lv-LV"/>
              </w:rPr>
              <w:t>-</w:t>
            </w:r>
          </w:p>
        </w:tc>
      </w:tr>
    </w:tbl>
    <w:p w:rsidR="00C32D60" w:rsidRDefault="00C32D60" w:rsidP="008D52D5">
      <w:pPr>
        <w:spacing w:after="0" w:line="240" w:lineRule="auto"/>
        <w:rPr>
          <w:lang w:val="lv-LV"/>
        </w:rPr>
      </w:pPr>
    </w:p>
    <w:p w:rsidR="00C32D60" w:rsidRDefault="00C32D60" w:rsidP="008D52D5">
      <w:pPr>
        <w:spacing w:after="0" w:line="240" w:lineRule="auto"/>
        <w:rPr>
          <w:lang w:val="lv-LV"/>
        </w:rPr>
      </w:pPr>
    </w:p>
    <w:p w:rsidR="000454C1" w:rsidRDefault="000454C1" w:rsidP="008D52D5">
      <w:pPr>
        <w:spacing w:after="0" w:line="276" w:lineRule="auto"/>
        <w:rPr>
          <w:lang w:val="lv-LV"/>
        </w:rPr>
      </w:pPr>
      <w:r w:rsidRPr="00672342">
        <w:rPr>
          <w:lang w:val="lv-LV"/>
        </w:rPr>
        <w:t xml:space="preserve">Sēdi vada: </w:t>
      </w:r>
      <w:r w:rsidR="008D52D5" w:rsidRPr="00672342">
        <w:rPr>
          <w:lang w:val="lv-LV"/>
        </w:rPr>
        <w:t xml:space="preserve">Ilze </w:t>
      </w:r>
      <w:proofErr w:type="spellStart"/>
      <w:r w:rsidR="008D52D5" w:rsidRPr="00672342">
        <w:rPr>
          <w:lang w:val="lv-LV"/>
        </w:rPr>
        <w:t>Beināre</w:t>
      </w:r>
      <w:proofErr w:type="spellEnd"/>
    </w:p>
    <w:p w:rsidR="000454C1" w:rsidRDefault="000454C1" w:rsidP="008D52D5">
      <w:pPr>
        <w:spacing w:after="0" w:line="276" w:lineRule="auto"/>
        <w:rPr>
          <w:lang w:val="lv-LV"/>
        </w:rPr>
      </w:pPr>
      <w:r>
        <w:rPr>
          <w:lang w:val="lv-LV"/>
        </w:rPr>
        <w:t>Sēdi protokolē:</w:t>
      </w:r>
      <w:r w:rsidR="008D52D5">
        <w:rPr>
          <w:lang w:val="lv-LV"/>
        </w:rPr>
        <w:t xml:space="preserve"> </w:t>
      </w:r>
      <w:r w:rsidR="00595642">
        <w:rPr>
          <w:lang w:val="lv-LV"/>
        </w:rPr>
        <w:t>Māris Jansons</w:t>
      </w:r>
    </w:p>
    <w:p w:rsidR="00670B19" w:rsidRDefault="00670B19" w:rsidP="00AE5F8B">
      <w:pPr>
        <w:spacing w:after="0" w:line="276" w:lineRule="auto"/>
        <w:jc w:val="both"/>
        <w:rPr>
          <w:lang w:val="lv-LV"/>
        </w:rPr>
      </w:pPr>
      <w:r>
        <w:rPr>
          <w:lang w:val="lv-LV"/>
        </w:rPr>
        <w:lastRenderedPageBreak/>
        <w:t>Tikšanās mērķis</w:t>
      </w:r>
      <w:r w:rsidR="0011450C">
        <w:rPr>
          <w:lang w:val="lv-LV"/>
        </w:rPr>
        <w:t>: Diskusija par a</w:t>
      </w:r>
      <w:r>
        <w:rPr>
          <w:lang w:val="lv-LV"/>
        </w:rPr>
        <w:t xml:space="preserve">dministratīvo procedūru ietekme uz uzņēmējdarbības vidi. Ekspertu diskusija par priekšlikumiem attiecībā uz </w:t>
      </w:r>
      <w:r w:rsidR="00595642">
        <w:rPr>
          <w:lang w:val="lv-LV"/>
        </w:rPr>
        <w:t>nodokļu administrēšanu</w:t>
      </w:r>
      <w:r>
        <w:rPr>
          <w:lang w:val="lv-LV"/>
        </w:rPr>
        <w:t>.</w:t>
      </w:r>
    </w:p>
    <w:p w:rsidR="0011450C" w:rsidRDefault="0011450C" w:rsidP="00AE5F8B">
      <w:pPr>
        <w:spacing w:after="0" w:line="276" w:lineRule="auto"/>
        <w:jc w:val="both"/>
        <w:rPr>
          <w:lang w:val="lv-LV"/>
        </w:rPr>
      </w:pPr>
    </w:p>
    <w:p w:rsidR="000454C1" w:rsidRDefault="000454C1" w:rsidP="00AE5F8B">
      <w:pPr>
        <w:spacing w:after="0" w:line="276" w:lineRule="auto"/>
        <w:jc w:val="both"/>
        <w:rPr>
          <w:lang w:val="lv-LV"/>
        </w:rPr>
      </w:pPr>
      <w:r>
        <w:rPr>
          <w:lang w:val="lv-LV"/>
        </w:rPr>
        <w:t>Darba kārtība:</w:t>
      </w:r>
    </w:p>
    <w:p w:rsidR="004C14F4" w:rsidRDefault="00670B19" w:rsidP="00AE5F8B">
      <w:pPr>
        <w:pStyle w:val="ListParagraph"/>
        <w:numPr>
          <w:ilvl w:val="0"/>
          <w:numId w:val="1"/>
        </w:numPr>
        <w:spacing w:after="0" w:line="276" w:lineRule="auto"/>
        <w:jc w:val="both"/>
        <w:rPr>
          <w:lang w:val="lv-LV"/>
        </w:rPr>
      </w:pPr>
      <w:r>
        <w:rPr>
          <w:lang w:val="lv-LV"/>
        </w:rPr>
        <w:t>Prezentācija ekspertu grupai</w:t>
      </w:r>
      <w:r w:rsidR="004C14F4">
        <w:rPr>
          <w:lang w:val="lv-LV"/>
        </w:rPr>
        <w:t xml:space="preserve"> </w:t>
      </w:r>
      <w:r>
        <w:rPr>
          <w:lang w:val="lv-LV"/>
        </w:rPr>
        <w:t>p</w:t>
      </w:r>
      <w:r w:rsidR="004C14F4">
        <w:rPr>
          <w:lang w:val="lv-LV"/>
        </w:rPr>
        <w:t>ar uzņēmēju aptaujas, Doing Business pētījuma un Globālās Konkurētspējas indeksa rezultātiem;</w:t>
      </w:r>
    </w:p>
    <w:p w:rsidR="004C14F4" w:rsidRDefault="00670B19" w:rsidP="00AE5F8B">
      <w:pPr>
        <w:pStyle w:val="ListParagraph"/>
        <w:numPr>
          <w:ilvl w:val="0"/>
          <w:numId w:val="1"/>
        </w:numPr>
        <w:spacing w:after="0" w:line="276" w:lineRule="auto"/>
        <w:jc w:val="both"/>
        <w:rPr>
          <w:lang w:val="lv-LV"/>
        </w:rPr>
      </w:pPr>
      <w:r>
        <w:rPr>
          <w:lang w:val="lv-LV"/>
        </w:rPr>
        <w:t>Diskusiju tēmas</w:t>
      </w:r>
      <w:r w:rsidR="00F97A88">
        <w:rPr>
          <w:lang w:val="lv-LV"/>
        </w:rPr>
        <w:t xml:space="preserve"> un priekšlikumi par </w:t>
      </w:r>
      <w:r w:rsidR="00595642">
        <w:rPr>
          <w:lang w:val="lv-LV"/>
        </w:rPr>
        <w:t>nodokļu administrēšanas jomu</w:t>
      </w:r>
      <w:r>
        <w:rPr>
          <w:lang w:val="lv-LV"/>
        </w:rPr>
        <w:t>.</w:t>
      </w:r>
    </w:p>
    <w:p w:rsidR="00670B19" w:rsidRPr="00670B19" w:rsidRDefault="00670B19" w:rsidP="00AE5F8B">
      <w:pPr>
        <w:spacing w:after="0" w:line="276" w:lineRule="auto"/>
        <w:jc w:val="both"/>
        <w:rPr>
          <w:lang w:val="lv-LV"/>
        </w:rPr>
      </w:pPr>
    </w:p>
    <w:p w:rsidR="000454C1" w:rsidRDefault="00F97A88" w:rsidP="00AE5F8B">
      <w:pPr>
        <w:spacing w:after="0" w:line="276" w:lineRule="auto"/>
        <w:jc w:val="both"/>
        <w:rPr>
          <w:lang w:val="lv-LV"/>
        </w:rPr>
      </w:pPr>
      <w:r>
        <w:rPr>
          <w:lang w:val="lv-LV"/>
        </w:rPr>
        <w:t>Tikšanās rezultāti:</w:t>
      </w:r>
    </w:p>
    <w:p w:rsidR="00303068" w:rsidRDefault="00303068" w:rsidP="00303068">
      <w:pPr>
        <w:pStyle w:val="ListParagraph"/>
        <w:numPr>
          <w:ilvl w:val="0"/>
          <w:numId w:val="2"/>
        </w:numPr>
        <w:spacing w:after="0" w:line="276" w:lineRule="auto"/>
        <w:jc w:val="both"/>
        <w:rPr>
          <w:lang w:val="lv-LV"/>
        </w:rPr>
      </w:pPr>
      <w:r>
        <w:rPr>
          <w:lang w:val="lv-LV"/>
        </w:rPr>
        <w:t>Pārrunāti uzņēmēju aptaujas rezultāti (A.Freimanis izstāsta par nodokļu administrēšanas jomā):</w:t>
      </w:r>
    </w:p>
    <w:p w:rsidR="003F7E07" w:rsidRPr="0024357C" w:rsidRDefault="003F7E07" w:rsidP="00303068">
      <w:pPr>
        <w:pStyle w:val="ListParagraph"/>
        <w:numPr>
          <w:ilvl w:val="1"/>
          <w:numId w:val="2"/>
        </w:numPr>
        <w:spacing w:after="0" w:line="276" w:lineRule="auto"/>
        <w:jc w:val="both"/>
        <w:rPr>
          <w:lang w:val="lv-LV"/>
        </w:rPr>
      </w:pPr>
      <w:r w:rsidRPr="0024357C">
        <w:rPr>
          <w:lang w:val="lv-LV"/>
        </w:rPr>
        <w:t xml:space="preserve">Daina </w:t>
      </w:r>
      <w:proofErr w:type="spellStart"/>
      <w:r w:rsidRPr="0024357C">
        <w:rPr>
          <w:lang w:val="lv-LV"/>
        </w:rPr>
        <w:t>Robežniece</w:t>
      </w:r>
      <w:proofErr w:type="spellEnd"/>
      <w:r w:rsidRPr="0024357C">
        <w:rPr>
          <w:lang w:val="lv-LV"/>
        </w:rPr>
        <w:t xml:space="preserve"> (FM) izvirza komentāru par aptaujas būtību un tajā ietverto jautājumu atbilstību, atsaucoties uz ietverto jautājumu par nodokļu likmēm, kas nav administratīvs process. Rezultātā izvēršas plaša diskusija par aptaujā iekļauto jautājumu. Diskusijas rezultātā </w:t>
      </w:r>
      <w:r w:rsidR="00BB0B0E" w:rsidRPr="0024357C">
        <w:rPr>
          <w:lang w:val="lv-LV"/>
        </w:rPr>
        <w:t>Dain</w:t>
      </w:r>
      <w:r w:rsidRPr="0024357C">
        <w:rPr>
          <w:lang w:val="lv-LV"/>
        </w:rPr>
        <w:t>a</w:t>
      </w:r>
      <w:r w:rsidR="00BB0B0E" w:rsidRPr="0024357C">
        <w:rPr>
          <w:lang w:val="lv-LV"/>
        </w:rPr>
        <w:t xml:space="preserve"> </w:t>
      </w:r>
      <w:proofErr w:type="spellStart"/>
      <w:r w:rsidR="00303068" w:rsidRPr="0024357C">
        <w:rPr>
          <w:lang w:val="lv-LV"/>
        </w:rPr>
        <w:t>Robežn</w:t>
      </w:r>
      <w:r w:rsidR="00BB0B0E" w:rsidRPr="0024357C">
        <w:rPr>
          <w:lang w:val="lv-LV"/>
        </w:rPr>
        <w:t>iece</w:t>
      </w:r>
      <w:proofErr w:type="spellEnd"/>
      <w:r w:rsidR="00BB0B0E" w:rsidRPr="0024357C">
        <w:rPr>
          <w:lang w:val="lv-LV"/>
        </w:rPr>
        <w:t xml:space="preserve"> (FM) izvirza ieteikumu</w:t>
      </w:r>
      <w:r w:rsidR="00303068" w:rsidRPr="0024357C">
        <w:rPr>
          <w:lang w:val="lv-LV"/>
        </w:rPr>
        <w:t xml:space="preserve"> turpmāk anketu</w:t>
      </w:r>
      <w:r w:rsidR="00BB0B0E" w:rsidRPr="0024357C">
        <w:rPr>
          <w:lang w:val="lv-LV"/>
        </w:rPr>
        <w:t xml:space="preserve"> sadalīt divās daļās:</w:t>
      </w:r>
      <w:r w:rsidR="00303068" w:rsidRPr="0024357C">
        <w:rPr>
          <w:lang w:val="lv-LV"/>
        </w:rPr>
        <w:t xml:space="preserve"> </w:t>
      </w:r>
      <w:r w:rsidR="00BB0B0E" w:rsidRPr="0024357C">
        <w:rPr>
          <w:lang w:val="lv-LV"/>
        </w:rPr>
        <w:t xml:space="preserve">(1) </w:t>
      </w:r>
      <w:r w:rsidR="00303068" w:rsidRPr="0024357C">
        <w:rPr>
          <w:lang w:val="lv-LV"/>
        </w:rPr>
        <w:t>uzņēmējdarbības vides analīze un</w:t>
      </w:r>
      <w:r w:rsidR="00BB0B0E" w:rsidRPr="0024357C">
        <w:rPr>
          <w:lang w:val="lv-LV"/>
        </w:rPr>
        <w:t xml:space="preserve"> (2) administratīvo procedūru analīze.</w:t>
      </w:r>
      <w:r w:rsidRPr="0024357C">
        <w:rPr>
          <w:lang w:val="lv-LV"/>
        </w:rPr>
        <w:t xml:space="preserve"> </w:t>
      </w:r>
    </w:p>
    <w:p w:rsidR="00BB0B0E" w:rsidRDefault="003F7E07" w:rsidP="0024357C">
      <w:pPr>
        <w:pStyle w:val="ListParagraph"/>
        <w:numPr>
          <w:ilvl w:val="1"/>
          <w:numId w:val="2"/>
        </w:numPr>
        <w:spacing w:after="0" w:line="276" w:lineRule="auto"/>
        <w:jc w:val="both"/>
        <w:rPr>
          <w:lang w:val="lv-LV"/>
        </w:rPr>
      </w:pPr>
      <w:r>
        <w:rPr>
          <w:lang w:val="lv-LV"/>
        </w:rPr>
        <w:t>Diskusiju rezultātā tiek izvirzīts i</w:t>
      </w:r>
      <w:r w:rsidRPr="00303068">
        <w:rPr>
          <w:lang w:val="lv-LV"/>
        </w:rPr>
        <w:t xml:space="preserve">eteikums </w:t>
      </w:r>
      <w:r>
        <w:rPr>
          <w:lang w:val="lv-LV"/>
        </w:rPr>
        <w:t>papildināt aptaujas anketu ar jautājumiem par e-pakalpojumiem, piemēram</w:t>
      </w:r>
      <w:r w:rsidR="0024357C">
        <w:rPr>
          <w:lang w:val="lv-LV"/>
        </w:rPr>
        <w:t>, - v</w:t>
      </w:r>
      <w:r>
        <w:rPr>
          <w:lang w:val="lv-LV"/>
        </w:rPr>
        <w:t>ai uzņēmējs ieiet EDS sistēmā</w:t>
      </w:r>
      <w:r w:rsidRPr="00303068">
        <w:rPr>
          <w:lang w:val="lv-LV"/>
        </w:rPr>
        <w:t xml:space="preserve"> pats</w:t>
      </w:r>
      <w:r>
        <w:rPr>
          <w:lang w:val="lv-LV"/>
        </w:rPr>
        <w:t xml:space="preserve"> (vai ārpakalpojuma sniedzējs)</w:t>
      </w:r>
      <w:r w:rsidR="0024357C">
        <w:rPr>
          <w:lang w:val="lv-LV"/>
        </w:rPr>
        <w:t xml:space="preserve">, cik </w:t>
      </w:r>
      <w:r w:rsidRPr="00303068">
        <w:rPr>
          <w:lang w:val="lv-LV"/>
        </w:rPr>
        <w:t xml:space="preserve">bieži </w:t>
      </w:r>
      <w:r>
        <w:rPr>
          <w:lang w:val="lv-LV"/>
        </w:rPr>
        <w:t>uzņēmēji izmanto EDS sistēmu</w:t>
      </w:r>
      <w:r w:rsidR="0024357C">
        <w:rPr>
          <w:lang w:val="lv-LV"/>
        </w:rPr>
        <w:t xml:space="preserve">. </w:t>
      </w:r>
      <w:r w:rsidR="00BB0B0E" w:rsidRPr="0024357C">
        <w:rPr>
          <w:lang w:val="lv-LV"/>
        </w:rPr>
        <w:t>Tiek nolemts minētos ieteikumus ņemt vērā pie nākamās aptaujas anketas izstrādes.</w:t>
      </w:r>
    </w:p>
    <w:p w:rsidR="0024357C" w:rsidRDefault="0024357C" w:rsidP="0024357C">
      <w:pPr>
        <w:pStyle w:val="ListParagraph"/>
        <w:numPr>
          <w:ilvl w:val="1"/>
          <w:numId w:val="2"/>
        </w:numPr>
        <w:spacing w:after="0" w:line="276" w:lineRule="auto"/>
        <w:jc w:val="both"/>
        <w:rPr>
          <w:lang w:val="lv-LV"/>
        </w:rPr>
      </w:pPr>
      <w:r>
        <w:rPr>
          <w:lang w:val="lv-LV"/>
        </w:rPr>
        <w:t>Precizēt nākamajās aptaujās, vai jautājumi attiecas gan uz nodokļiem, gan nodevām.</w:t>
      </w:r>
    </w:p>
    <w:p w:rsidR="0024357C" w:rsidRPr="0024357C" w:rsidRDefault="0024357C" w:rsidP="0024357C">
      <w:pPr>
        <w:pStyle w:val="ListParagraph"/>
        <w:numPr>
          <w:ilvl w:val="1"/>
          <w:numId w:val="2"/>
        </w:numPr>
        <w:spacing w:after="0" w:line="276" w:lineRule="auto"/>
        <w:jc w:val="both"/>
        <w:rPr>
          <w:lang w:val="lv-LV"/>
        </w:rPr>
      </w:pPr>
      <w:r>
        <w:rPr>
          <w:lang w:val="lv-LV"/>
        </w:rPr>
        <w:t>Tiek izteikts ieteikums šīs tēmas jautājumus jautāt grāmatvežiem, ne uzņēmumu vadītājiem.</w:t>
      </w:r>
    </w:p>
    <w:p w:rsidR="00303068" w:rsidRDefault="00303068" w:rsidP="00303068">
      <w:pPr>
        <w:pStyle w:val="ListParagraph"/>
        <w:numPr>
          <w:ilvl w:val="0"/>
          <w:numId w:val="2"/>
        </w:numPr>
        <w:spacing w:after="0" w:line="276" w:lineRule="auto"/>
        <w:jc w:val="both"/>
        <w:rPr>
          <w:lang w:val="lv-LV"/>
        </w:rPr>
      </w:pPr>
      <w:r>
        <w:rPr>
          <w:lang w:val="lv-LV"/>
        </w:rPr>
        <w:t>Pārrunāti Doing Business pētījuma rādītāji, Globālās konkurētspējas indekss un citu valstu pieredze (A. Kalniņa izstāsta par apkopotajiem datiem no minētajiem pētījumiem).</w:t>
      </w:r>
    </w:p>
    <w:p w:rsidR="00CC76A6" w:rsidRDefault="00303068" w:rsidP="00820259">
      <w:pPr>
        <w:pStyle w:val="ListParagraph"/>
        <w:numPr>
          <w:ilvl w:val="0"/>
          <w:numId w:val="2"/>
        </w:numPr>
        <w:spacing w:after="0" w:line="276" w:lineRule="auto"/>
        <w:jc w:val="both"/>
        <w:rPr>
          <w:lang w:val="lv-LV"/>
        </w:rPr>
      </w:pPr>
      <w:r w:rsidRPr="00113EBA">
        <w:rPr>
          <w:lang w:val="lv-LV"/>
        </w:rPr>
        <w:t>Pārrunāti izvirzītie priekšlikumi saistībā ar</w:t>
      </w:r>
      <w:r>
        <w:rPr>
          <w:lang w:val="lv-LV"/>
        </w:rPr>
        <w:t xml:space="preserve"> nodokļu administrēšanas jomu:</w:t>
      </w:r>
    </w:p>
    <w:p w:rsidR="00A4050D" w:rsidRPr="00CC76A6" w:rsidRDefault="00CC76A6" w:rsidP="00CC76A6">
      <w:pPr>
        <w:pStyle w:val="ListParagraph"/>
        <w:numPr>
          <w:ilvl w:val="1"/>
          <w:numId w:val="2"/>
        </w:numPr>
        <w:spacing w:after="0" w:line="276" w:lineRule="auto"/>
        <w:jc w:val="both"/>
        <w:rPr>
          <w:lang w:val="lv-LV"/>
        </w:rPr>
      </w:pPr>
      <w:r w:rsidRPr="00CC76A6">
        <w:rPr>
          <w:lang w:val="lv-LV"/>
        </w:rPr>
        <w:t>Materialitātes termina ieviešana normatīvajos aktos</w:t>
      </w:r>
      <w:r>
        <w:rPr>
          <w:lang w:val="lv-LV"/>
        </w:rPr>
        <w:t>:</w:t>
      </w:r>
    </w:p>
    <w:p w:rsidR="004117E9" w:rsidRDefault="004117E9" w:rsidP="00CC76A6">
      <w:pPr>
        <w:pStyle w:val="ListParagraph"/>
        <w:numPr>
          <w:ilvl w:val="2"/>
          <w:numId w:val="2"/>
        </w:numPr>
        <w:spacing w:after="0" w:line="276" w:lineRule="auto"/>
        <w:jc w:val="both"/>
        <w:rPr>
          <w:lang w:val="lv-LV"/>
        </w:rPr>
      </w:pPr>
      <w:r>
        <w:rPr>
          <w:lang w:val="lv-LV"/>
        </w:rPr>
        <w:t xml:space="preserve">VID pārstāvji informē, ka attiecībā uz VID pārbaudēm tiek pielietota uz riskiem balstīta sistēma un ka ieteikums nav īsti skaidrs. </w:t>
      </w:r>
      <w:r w:rsidR="0024357C">
        <w:rPr>
          <w:lang w:val="lv-LV"/>
        </w:rPr>
        <w:t>VID arī</w:t>
      </w:r>
      <w:r>
        <w:rPr>
          <w:lang w:val="lv-LV"/>
        </w:rPr>
        <w:t xml:space="preserve"> pauda viedokli, ka</w:t>
      </w:r>
      <w:r w:rsidR="0024357C">
        <w:rPr>
          <w:lang w:val="lv-LV"/>
        </w:rPr>
        <w:t>,</w:t>
      </w:r>
      <w:r>
        <w:rPr>
          <w:lang w:val="lv-LV"/>
        </w:rPr>
        <w:t xml:space="preserve"> ja </w:t>
      </w:r>
      <w:r w:rsidR="0024357C">
        <w:rPr>
          <w:lang w:val="lv-LV"/>
        </w:rPr>
        <w:t xml:space="preserve">pieļaus kļūdas iespējas </w:t>
      </w:r>
      <w:r>
        <w:rPr>
          <w:lang w:val="lv-LV"/>
        </w:rPr>
        <w:t xml:space="preserve">uzņēmējiem par noteiktu summu, tad tie var uzskatīt, ka tiem ir </w:t>
      </w:r>
      <w:r w:rsidR="0024357C">
        <w:rPr>
          <w:lang w:val="lv-LV"/>
        </w:rPr>
        <w:t>iespējams iesniegt neprecīzas atskaites</w:t>
      </w:r>
      <w:r>
        <w:rPr>
          <w:lang w:val="lv-LV"/>
        </w:rPr>
        <w:t>.</w:t>
      </w:r>
    </w:p>
    <w:p w:rsidR="00A4050D" w:rsidRDefault="0024357C" w:rsidP="00CC76A6">
      <w:pPr>
        <w:pStyle w:val="ListParagraph"/>
        <w:numPr>
          <w:ilvl w:val="2"/>
          <w:numId w:val="2"/>
        </w:numPr>
        <w:spacing w:after="0" w:line="276" w:lineRule="auto"/>
        <w:jc w:val="both"/>
        <w:rPr>
          <w:lang w:val="lv-LV"/>
        </w:rPr>
      </w:pPr>
      <w:r w:rsidRPr="003241E8">
        <w:rPr>
          <w:lang w:val="lv-LV"/>
        </w:rPr>
        <w:t xml:space="preserve">Tiek pārrunāti jautājumi par </w:t>
      </w:r>
      <w:r w:rsidR="004117E9" w:rsidRPr="003241E8">
        <w:rPr>
          <w:lang w:val="lv-LV"/>
        </w:rPr>
        <w:t xml:space="preserve">sodiem un to apmēriem valstī attiecībā uz </w:t>
      </w:r>
      <w:r w:rsidRPr="003241E8">
        <w:rPr>
          <w:lang w:val="lv-LV"/>
        </w:rPr>
        <w:t xml:space="preserve">sodu </w:t>
      </w:r>
      <w:r w:rsidR="001B0C74" w:rsidRPr="003241E8">
        <w:rPr>
          <w:lang w:val="lv-LV"/>
        </w:rPr>
        <w:t>piemērošanu par nodokļu uzskaites pārkāpumiem.</w:t>
      </w:r>
      <w:r w:rsidR="003241E8" w:rsidRPr="003241E8">
        <w:rPr>
          <w:lang w:val="lv-LV"/>
        </w:rPr>
        <w:t xml:space="preserve"> </w:t>
      </w:r>
      <w:r w:rsidR="004117E9" w:rsidRPr="003241E8">
        <w:rPr>
          <w:lang w:val="lv-LV"/>
        </w:rPr>
        <w:t xml:space="preserve">Diskusijā tiek izvirzīts </w:t>
      </w:r>
      <w:r w:rsidR="001B0C74" w:rsidRPr="003241E8">
        <w:rPr>
          <w:lang w:val="lv-LV"/>
        </w:rPr>
        <w:t xml:space="preserve">ieteikums </w:t>
      </w:r>
      <w:r w:rsidR="007F10B1" w:rsidRPr="003241E8">
        <w:rPr>
          <w:lang w:val="lv-LV"/>
        </w:rPr>
        <w:t>pārformēt ieteikumu par sodu</w:t>
      </w:r>
      <w:r w:rsidR="001B0C74" w:rsidRPr="003241E8">
        <w:rPr>
          <w:lang w:val="lv-LV"/>
        </w:rPr>
        <w:t xml:space="preserve"> </w:t>
      </w:r>
      <w:r w:rsidR="003241E8" w:rsidRPr="003241E8">
        <w:rPr>
          <w:lang w:val="lv-LV"/>
        </w:rPr>
        <w:t xml:space="preserve">piemērošanu attiecībā </w:t>
      </w:r>
      <w:r w:rsidR="003241E8">
        <w:rPr>
          <w:lang w:val="lv-LV"/>
        </w:rPr>
        <w:t>uz vēlāku rēķinu iegrāmatošanu.</w:t>
      </w:r>
    </w:p>
    <w:p w:rsidR="003241E8" w:rsidRPr="003241E8" w:rsidRDefault="003241E8" w:rsidP="00CC76A6">
      <w:pPr>
        <w:pStyle w:val="ListParagraph"/>
        <w:numPr>
          <w:ilvl w:val="2"/>
          <w:numId w:val="2"/>
        </w:numPr>
        <w:spacing w:after="0" w:line="276" w:lineRule="auto"/>
        <w:jc w:val="both"/>
        <w:rPr>
          <w:lang w:val="lv-LV"/>
        </w:rPr>
      </w:pPr>
      <w:r>
        <w:rPr>
          <w:lang w:val="lv-LV"/>
        </w:rPr>
        <w:t xml:space="preserve">Tiek nolemts </w:t>
      </w:r>
      <w:r w:rsidR="008D584A">
        <w:rPr>
          <w:lang w:val="lv-LV"/>
        </w:rPr>
        <w:t xml:space="preserve">priekšlikumu uzņēmējdarbības vides uzlabošanas pasākumu plānā neiekļaut. </w:t>
      </w:r>
    </w:p>
    <w:p w:rsidR="004D7485" w:rsidRPr="00476302" w:rsidRDefault="00476302" w:rsidP="00476302">
      <w:pPr>
        <w:pStyle w:val="ListParagraph"/>
        <w:numPr>
          <w:ilvl w:val="1"/>
          <w:numId w:val="2"/>
        </w:numPr>
        <w:spacing w:after="0" w:line="276" w:lineRule="auto"/>
        <w:jc w:val="both"/>
        <w:rPr>
          <w:lang w:val="lv-LV"/>
        </w:rPr>
      </w:pPr>
      <w:r w:rsidRPr="00476302">
        <w:rPr>
          <w:lang w:val="lv-LV"/>
        </w:rPr>
        <w:t>Vienkāršotas grāmatvedības programmas izstrāde integrācijā ar EDS, kuru varētu izmantot nelieli uzņēmumi</w:t>
      </w:r>
      <w:r>
        <w:rPr>
          <w:lang w:val="lv-LV"/>
        </w:rPr>
        <w:t>:</w:t>
      </w:r>
    </w:p>
    <w:p w:rsidR="00FC04BE" w:rsidRDefault="00FC04BE" w:rsidP="00476302">
      <w:pPr>
        <w:pStyle w:val="ListParagraph"/>
        <w:numPr>
          <w:ilvl w:val="2"/>
          <w:numId w:val="2"/>
        </w:numPr>
        <w:spacing w:after="0" w:line="276" w:lineRule="auto"/>
        <w:jc w:val="both"/>
        <w:rPr>
          <w:lang w:val="lv-LV"/>
        </w:rPr>
      </w:pPr>
      <w:r>
        <w:rPr>
          <w:lang w:val="lv-LV"/>
        </w:rPr>
        <w:t xml:space="preserve">Izvēršas plaša diskusija par minētā ieteikuma pamatojumu un precizējumu, kur Anita Kalniņa (PwC) sniedz plašāku skaidrojumu par minētās grāmatvedības programmas integrācijas EDS sistēmā priekšrocībām </w:t>
      </w:r>
      <w:r w:rsidR="003241E8">
        <w:rPr>
          <w:lang w:val="lv-LV"/>
        </w:rPr>
        <w:t xml:space="preserve">gan </w:t>
      </w:r>
      <w:r>
        <w:rPr>
          <w:lang w:val="lv-LV"/>
        </w:rPr>
        <w:t xml:space="preserve">VID, </w:t>
      </w:r>
      <w:r w:rsidR="003241E8">
        <w:rPr>
          <w:lang w:val="lv-LV"/>
        </w:rPr>
        <w:t xml:space="preserve">gan </w:t>
      </w:r>
      <w:r>
        <w:rPr>
          <w:lang w:val="lv-LV"/>
        </w:rPr>
        <w:t>uzņēmējiem.</w:t>
      </w:r>
    </w:p>
    <w:p w:rsidR="00FC04BE" w:rsidRDefault="00FC04BE" w:rsidP="00FC04BE">
      <w:pPr>
        <w:pStyle w:val="ListParagraph"/>
        <w:numPr>
          <w:ilvl w:val="2"/>
          <w:numId w:val="2"/>
        </w:numPr>
        <w:spacing w:after="0" w:line="276" w:lineRule="auto"/>
        <w:jc w:val="both"/>
        <w:rPr>
          <w:lang w:val="lv-LV"/>
        </w:rPr>
      </w:pPr>
      <w:r>
        <w:rPr>
          <w:lang w:val="lv-LV"/>
        </w:rPr>
        <w:lastRenderedPageBreak/>
        <w:t xml:space="preserve">Kaspars </w:t>
      </w:r>
      <w:proofErr w:type="spellStart"/>
      <w:r>
        <w:rPr>
          <w:lang w:val="lv-LV"/>
        </w:rPr>
        <w:t>Rutkis</w:t>
      </w:r>
      <w:proofErr w:type="spellEnd"/>
      <w:r>
        <w:rPr>
          <w:lang w:val="lv-LV"/>
        </w:rPr>
        <w:t xml:space="preserve"> (</w:t>
      </w:r>
      <w:r w:rsidRPr="00FC04BE">
        <w:rPr>
          <w:lang w:val="lv-LV"/>
        </w:rPr>
        <w:t>LATGRAASA</w:t>
      </w:r>
      <w:r>
        <w:rPr>
          <w:lang w:val="lv-LV"/>
        </w:rPr>
        <w:t>) informē, ka nesaskata minētai sistēmai pamatojumu, jo jau ir pieejamas vairākas bezmaksas grāmatvedības sistēmas maziem uzņēmumiem.</w:t>
      </w:r>
    </w:p>
    <w:p w:rsidR="00FC04BE" w:rsidRDefault="00FC04BE" w:rsidP="00FC04BE">
      <w:pPr>
        <w:pStyle w:val="ListParagraph"/>
        <w:numPr>
          <w:ilvl w:val="2"/>
          <w:numId w:val="2"/>
        </w:numPr>
        <w:spacing w:after="0" w:line="276" w:lineRule="auto"/>
        <w:jc w:val="both"/>
        <w:rPr>
          <w:lang w:val="lv-LV"/>
        </w:rPr>
      </w:pPr>
      <w:r>
        <w:rPr>
          <w:lang w:val="lv-LV"/>
        </w:rPr>
        <w:t xml:space="preserve">VID pārstāvji informē, ka tas radītu papildu slogu uz VID no klientu datu uzturēšanas un sistēmas uzturēšanas puses, </w:t>
      </w:r>
      <w:r w:rsidR="003241E8">
        <w:rPr>
          <w:lang w:val="lv-LV"/>
        </w:rPr>
        <w:t xml:space="preserve">kā arī </w:t>
      </w:r>
      <w:r>
        <w:rPr>
          <w:lang w:val="lv-LV"/>
        </w:rPr>
        <w:t>no sistēmas izstrādāšanas puses.</w:t>
      </w:r>
    </w:p>
    <w:p w:rsidR="008D584A" w:rsidRPr="003241E8" w:rsidRDefault="008D584A" w:rsidP="008D584A">
      <w:pPr>
        <w:pStyle w:val="ListParagraph"/>
        <w:numPr>
          <w:ilvl w:val="2"/>
          <w:numId w:val="2"/>
        </w:numPr>
        <w:spacing w:after="0" w:line="276" w:lineRule="auto"/>
        <w:jc w:val="both"/>
        <w:rPr>
          <w:lang w:val="lv-LV"/>
        </w:rPr>
      </w:pPr>
      <w:r>
        <w:rPr>
          <w:lang w:val="lv-LV"/>
        </w:rPr>
        <w:t>Tiek nolemts priekšlikumu uzņēmējdarbības vides uzlabošanas pasākumu plānā neiek</w:t>
      </w:r>
      <w:r>
        <w:rPr>
          <w:lang w:val="lv-LV"/>
        </w:rPr>
        <w:t>ļaut.</w:t>
      </w:r>
    </w:p>
    <w:p w:rsidR="004D7485" w:rsidRPr="00476302" w:rsidRDefault="00476302" w:rsidP="00476302">
      <w:pPr>
        <w:pStyle w:val="ListParagraph"/>
        <w:numPr>
          <w:ilvl w:val="1"/>
          <w:numId w:val="2"/>
        </w:numPr>
        <w:spacing w:after="0" w:line="276" w:lineRule="auto"/>
        <w:jc w:val="both"/>
        <w:rPr>
          <w:lang w:val="lv-LV"/>
        </w:rPr>
      </w:pPr>
      <w:r w:rsidRPr="00476302">
        <w:rPr>
          <w:lang w:val="lv-LV"/>
        </w:rPr>
        <w:t>Uzņēmumiem pieprasāmās statistikas samazināšana</w:t>
      </w:r>
    </w:p>
    <w:p w:rsidR="003A2002" w:rsidRPr="00476302" w:rsidRDefault="003A2002" w:rsidP="00CC4C06">
      <w:pPr>
        <w:pStyle w:val="ListParagraph"/>
        <w:numPr>
          <w:ilvl w:val="2"/>
          <w:numId w:val="2"/>
        </w:numPr>
        <w:spacing w:after="0" w:line="276" w:lineRule="auto"/>
        <w:jc w:val="both"/>
        <w:rPr>
          <w:lang w:val="lv-LV"/>
        </w:rPr>
      </w:pPr>
      <w:r w:rsidRPr="00476302">
        <w:rPr>
          <w:lang w:val="lv-LV"/>
        </w:rPr>
        <w:t>CSB</w:t>
      </w:r>
      <w:r w:rsidR="00CC4C06">
        <w:rPr>
          <w:lang w:val="lv-LV"/>
        </w:rPr>
        <w:t xml:space="preserve"> pārstāvji komentē, ka CSB jau strādā </w:t>
      </w:r>
      <w:r w:rsidRPr="00476302">
        <w:rPr>
          <w:lang w:val="lv-LV"/>
        </w:rPr>
        <w:t xml:space="preserve">ar VID </w:t>
      </w:r>
      <w:r w:rsidR="00CC4C06">
        <w:rPr>
          <w:lang w:val="lv-LV"/>
        </w:rPr>
        <w:t>datu dublēšanās problēmas risināšanā</w:t>
      </w:r>
      <w:r w:rsidR="003241E8">
        <w:rPr>
          <w:lang w:val="lv-LV"/>
        </w:rPr>
        <w:t>, tomēr šīs problēmas netiks novērstas priekšlikumā minētajā terminā.</w:t>
      </w:r>
      <w:r w:rsidR="00E64DA0">
        <w:rPr>
          <w:lang w:val="lv-LV"/>
        </w:rPr>
        <w:t xml:space="preserve"> </w:t>
      </w:r>
    </w:p>
    <w:p w:rsidR="003A2002" w:rsidRPr="00476302" w:rsidRDefault="00CC4C06" w:rsidP="00476302">
      <w:pPr>
        <w:pStyle w:val="ListParagraph"/>
        <w:numPr>
          <w:ilvl w:val="2"/>
          <w:numId w:val="2"/>
        </w:numPr>
        <w:spacing w:after="0" w:line="276" w:lineRule="auto"/>
        <w:jc w:val="both"/>
        <w:rPr>
          <w:lang w:val="lv-LV"/>
        </w:rPr>
      </w:pPr>
      <w:r>
        <w:rPr>
          <w:lang w:val="lv-LV"/>
        </w:rPr>
        <w:t xml:space="preserve">CSB pārstāvji norāda, ka VID </w:t>
      </w:r>
      <w:r w:rsidR="003A2002" w:rsidRPr="00476302">
        <w:rPr>
          <w:lang w:val="lv-LV"/>
        </w:rPr>
        <w:t>nav vienīgā institūcija no kā</w:t>
      </w:r>
      <w:r>
        <w:rPr>
          <w:lang w:val="lv-LV"/>
        </w:rPr>
        <w:t xml:space="preserve"> CSB saņem datus, tādējādi IKT risinājums nevar tikt vērsts tikai uz VID datu apmaiņu un ka ir izstrādāti grozījumi par datu apmaiņu starp CSB un VID, kuri tiek pilnveidoti pirms to pieņemšanas.</w:t>
      </w:r>
      <w:r w:rsidR="003A2002" w:rsidRPr="00476302">
        <w:rPr>
          <w:lang w:val="lv-LV"/>
        </w:rPr>
        <w:t xml:space="preserve"> </w:t>
      </w:r>
    </w:p>
    <w:p w:rsidR="004D7485" w:rsidRDefault="00970006" w:rsidP="004D7485">
      <w:pPr>
        <w:pStyle w:val="ListParagraph"/>
        <w:numPr>
          <w:ilvl w:val="2"/>
          <w:numId w:val="2"/>
        </w:numPr>
        <w:spacing w:after="0" w:line="276" w:lineRule="auto"/>
        <w:jc w:val="both"/>
        <w:rPr>
          <w:lang w:val="lv-LV"/>
        </w:rPr>
      </w:pPr>
      <w:r>
        <w:rPr>
          <w:lang w:val="lv-LV"/>
        </w:rPr>
        <w:t xml:space="preserve">Ilze </w:t>
      </w:r>
      <w:proofErr w:type="spellStart"/>
      <w:r>
        <w:rPr>
          <w:lang w:val="lv-LV"/>
        </w:rPr>
        <w:t>Lore</w:t>
      </w:r>
      <w:proofErr w:type="spellEnd"/>
      <w:r>
        <w:rPr>
          <w:lang w:val="lv-LV"/>
        </w:rPr>
        <w:t xml:space="preserve"> (EM) komentē, ka šobrīd uzņēmējdarbības attīstības plānā ir iekļauts pasākums situācijas risināšanai.</w:t>
      </w:r>
    </w:p>
    <w:p w:rsidR="008D584A" w:rsidRPr="003241E8" w:rsidRDefault="008D584A" w:rsidP="008D584A">
      <w:pPr>
        <w:pStyle w:val="ListParagraph"/>
        <w:numPr>
          <w:ilvl w:val="2"/>
          <w:numId w:val="2"/>
        </w:numPr>
        <w:spacing w:after="0" w:line="276" w:lineRule="auto"/>
        <w:jc w:val="both"/>
        <w:rPr>
          <w:lang w:val="lv-LV"/>
        </w:rPr>
      </w:pPr>
      <w:r>
        <w:rPr>
          <w:lang w:val="lv-LV"/>
        </w:rPr>
        <w:t>Tiek nolemts priekšlikumu uzņēmējdarbības vides uzlabošanas pasākumu plānā neiekļaut.</w:t>
      </w:r>
    </w:p>
    <w:p w:rsidR="00476302" w:rsidRPr="00476302" w:rsidRDefault="00476302" w:rsidP="00476302">
      <w:pPr>
        <w:pStyle w:val="ListParagraph"/>
        <w:numPr>
          <w:ilvl w:val="1"/>
          <w:numId w:val="2"/>
        </w:numPr>
        <w:spacing w:after="0" w:line="276" w:lineRule="auto"/>
        <w:jc w:val="both"/>
        <w:rPr>
          <w:lang w:val="lv-LV"/>
        </w:rPr>
      </w:pPr>
      <w:r w:rsidRPr="00476302">
        <w:rPr>
          <w:lang w:val="lv-LV"/>
        </w:rPr>
        <w:t>Informēšana par neiesniegtām atskaitēm VID</w:t>
      </w:r>
      <w:r w:rsidR="00070BB1">
        <w:rPr>
          <w:lang w:val="lv-LV"/>
        </w:rPr>
        <w:t>:</w:t>
      </w:r>
    </w:p>
    <w:p w:rsidR="00AE13DB" w:rsidRPr="00476302" w:rsidRDefault="00070BB1" w:rsidP="00070BB1">
      <w:pPr>
        <w:pStyle w:val="ListParagraph"/>
        <w:numPr>
          <w:ilvl w:val="2"/>
          <w:numId w:val="2"/>
        </w:numPr>
        <w:spacing w:after="0" w:line="276" w:lineRule="auto"/>
        <w:jc w:val="both"/>
        <w:rPr>
          <w:lang w:val="lv-LV"/>
        </w:rPr>
      </w:pPr>
      <w:r>
        <w:rPr>
          <w:lang w:val="lv-LV"/>
        </w:rPr>
        <w:t xml:space="preserve">Ilze Mīļā (VID) informē, ka </w:t>
      </w:r>
      <w:r w:rsidR="00AE13DB" w:rsidRPr="00476302">
        <w:rPr>
          <w:lang w:val="lv-LV"/>
        </w:rPr>
        <w:t xml:space="preserve">līdz </w:t>
      </w:r>
      <w:r>
        <w:rPr>
          <w:lang w:val="lv-LV"/>
        </w:rPr>
        <w:t xml:space="preserve">2014. </w:t>
      </w:r>
      <w:r w:rsidR="00AE13DB" w:rsidRPr="00476302">
        <w:rPr>
          <w:lang w:val="lv-LV"/>
        </w:rPr>
        <w:t xml:space="preserve">gada beigām tiek plānots </w:t>
      </w:r>
      <w:r>
        <w:rPr>
          <w:lang w:val="lv-LV"/>
        </w:rPr>
        <w:t>uzlabot uzņēmēju informēšanu par iesniedzamajām un neiesniegtām atskaitēm,  papildinot VID EDS funkcionalitāti ar atskaišu kalendāru.</w:t>
      </w:r>
    </w:p>
    <w:p w:rsidR="00AE13DB" w:rsidRDefault="00070BB1" w:rsidP="00476302">
      <w:pPr>
        <w:pStyle w:val="ListParagraph"/>
        <w:numPr>
          <w:ilvl w:val="2"/>
          <w:numId w:val="2"/>
        </w:numPr>
        <w:spacing w:after="0" w:line="276" w:lineRule="auto"/>
        <w:jc w:val="both"/>
        <w:rPr>
          <w:lang w:val="lv-LV"/>
        </w:rPr>
      </w:pPr>
      <w:proofErr w:type="spellStart"/>
      <w:r>
        <w:rPr>
          <w:lang w:val="lv-LV"/>
        </w:rPr>
        <w:t>Olaga</w:t>
      </w:r>
      <w:proofErr w:type="spellEnd"/>
      <w:r>
        <w:rPr>
          <w:lang w:val="lv-LV"/>
        </w:rPr>
        <w:t xml:space="preserve"> </w:t>
      </w:r>
      <w:proofErr w:type="spellStart"/>
      <w:r>
        <w:rPr>
          <w:lang w:val="lv-LV"/>
        </w:rPr>
        <w:t>Zadorožnaja</w:t>
      </w:r>
      <w:proofErr w:type="spellEnd"/>
      <w:r>
        <w:rPr>
          <w:lang w:val="lv-LV"/>
        </w:rPr>
        <w:t xml:space="preserve"> (LRGA) sniedz</w:t>
      </w:r>
      <w:r w:rsidR="00AE13DB" w:rsidRPr="00476302">
        <w:rPr>
          <w:lang w:val="lv-LV"/>
        </w:rPr>
        <w:t xml:space="preserve"> koment</w:t>
      </w:r>
      <w:r>
        <w:rPr>
          <w:lang w:val="lv-LV"/>
        </w:rPr>
        <w:t>āru</w:t>
      </w:r>
      <w:r w:rsidR="00AE13DB" w:rsidRPr="00476302">
        <w:rPr>
          <w:lang w:val="lv-LV"/>
        </w:rPr>
        <w:t xml:space="preserve"> par e-</w:t>
      </w:r>
      <w:r>
        <w:rPr>
          <w:lang w:val="lv-LV"/>
        </w:rPr>
        <w:t xml:space="preserve">dokumentu saņemšanu EDS sistēmā, minot, ka EDS sistēmā saņemtie dokumenti jau tiek uzskatīti par oficiāliem, un ka atsevišķs e-paraksts tiem nav nepieciešams, </w:t>
      </w:r>
      <w:r w:rsidR="003241E8">
        <w:rPr>
          <w:lang w:val="lv-LV"/>
        </w:rPr>
        <w:t xml:space="preserve">jo </w:t>
      </w:r>
      <w:r>
        <w:rPr>
          <w:lang w:val="lv-LV"/>
        </w:rPr>
        <w:t>tas tikai apgrūtinot darbu ar dokumentiem.</w:t>
      </w:r>
    </w:p>
    <w:p w:rsidR="009526D4" w:rsidRPr="003241E8" w:rsidRDefault="009526D4" w:rsidP="00476302">
      <w:pPr>
        <w:pStyle w:val="ListParagraph"/>
        <w:numPr>
          <w:ilvl w:val="2"/>
          <w:numId w:val="2"/>
        </w:numPr>
        <w:spacing w:after="0" w:line="276" w:lineRule="auto"/>
        <w:jc w:val="both"/>
        <w:rPr>
          <w:lang w:val="lv-LV"/>
        </w:rPr>
      </w:pPr>
      <w:r w:rsidRPr="003241E8">
        <w:rPr>
          <w:lang w:val="lv-LV"/>
        </w:rPr>
        <w:t xml:space="preserve">Tiek nolemts ieteikumu iekļaut </w:t>
      </w:r>
      <w:r w:rsidR="00E64DA0" w:rsidRPr="003241E8">
        <w:rPr>
          <w:lang w:val="lv-LV"/>
        </w:rPr>
        <w:t xml:space="preserve">uzņēmējdarbības attīstības plānā </w:t>
      </w:r>
      <w:r w:rsidRPr="003241E8">
        <w:rPr>
          <w:lang w:val="lv-LV"/>
        </w:rPr>
        <w:t>labotā redakcijā.</w:t>
      </w:r>
      <w:bookmarkStart w:id="0" w:name="_GoBack"/>
      <w:bookmarkEnd w:id="0"/>
    </w:p>
    <w:sectPr w:rsidR="009526D4" w:rsidRPr="003241E8" w:rsidSect="00D80571">
      <w:headerReference w:type="default" r:id="rId9"/>
      <w:footerReference w:type="default" r:id="rId10"/>
      <w:headerReference w:type="first" r:id="rId11"/>
      <w:footerReference w:type="first" r:id="rId12"/>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C33" w:rsidRDefault="00C70C33" w:rsidP="00E902EC">
      <w:pPr>
        <w:spacing w:after="0" w:line="240" w:lineRule="auto"/>
      </w:pPr>
      <w:r>
        <w:separator/>
      </w:r>
    </w:p>
  </w:endnote>
  <w:endnote w:type="continuationSeparator" w:id="0">
    <w:p w:rsidR="00C70C33" w:rsidRDefault="00C70C33"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8D584A">
          <w:rPr>
            <w:noProof/>
          </w:rPr>
          <w:t>2</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8D584A" w:rsidP="003B68C4">
    <w:pPr>
      <w:pStyle w:val="Address"/>
    </w:pPr>
    <w:bookmarkStart w:id="1" w:name="address"/>
    <w:r>
      <w:pict>
        <v:shape id="_x0000_s2058" style="position:absolute;margin-left:87.9pt;margin-top:-3.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 xml:space="preserve">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C33" w:rsidRDefault="00C70C33" w:rsidP="00E902EC">
      <w:pPr>
        <w:spacing w:after="0" w:line="240" w:lineRule="auto"/>
      </w:pPr>
      <w:r>
        <w:separator/>
      </w:r>
    </w:p>
  </w:footnote>
  <w:footnote w:type="continuationSeparator" w:id="0">
    <w:p w:rsidR="00C70C33" w:rsidRDefault="00C70C33"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14:anchorId="0E9DBFF1" wp14:editId="54D9324D">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14:anchorId="2B6BA531" wp14:editId="5BAD0DE2">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BA6AE70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185A7E"/>
    <w:multiLevelType w:val="hybridMultilevel"/>
    <w:tmpl w:val="D9A896B0"/>
    <w:lvl w:ilvl="0" w:tplc="B308B4B4">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61F99"/>
    <w:multiLevelType w:val="hybridMultilevel"/>
    <w:tmpl w:val="CD8ABDE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3547345D"/>
    <w:multiLevelType w:val="hybridMultilevel"/>
    <w:tmpl w:val="3072D7C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04F7EDD"/>
    <w:multiLevelType w:val="hybridMultilevel"/>
    <w:tmpl w:val="8B62C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FA2FFD"/>
    <w:multiLevelType w:val="hybridMultilevel"/>
    <w:tmpl w:val="5A421C8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7F967D70"/>
    <w:multiLevelType w:val="hybridMultilevel"/>
    <w:tmpl w:val="017439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5"/>
  </w:num>
  <w:num w:numId="5">
    <w:abstractNumId w:val="6"/>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098E"/>
    <w:rsid w:val="00034AAA"/>
    <w:rsid w:val="000454C1"/>
    <w:rsid w:val="00070BB1"/>
    <w:rsid w:val="000715C7"/>
    <w:rsid w:val="000B5045"/>
    <w:rsid w:val="000B5E05"/>
    <w:rsid w:val="000D7B00"/>
    <w:rsid w:val="000E3A67"/>
    <w:rsid w:val="0011450C"/>
    <w:rsid w:val="00166C97"/>
    <w:rsid w:val="001B0C74"/>
    <w:rsid w:val="0024357C"/>
    <w:rsid w:val="00256F02"/>
    <w:rsid w:val="00276819"/>
    <w:rsid w:val="002C12B4"/>
    <w:rsid w:val="002D2C1A"/>
    <w:rsid w:val="002E573B"/>
    <w:rsid w:val="00303068"/>
    <w:rsid w:val="0031457A"/>
    <w:rsid w:val="003241E8"/>
    <w:rsid w:val="003427D4"/>
    <w:rsid w:val="00387C13"/>
    <w:rsid w:val="003A2002"/>
    <w:rsid w:val="003B68C4"/>
    <w:rsid w:val="003F7E07"/>
    <w:rsid w:val="00410A1D"/>
    <w:rsid w:val="004117E9"/>
    <w:rsid w:val="00430237"/>
    <w:rsid w:val="00476302"/>
    <w:rsid w:val="004763F0"/>
    <w:rsid w:val="00480DCC"/>
    <w:rsid w:val="004C14F4"/>
    <w:rsid w:val="004C34DA"/>
    <w:rsid w:val="004D7485"/>
    <w:rsid w:val="004E4C9A"/>
    <w:rsid w:val="004E6A1E"/>
    <w:rsid w:val="004F30EE"/>
    <w:rsid w:val="00517C75"/>
    <w:rsid w:val="00526445"/>
    <w:rsid w:val="00543E37"/>
    <w:rsid w:val="00545851"/>
    <w:rsid w:val="005900BB"/>
    <w:rsid w:val="00595642"/>
    <w:rsid w:val="005D7878"/>
    <w:rsid w:val="00670B19"/>
    <w:rsid w:val="00672342"/>
    <w:rsid w:val="006738B4"/>
    <w:rsid w:val="00685270"/>
    <w:rsid w:val="006C18BF"/>
    <w:rsid w:val="006D0E8D"/>
    <w:rsid w:val="006F6CF7"/>
    <w:rsid w:val="00726B6B"/>
    <w:rsid w:val="007308F8"/>
    <w:rsid w:val="00743D67"/>
    <w:rsid w:val="0076101A"/>
    <w:rsid w:val="00770DFC"/>
    <w:rsid w:val="007871AC"/>
    <w:rsid w:val="007F10B1"/>
    <w:rsid w:val="00804499"/>
    <w:rsid w:val="00820259"/>
    <w:rsid w:val="00832BC6"/>
    <w:rsid w:val="008520C4"/>
    <w:rsid w:val="00864682"/>
    <w:rsid w:val="00872F06"/>
    <w:rsid w:val="008A07D2"/>
    <w:rsid w:val="008A07FC"/>
    <w:rsid w:val="008D52D5"/>
    <w:rsid w:val="008D584A"/>
    <w:rsid w:val="009526D4"/>
    <w:rsid w:val="00970006"/>
    <w:rsid w:val="00A4050D"/>
    <w:rsid w:val="00A71817"/>
    <w:rsid w:val="00A71B22"/>
    <w:rsid w:val="00AE13DB"/>
    <w:rsid w:val="00AE5F8B"/>
    <w:rsid w:val="00B30363"/>
    <w:rsid w:val="00B3160B"/>
    <w:rsid w:val="00B361E5"/>
    <w:rsid w:val="00B426D3"/>
    <w:rsid w:val="00B56CE4"/>
    <w:rsid w:val="00B65E2E"/>
    <w:rsid w:val="00BA1E0B"/>
    <w:rsid w:val="00BB0B0E"/>
    <w:rsid w:val="00BB3F77"/>
    <w:rsid w:val="00BC2564"/>
    <w:rsid w:val="00C01C78"/>
    <w:rsid w:val="00C32D60"/>
    <w:rsid w:val="00C70C33"/>
    <w:rsid w:val="00CB098E"/>
    <w:rsid w:val="00CC4C06"/>
    <w:rsid w:val="00CC76A6"/>
    <w:rsid w:val="00CE4E36"/>
    <w:rsid w:val="00D03031"/>
    <w:rsid w:val="00D6223C"/>
    <w:rsid w:val="00D80571"/>
    <w:rsid w:val="00DF297E"/>
    <w:rsid w:val="00E004BC"/>
    <w:rsid w:val="00E20164"/>
    <w:rsid w:val="00E36DBD"/>
    <w:rsid w:val="00E64DA0"/>
    <w:rsid w:val="00E65354"/>
    <w:rsid w:val="00E65AFE"/>
    <w:rsid w:val="00E814DB"/>
    <w:rsid w:val="00E902EC"/>
    <w:rsid w:val="00EA6C98"/>
    <w:rsid w:val="00ED54FE"/>
    <w:rsid w:val="00F13202"/>
    <w:rsid w:val="00F17276"/>
    <w:rsid w:val="00F918BA"/>
    <w:rsid w:val="00F97A88"/>
    <w:rsid w:val="00FA4F47"/>
    <w:rsid w:val="00FC04BE"/>
    <w:rsid w:val="00FE347C"/>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902EC"/>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4C14F4"/>
    <w:pPr>
      <w:ind w:left="720"/>
      <w:contextualSpacing/>
    </w:pPr>
  </w:style>
  <w:style w:type="table" w:styleId="TableGrid">
    <w:name w:val="Table Grid"/>
    <w:basedOn w:val="TableNormal"/>
    <w:uiPriority w:val="59"/>
    <w:rsid w:val="00C32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C32D60"/>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67F2D-7DFE-430F-81A7-CB6C24E12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PwC Letter Latvian.dotx</Template>
  <TotalTime>42</TotalTime>
  <Pages>3</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Maris Jansons</cp:lastModifiedBy>
  <cp:revision>4</cp:revision>
  <dcterms:created xsi:type="dcterms:W3CDTF">2014-05-26T14:19:00Z</dcterms:created>
  <dcterms:modified xsi:type="dcterms:W3CDTF">2014-05-30T08:01:00Z</dcterms:modified>
</cp:coreProperties>
</file>