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FB" w:rsidRPr="000869FB" w:rsidRDefault="000869FB" w:rsidP="000869FB">
      <w:pPr>
        <w:pStyle w:val="Heading1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bookmarkStart w:id="0" w:name="_Toc520978790"/>
      <w:bookmarkStart w:id="1" w:name="_Toc527529411"/>
      <w:bookmarkStart w:id="2" w:name="_Toc17878282"/>
      <w:r w:rsidRPr="000869FB">
        <w:rPr>
          <w:rFonts w:asciiTheme="minorHAnsi" w:hAnsiTheme="minorHAnsi" w:cstheme="minorHAnsi"/>
        </w:rPr>
        <w:t>SAĪSINĀJUMI</w:t>
      </w:r>
      <w:bookmarkEnd w:id="0"/>
      <w:bookmarkEnd w:id="1"/>
      <w:bookmarkEnd w:id="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097"/>
      </w:tblGrid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ADAP2020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Alternatīvo degvielu attīstības plāns 2017.–2020. 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AE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Atjaunojamā enerģija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AER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Atjaunojamie energoresursi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ANO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Apvienoto Nāciju Organizācija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BEMIP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</w:rPr>
              <w:t>Baltijas enerģijas tirgus integrācijas plāns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CO</w:t>
            </w:r>
            <w:r w:rsidRPr="000869FB">
              <w:rPr>
                <w:rFonts w:eastAsia="Calibri" w:cstheme="minorHAnsi"/>
                <w:szCs w:val="24"/>
                <w:vertAlign w:val="subscript"/>
              </w:rPr>
              <w:t>2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Oglekļa dioksīds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CSA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 xml:space="preserve">Centrālā siltumapgāde – </w:t>
            </w:r>
            <w:proofErr w:type="spellStart"/>
            <w:r w:rsidRPr="000869FB">
              <w:rPr>
                <w:rFonts w:eastAsia="Calibri" w:cstheme="minorHAnsi"/>
                <w:szCs w:val="24"/>
              </w:rPr>
              <w:t>siltumavotu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>, pārvades un sadales siltumtīklu un siltumenerģijas lietotāju kopums, kas saskaņoti ražo, pārveido, pārvada, sadala un patērē siltumenerģiju (Enerģētikas likums)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CSP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Centrālā statistikas pārvalde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DRN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Dabas resursu nodoklis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bookmarkStart w:id="3" w:name="_Hlk531553642"/>
            <w:r w:rsidRPr="000869FB">
              <w:rPr>
                <w:rFonts w:eastAsia="Calibri" w:cstheme="minorHAnsi"/>
                <w:szCs w:val="24"/>
              </w:rPr>
              <w:t>EAP2020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Enerģētikas attīstības pamatnostādnes 2016.–2020.gadam</w:t>
            </w:r>
          </w:p>
        </w:tc>
      </w:tr>
      <w:bookmarkEnd w:id="3"/>
      <w:tr w:rsidR="000869FB" w:rsidRPr="000869FB" w:rsidTr="00A104E5">
        <w:trPr>
          <w:trHeight w:val="264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EK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Komisija</w:t>
            </w:r>
          </w:p>
        </w:tc>
      </w:tr>
      <w:tr w:rsidR="000869FB" w:rsidRPr="000869FB" w:rsidTr="00A104E5">
        <w:trPr>
          <w:trHeight w:val="259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EKII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Emisijas kvotu izsolīšanas instruments</w:t>
            </w:r>
          </w:p>
        </w:tc>
      </w:tr>
      <w:tr w:rsidR="000869FB" w:rsidRPr="000869FB" w:rsidTr="00A104E5">
        <w:trPr>
          <w:trHeight w:val="259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ELFLA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Style w:val="st"/>
                <w:rFonts w:cstheme="minorHAnsi"/>
                <w:szCs w:val="24"/>
              </w:rPr>
              <w:t>Lauksaimniecības fondu lauku attīstībai</w:t>
            </w:r>
          </w:p>
        </w:tc>
      </w:tr>
      <w:tr w:rsidR="000869FB" w:rsidRPr="000869FB" w:rsidTr="00A104E5">
        <w:trPr>
          <w:trHeight w:val="259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Ekonomikas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proofErr w:type="spellStart"/>
            <w:r w:rsidRPr="000869FB">
              <w:rPr>
                <w:rFonts w:eastAsia="Calibri" w:cstheme="minorHAnsi"/>
                <w:szCs w:val="24"/>
              </w:rPr>
              <w:t>EnS</w:t>
            </w:r>
            <w:proofErr w:type="spellEnd"/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Enerģētikas savienība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EPAPP2020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 xml:space="preserve">Energoefektivitātes politikas alternatīvo pasākumu plāns enerģijas </w:t>
            </w:r>
            <w:proofErr w:type="spellStart"/>
            <w:r w:rsidRPr="000869FB">
              <w:rPr>
                <w:rFonts w:eastAsia="Calibri" w:cstheme="minorHAnsi"/>
                <w:szCs w:val="24"/>
              </w:rPr>
              <w:t>galapatēriņa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 xml:space="preserve"> ietaupījuma mērķa 2014.–2020. gadam sasniegšanai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EPS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Energoefektivitātes pienākumu shēma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ERAF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Eiropas reģionālās attīstības fonds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ES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Savienība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ESKO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proofErr w:type="spellStart"/>
            <w:r w:rsidRPr="000869FB">
              <w:rPr>
                <w:rFonts w:eastAsia="Calibri" w:cstheme="minorHAnsi"/>
                <w:szCs w:val="24"/>
              </w:rPr>
              <w:t>Energoservisa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 xml:space="preserve"> pakalpojumi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ETL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proofErr w:type="spellStart"/>
            <w:r w:rsidRPr="000869FB">
              <w:rPr>
                <w:rFonts w:eastAsia="Calibri" w:cstheme="minorHAnsi"/>
                <w:szCs w:val="24"/>
              </w:rPr>
              <w:t>Elektrotransportlīdzeklis</w:t>
            </w:r>
            <w:proofErr w:type="spellEnd"/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ETS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Savienības Emisijas kvotu tirdzniecības sistēma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EUROSTAT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Savienības Statistikas birojs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EVA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Vides aģentūra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ĒAIS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Ēku atjaunošanas ilgtermiņa stratēģija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FM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Finanšu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F-gāzes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proofErr w:type="spellStart"/>
            <w:r w:rsidRPr="000869FB">
              <w:rPr>
                <w:rFonts w:eastAsia="Calibri" w:cstheme="minorHAnsi"/>
                <w:szCs w:val="24"/>
              </w:rPr>
              <w:t>Fluorētās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 xml:space="preserve"> siltumnīcefekta gāzes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HES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Hidroelektrostacija</w:t>
            </w:r>
          </w:p>
        </w:tc>
      </w:tr>
      <w:tr w:rsidR="000869FB" w:rsidRPr="000869FB" w:rsidTr="00A104E5">
        <w:trPr>
          <w:trHeight w:val="557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IeM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proofErr w:type="spellStart"/>
            <w:r w:rsidRPr="000869FB">
              <w:rPr>
                <w:rFonts w:eastAsia="Calibri" w:cstheme="minorHAnsi"/>
                <w:szCs w:val="24"/>
              </w:rPr>
              <w:t>Iekšlietu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 xml:space="preserve">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IKP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Iekšzemes kopprodukts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IZM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Izglītības un zinātnes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KEEPP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Koncepcija par Eiropas Parlamenta un Padomes 2012.gada 25.oktobra Direktīvas 2012/27/ES par energoefektivitāti, ar ko groza Direktīvas 2009/125/EK un 2010/30/ES, un atceļ Direktīvas 2004/8/EK un 2006/32/EK, prasību pārņemšanu normatīvajos aktos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KEP2020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</w:rPr>
              <w:t>Eiropadomes 2007. gada 2. maija prezidentvalsts secinājumi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KEPS2030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</w:rPr>
              <w:t>Eiropadomes 2014. gada 24. oktobra secinājumi “Klimata un enerģētikas politikas satvars laikposmam līdz 2030. gadam”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KF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Kohēzijas fonds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KIP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</w:rPr>
              <w:t>Kopīgu Interešu Projekts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KPFI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Klimata pārmaiņu finanšu instruments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  <w:color w:val="000000"/>
                <w:szCs w:val="24"/>
              </w:rPr>
              <w:t>Lauku attīstības programma 2014.-2020.gadam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LEIS2030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  <w:bookmarkStart w:id="4" w:name="_Hlk531553661"/>
            <w:r w:rsidRPr="000869FB">
              <w:rPr>
                <w:rFonts w:cstheme="minorHAnsi"/>
                <w:color w:val="000000"/>
                <w:szCs w:val="24"/>
              </w:rPr>
              <w:t>Latvijas Enerģētikas ilgtermiņa stratēģija 2030 – konkurētspējīga enerģētika sabiedrībai</w:t>
            </w:r>
            <w:bookmarkEnd w:id="4"/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bookmarkStart w:id="5" w:name="_Hlk531553615"/>
            <w:r w:rsidRPr="000869FB">
              <w:rPr>
                <w:rFonts w:eastAsia="Calibri" w:cstheme="minorHAnsi"/>
                <w:szCs w:val="24"/>
              </w:rPr>
              <w:t>LIAS2030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ilgtspējīgas attīstības stratēģija 2030.gadam</w:t>
            </w:r>
          </w:p>
        </w:tc>
      </w:tr>
      <w:bookmarkEnd w:id="5"/>
      <w:tr w:rsidR="000869FB" w:rsidRPr="000869FB" w:rsidTr="00A104E5">
        <w:trPr>
          <w:trHeight w:val="264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LIFE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Eiropas Savienības vides finanšu programma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LLU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Lauksaimniecības universitāte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LNAP2020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Nacionālais attīstības plāns 2014.–2020.gadam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LNAP2027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Nacionālais attīstības plāns 2021.-2027.gadam (izstrādes stadijā)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LNRP2020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nacionālā reformu programma "ES 2020" stratēģijas īstenošanai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LPKPP2030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 xml:space="preserve">Latvijas pielāgošanās klimata pārmaiņām plāns laika posmam līdz 2030.gadam 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LPS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Pašvaldību savienība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LRRAEJ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Republikas Rīcība atjaunojamās enerģijas jomā Eiropas Parlamenta un Padomes 2009. gada 23. aprīļa direktīvas 2009/28/EK par atjaunojamo energoresursu izmantošanas veicināšanu un ar ko groza un sekojoši atceļ Direktīvas 2001/77/EK un 2003/30/EK ieviešanai līdz 2020. 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LSA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 xml:space="preserve">Lokālā siltumapgāde – autonoma ražotāja, valsts vai pašvaldības iestāžu īpašumā esoša siltumapgādes sistēma, kas nodrošina siltumenerģiju paša vajadzībām un citiem enerģijas lietotājiem, kuriem siltumenerģija tiek sadalīta un piegādāta no </w:t>
            </w:r>
            <w:proofErr w:type="spellStart"/>
            <w:r w:rsidRPr="000869FB">
              <w:rPr>
                <w:rFonts w:eastAsia="Calibri" w:cstheme="minorHAnsi"/>
                <w:szCs w:val="24"/>
              </w:rPr>
              <w:t>siltumavota</w:t>
            </w:r>
            <w:proofErr w:type="spellEnd"/>
            <w:r w:rsidRPr="000869FB">
              <w:rPr>
                <w:rFonts w:eastAsia="Calibri" w:cstheme="minorHAnsi"/>
                <w:szCs w:val="24"/>
              </w:rPr>
              <w:t xml:space="preserve"> pa sadales siltumtīkliem vai bez tiem (Enerģētikas likums)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LU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Universitāte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LVĢMC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VSIA „Latvijas Vides, ģeoloģijas un meteoroloģijas centrs”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LVMI "Silava"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Valsts mežzinātnes institūts „Silava”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LVSS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Latvijas Viedās specializācijas stratēģija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MFF2027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ES daudzgadu budžets 2021.-2027.gadam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MK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Ministru kabinets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MSNP2020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Meža un saistīto nozaru attīstības pamatnostādnes 2015.–2020. 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NFI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Norvēģu finanšu instruments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NIPP2020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Nacionālās industriālās politikas pamatnostādnes 2014-2020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NVO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Nevalstiskās organizācijas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Times New Roman" w:cstheme="minorHAnsi"/>
                <w:szCs w:val="24"/>
              </w:rPr>
              <w:t>NZIDIS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Nacionālā zinātniskās darbības informācijas sistēma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OIK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Obligātā iepirkuma komponente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P&amp;A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Pētniecība un attīstība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P&amp;I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Pētniecība un inovācijas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TimesNewRoman" w:cstheme="minorHAnsi"/>
                <w:szCs w:val="24"/>
              </w:rPr>
            </w:pPr>
            <w:r w:rsidRPr="000869FB">
              <w:rPr>
                <w:rFonts w:eastAsia="TimesNewRoman" w:cstheme="minorHAnsi"/>
                <w:szCs w:val="24"/>
              </w:rPr>
              <w:t>PKC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Pārresoru koordinācijas centrs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TimesNewRoman" w:cstheme="minorHAnsi"/>
                <w:szCs w:val="24"/>
              </w:rPr>
            </w:pPr>
            <w:r w:rsidRPr="000869FB">
              <w:rPr>
                <w:rFonts w:eastAsia="TimesNewRoman" w:cstheme="minorHAnsi"/>
                <w:szCs w:val="24"/>
              </w:rPr>
              <w:t>PSO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Pārvades sistēmas operators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TimesNewRoman" w:cstheme="minorHAnsi"/>
                <w:szCs w:val="24"/>
              </w:rPr>
            </w:pPr>
            <w:r w:rsidRPr="000869FB">
              <w:rPr>
                <w:rFonts w:eastAsia="TimesNewRoman" w:cstheme="minorHAnsi"/>
                <w:szCs w:val="24"/>
              </w:rPr>
              <w:t>PVN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jc w:val="both"/>
              <w:rPr>
                <w:rFonts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Pievienotās vērtības nodoklis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SEG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Siltumnīcefekta gāzes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Satiksmes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SPRK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Sabiedrisko pakalpojumu regulēšanas komisija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TAP2020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Transporta attīstības pamatnostādnes 2014.–2020.gadam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TEN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Transportlīdzekļa ekspluatācijas nodoklis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VARAM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Vides aizsardzības un reģionālās attīstības ministrija</w:t>
            </w:r>
          </w:p>
        </w:tc>
      </w:tr>
      <w:tr w:rsidR="000869FB" w:rsidRPr="000869FB" w:rsidTr="00A104E5">
        <w:trPr>
          <w:trHeight w:val="264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VES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Vēja elektrostacijas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VPP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Valsts pētījumu programma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VPP2020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Vides politikas pamatnostādnes 2014.–2020.gadam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ZIZIMM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Zemes izmantošana, zemes izmantošanas maiņa un mežsaimniecība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ZM</w:t>
            </w:r>
          </w:p>
        </w:tc>
        <w:tc>
          <w:tcPr>
            <w:tcW w:w="8097" w:type="dxa"/>
            <w:vAlign w:val="center"/>
            <w:hideMark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Zemkopības ministrija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ZPI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cstheme="minorHAnsi"/>
                <w:szCs w:val="24"/>
              </w:rPr>
              <w:t>Zaļais publiskais iepirkums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ZTAI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Zinātnes, tehnoloģijas attīstības un inovācija</w:t>
            </w:r>
          </w:p>
        </w:tc>
      </w:tr>
      <w:tr w:rsidR="000869FB" w:rsidRPr="000869FB" w:rsidTr="00A104E5">
        <w:trPr>
          <w:trHeight w:val="278"/>
        </w:trPr>
        <w:tc>
          <w:tcPr>
            <w:tcW w:w="153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ZTAIP2020</w:t>
            </w:r>
          </w:p>
        </w:tc>
        <w:tc>
          <w:tcPr>
            <w:tcW w:w="8097" w:type="dxa"/>
            <w:vAlign w:val="center"/>
          </w:tcPr>
          <w:p w:rsidR="000869FB" w:rsidRPr="000869FB" w:rsidRDefault="000869FB" w:rsidP="00A104E5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0869FB">
              <w:rPr>
                <w:rFonts w:eastAsia="Calibri" w:cstheme="minorHAnsi"/>
                <w:szCs w:val="24"/>
              </w:rPr>
              <w:t>Zinātnes, tehnoloģijas attīstības un inovācijas pamatnostādnes 2014.-2020. gadam</w:t>
            </w:r>
          </w:p>
        </w:tc>
      </w:tr>
    </w:tbl>
    <w:p w:rsidR="00D82336" w:rsidRPr="000869FB" w:rsidRDefault="008F6800" w:rsidP="000869FB">
      <w:pPr>
        <w:rPr>
          <w:rFonts w:cstheme="minorHAnsi"/>
        </w:rPr>
      </w:pPr>
    </w:p>
    <w:sectPr w:rsidR="00D82336" w:rsidRPr="000869FB" w:rsidSect="000869FB">
      <w:headerReference w:type="default" r:id="rId7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800" w:rsidRDefault="008F6800" w:rsidP="000869FB">
      <w:pPr>
        <w:spacing w:after="0" w:line="240" w:lineRule="auto"/>
      </w:pPr>
      <w:r>
        <w:separator/>
      </w:r>
    </w:p>
  </w:endnote>
  <w:endnote w:type="continuationSeparator" w:id="0">
    <w:p w:rsidR="008F6800" w:rsidRDefault="008F6800" w:rsidP="0008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800" w:rsidRDefault="008F6800" w:rsidP="000869FB">
      <w:pPr>
        <w:spacing w:after="0" w:line="240" w:lineRule="auto"/>
      </w:pPr>
      <w:r>
        <w:separator/>
      </w:r>
    </w:p>
  </w:footnote>
  <w:footnote w:type="continuationSeparator" w:id="0">
    <w:p w:rsidR="008F6800" w:rsidRDefault="008F6800" w:rsidP="0008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9542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69FB" w:rsidRDefault="000869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69FB" w:rsidRDefault="0008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3F95"/>
    <w:multiLevelType w:val="multilevel"/>
    <w:tmpl w:val="D9C285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pStyle w:val="Heading4"/>
      <w:lvlText w:val="%1.%2.%3.%4."/>
      <w:lvlJc w:val="left"/>
      <w:pPr>
        <w:ind w:left="26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FB"/>
    <w:rsid w:val="000869FB"/>
    <w:rsid w:val="00285135"/>
    <w:rsid w:val="005E10EE"/>
    <w:rsid w:val="00631A9D"/>
    <w:rsid w:val="00731999"/>
    <w:rsid w:val="008F6800"/>
    <w:rsid w:val="00A0497A"/>
    <w:rsid w:val="00A24279"/>
    <w:rsid w:val="00B573BB"/>
    <w:rsid w:val="00BC4724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6F35F"/>
  <w15:chartTrackingRefBased/>
  <w15:docId w15:val="{C8656959-9677-42F3-B95D-1C400D7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F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9FB"/>
    <w:pPr>
      <w:keepNext/>
      <w:keepLines/>
      <w:numPr>
        <w:numId w:val="1"/>
      </w:numPr>
      <w:tabs>
        <w:tab w:val="left" w:pos="2694"/>
      </w:tabs>
      <w:spacing w:before="120" w:after="120" w:line="240" w:lineRule="auto"/>
      <w:ind w:left="709" w:hanging="709"/>
      <w:outlineLvl w:val="0"/>
    </w:pPr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9FB"/>
    <w:pPr>
      <w:keepNext/>
      <w:keepLines/>
      <w:numPr>
        <w:ilvl w:val="1"/>
        <w:numId w:val="1"/>
      </w:numPr>
      <w:spacing w:before="120" w:after="120" w:line="240" w:lineRule="auto"/>
      <w:ind w:left="510" w:hanging="510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9FB"/>
    <w:pPr>
      <w:keepNext/>
      <w:keepLines/>
      <w:numPr>
        <w:ilvl w:val="2"/>
        <w:numId w:val="1"/>
      </w:numPr>
      <w:spacing w:before="120" w:after="120" w:line="240" w:lineRule="auto"/>
      <w:ind w:left="680" w:hanging="680"/>
      <w:jc w:val="both"/>
      <w:outlineLvl w:val="2"/>
    </w:pPr>
    <w:rPr>
      <w:rFonts w:ascii="Times New Roman" w:eastAsiaTheme="majorEastAsia" w:hAnsi="Times New Roman" w:cs="Times New Roman"/>
      <w:szCs w:val="24"/>
      <w:u w:val="single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9FB"/>
    <w:pPr>
      <w:keepNext/>
      <w:keepLines/>
      <w:numPr>
        <w:ilvl w:val="3"/>
        <w:numId w:val="1"/>
      </w:numPr>
      <w:tabs>
        <w:tab w:val="left" w:pos="993"/>
      </w:tabs>
      <w:spacing w:before="120" w:after="120" w:line="240" w:lineRule="auto"/>
      <w:ind w:left="0" w:firstLine="0"/>
      <w:outlineLvl w:val="3"/>
    </w:pPr>
    <w:rPr>
      <w:rFonts w:ascii="Times New Roman" w:eastAsiaTheme="majorEastAsia" w:hAnsi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9FB"/>
    <w:rPr>
      <w:rFonts w:ascii="Times New Roman" w:eastAsia="Times New Roman" w:hAnsi="Times New Roman" w:cs="Times New Roman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869FB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9FB"/>
    <w:rPr>
      <w:rFonts w:ascii="Times New Roman" w:eastAsiaTheme="majorEastAsia" w:hAnsi="Times New Roman" w:cs="Times New Roman"/>
      <w:sz w:val="24"/>
      <w:szCs w:val="24"/>
      <w:u w:val="single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869FB"/>
    <w:rPr>
      <w:rFonts w:ascii="Times New Roman" w:eastAsiaTheme="majorEastAsia" w:hAnsi="Times New Roman" w:cs="Times New Roman"/>
      <w:i/>
      <w:iCs/>
      <w:sz w:val="24"/>
      <w:szCs w:val="24"/>
    </w:rPr>
  </w:style>
  <w:style w:type="character" w:customStyle="1" w:styleId="st">
    <w:name w:val="st"/>
    <w:rsid w:val="000869FB"/>
  </w:style>
  <w:style w:type="paragraph" w:styleId="Header">
    <w:name w:val="header"/>
    <w:basedOn w:val="Normal"/>
    <w:link w:val="HeaderChar"/>
    <w:uiPriority w:val="99"/>
    <w:unhideWhenUsed/>
    <w:rsid w:val="000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F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Agnete Ālere</cp:lastModifiedBy>
  <cp:revision>1</cp:revision>
  <dcterms:created xsi:type="dcterms:W3CDTF">2019-10-09T13:00:00Z</dcterms:created>
  <dcterms:modified xsi:type="dcterms:W3CDTF">2019-10-09T13:00:00Z</dcterms:modified>
</cp:coreProperties>
</file>